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Industrial Systems</w:t>
      </w:r>
    </w:p>
    <w:p>
      <w:pPr>
        <w:pStyle w:val="BodyText"/>
      </w:pPr>
      <w:r>
        <w:t xml:space="preserve">O Cruzamento Energético</w:t>
      </w:r>
    </w:p>
    <w:p>
      <w:pPr>
        <w:pStyle w:val="BodyText"/>
      </w:pPr>
      <w:r>
        <w:t xml:space="preserve">Uma decisão de rede de manufatura sob custos crescentes de eletricidade</w:t>
      </w:r>
    </w:p>
    <w:p>
      <w:pPr>
        <w:pStyle w:val="BodyText"/>
      </w:pPr>
      <w:r>
        <w:t xml:space="preserve">Às 6h20 de uma segunda-feira fria de fevereiro, Elena Marquez, diretora de operações da Ridgeway Industrial Systems, abriu um e-mail da concessionária de energia elétrica da empresa. A concessionária estava solicitando permissão para realizar um estudo de engenharia da conexão de serviço da Ridgeway. A região havia recebido pedidos para vários grandes data centers, e a concessionária esperava um investimento substancial em subestações, equipamentos de transmissão e capacidade de geração. Alguns desses custos, alertava a carta, poderiam eventualmente ser refletidos nas tarifas industriais.</w:t>
      </w:r>
    </w:p>
    <w:p>
      <w:pPr>
        <w:pStyle w:val="BodyText"/>
      </w:pPr>
      <w:r>
        <w:t xml:space="preserve">A mensagem chegou três dias antes da reunião de estratégia do conselho da Ridgeway. A planta principal da empresa no Condado de Hamilton já havia visto sua conta anual de eletricidade subir de $8,6 milhões para $13,9 milhões em quatro anos. Sua equipe financeira projetava que a conta poderia ultrapassar $19 milhões até 2030 caso a trajetória tarifária preliminar da concessionária fosse aprovada. A eletricidade já havia representado menos de 3% do custo de manufatura. Agora se aproximava de 6%, com a maior exposição concentrada em duas linhas de produtos intensivas em energia.</w:t>
      </w:r>
    </w:p>
    <w:p>
      <w:pPr>
        <w:pStyle w:val="BodyText"/>
      </w:pPr>
      <w:r>
        <w:t xml:space="preserve">A Ridgeway fabricava bombas de precisão, trocadores de calor industriais e conjuntos resistentes à corrosão para clientes das indústrias química, de processamento de alimentos e de tratamento de água. A planta de Hamilton empregava 1.180 pessoas, fornecia aproximadamente 58% da receita da empresa e continha operações especializadas de usinagem, soldagem, tratamento térmico, revestimento e testes. Alguns equipamentos podiam ser transportados. Outros sistemas estavam incorporados ao edifício, ligados a fundações, licenças ambientais e qualificações de clientes.</w:t>
      </w:r>
    </w:p>
    <w:p>
      <w:pPr>
        <w:pStyle w:val="BodyText"/>
      </w:pPr>
      <w:r>
        <w:t xml:space="preserve">Marquez havia sido solicitada a recomendar um plano de investigação e uma direção estratégica inicial. As alternativas aparentes eram claras: permanecer no local e absorver ou gerenciar as tarifas mais altas; instalar painéis solares e armazenamento em baterias; converter processos elétricos selecionados para gás natural; ou realocar grande parte da operação para outra região. No entanto, cada alternativa dependia de previsões incertas, pressupostos de engenharia difíceis e decisões de concessionárias, reguladores, clientes e funcionários.</w:t>
      </w:r>
    </w:p>
    <w:bookmarkStart w:id="9" w:name="a-decisão-diante-do-conselho"/>
    <w:p>
      <w:pPr>
        <w:pStyle w:val="Heading2"/>
      </w:pPr>
      <w:r>
        <w:t xml:space="preserve">A decisão diante do conselho</w:t>
      </w:r>
    </w:p>
    <w:p>
      <w:pPr>
        <w:pStyle w:val="FirstParagraph"/>
      </w:pPr>
      <w:r>
        <w:t xml:space="preserve">O conselho não estava sendo solicitado a aprovar imediatamente uma nova planta. Estava sendo solicitado a decidir com que agressividade a Ridgeway deveria investigar as alternativas, quais projetos deveriam avançar para pilotos ou engenharia detalhada, e se a empresa deveria começar a garantir terrenos e capacidade de concessionária em outros lugares antes que os concorrentes o fizessem. A distinção importava. Um estudo cauteloso poderia preservar caixa, mas permitir que locais atraentes, posições de interconexão ou incentivos desaparecessem. Um programa agressivo poderia consumir milhões de dólares antes que a administração entendesse se o aumento atual das tarifas era temporário, estrutural ou parcialmente autoinfligido.</w:t>
      </w:r>
    </w:p>
    <w:bookmarkEnd w:id="9"/>
    <w:bookmarkStart w:id="12" w:name="X0779f6a511f198bec78f7493db1e83e7a55190e"/>
    <w:p>
      <w:pPr>
        <w:pStyle w:val="Heading1"/>
      </w:pPr>
      <w:r>
        <w:t xml:space="preserve">Um mercado regional de energia sob pressão</w:t>
      </w:r>
    </w:p>
    <w:p>
      <w:pPr>
        <w:pStyle w:val="FirstParagraph"/>
      </w:pPr>
      <w:r>
        <w:t xml:space="preserve">O Condado de Hamilton havia passado duas décadas recrutando manufatura avançada. Mais recentemente, a mesma combinação de terra barata, conectividade de fibra, acesso rodoviário e um corredor de transmissão disponível havia atraído desenvolvedores de data centers. Três projetos estavam em construção e mais cinco haviam solicitado serviço da concessionária. As autoridades locais receberam bem a base tributária, mas os clientes industriais questionavam como os custos de expansão da rede seriam alocados.</w:t>
      </w:r>
    </w:p>
    <w:p>
      <w:pPr>
        <w:pStyle w:val="BodyText"/>
      </w:pPr>
      <w:r>
        <w:t xml:space="preserve">A tendência nacional era significativa. O Berkeley Lab estimou que os data centers dos EUA usaram cerca de 176 terawatts-hora de eletricidade em 2023, ou aproximadamente 4,4% do consumo total de eletricidade dos EUA, um aumento em relação aos 58 terawatts-hora de 2014. Seu relatório de 2024 estimou que os data centers poderiam consumir de 6,7% a 12% da eletricidade dos EUA até 2028. Uma atualização posterior projetou uma estimativa central de 11,8% até 2030, com uma faixa de 9,5% a 15,3%.¹ As projeções não implicavam que todo fabricante enfrentaria o mesmo aumento de custo, mas reforçavam a preocupação da Ridgeway de que a demanda por eletricidade estava entrando em um regime de crescimento diferente.</w:t>
      </w:r>
    </w:p>
    <w:p>
      <w:pPr>
        <w:pStyle w:val="BodyText"/>
      </w:pPr>
      <w:r>
        <w:t xml:space="preserve">A conta de eletricidade da Ridgeway era mais complicada do que o número médio de centavos por quilowatt-hora discutido nas reuniões do conselho. A planta pagava por energia consumida, demanda mensal de pico, serviço de transmissão, capacidade, penalidades de fator de potência e vários adicionais tarifários (riders). Um novo encargo regional de capacidade havia aumentado acentuadamente. A planta também havia registrado três picos de demanda incomumente altos quando grandes fornos, compressores e bancadas de teste foram ligados ao mesmo tempo após paradas de manutenção.</w:t>
      </w:r>
    </w:p>
    <w:bookmarkStart w:id="10" w:name="Xccd3aa8067e4361b61bc1dc2f8c5ccdf25fd190"/>
    <w:p>
      <w:pPr>
        <w:pStyle w:val="Heading2"/>
      </w:pPr>
      <w:r>
        <w:t xml:space="preserve">Exhibit 1. Uso e custo de eletricidade da planta de Hamilton</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jc w:val="left"/>
            </w:pPr>
            <w:r>
              <w:t xml:space="preserve">Ano fiscal</w:t>
            </w:r>
          </w:p>
        </w:tc>
        <w:tc>
          <w:tcPr/>
          <w:p>
            <w:pPr>
              <w:pStyle w:val="Compact"/>
            </w:pPr>
            <w:r>
              <w:t xml:space="preserve">Índice de produção</w:t>
            </w:r>
          </w:p>
        </w:tc>
        <w:tc>
          <w:tcPr/>
          <w:p>
            <w:pPr>
              <w:pStyle w:val="Compact"/>
              <w:jc w:val="right"/>
            </w:pPr>
            <w:r>
              <w:t xml:space="preserve">Uso de eletricidade (G</w:t>
            </w:r>
          </w:p>
        </w:tc>
        <w:tc>
          <w:tcPr/>
          <w:p>
            <w:pPr>
              <w:pStyle w:val="Compact"/>
            </w:pPr>
            <w:r>
              <w:t xml:space="preserve">Wh) Demanda de pi</w:t>
            </w:r>
          </w:p>
        </w:tc>
        <w:tc>
          <w:tcPr/>
          <w:p>
            <w:pPr>
              <w:pStyle w:val="Compact"/>
            </w:pPr>
            <w:r>
              <w:t xml:space="preserve">co (MW) Custo médio total ($</w:t>
            </w:r>
          </w:p>
        </w:tc>
        <w:tc>
          <w:tcPr/>
          <w:p>
            <w:pPr>
              <w:pStyle w:val="Compact"/>
            </w:pPr>
            <w:r>
              <w:t xml:space="preserve">/MWh) Conta anual ($M)</w:t>
            </w:r>
          </w:p>
        </w:tc>
      </w:tr>
      <w:tr>
        <w:tc>
          <w:tcPr/>
          <w:p>
            <w:pPr>
              <w:pStyle w:val="Compact"/>
              <w:jc w:val="left"/>
            </w:pPr>
            <w:r>
              <w:t xml:space="preserve">2022</w:t>
            </w:r>
          </w:p>
        </w:tc>
        <w:tc>
          <w:tcPr/>
          <w:p>
            <w:pPr>
              <w:pStyle w:val="Compact"/>
            </w:pPr>
            <w:r>
              <w:t xml:space="preserve">100</w:t>
            </w:r>
          </w:p>
        </w:tc>
        <w:tc>
          <w:tcPr/>
          <w:p>
            <w:pPr>
              <w:pStyle w:val="Compact"/>
              <w:jc w:val="right"/>
            </w:pPr>
            <w:r>
              <w:t xml:space="preserve">112</w:t>
            </w:r>
          </w:p>
        </w:tc>
        <w:tc>
          <w:tcPr/>
          <w:p>
            <w:pPr>
              <w:pStyle w:val="Compact"/>
            </w:pPr>
            <w:r>
              <w:t xml:space="preserve">19,8</w:t>
            </w:r>
          </w:p>
        </w:tc>
        <w:tc>
          <w:tcPr/>
          <w:p>
            <w:pPr>
              <w:pStyle w:val="Compact"/>
            </w:pPr>
            <w:r>
              <w:t xml:space="preserve">$77</w:t>
            </w:r>
          </w:p>
        </w:tc>
        <w:tc>
          <w:tcPr/>
          <w:p>
            <w:pPr>
              <w:pStyle w:val="Compact"/>
            </w:pPr>
            <w:r>
              <w:t xml:space="preserve">$8,6</w:t>
            </w:r>
          </w:p>
        </w:tc>
      </w:tr>
      <w:tr>
        <w:tc>
          <w:tcPr/>
          <w:p>
            <w:pPr>
              <w:pStyle w:val="Compact"/>
              <w:jc w:val="left"/>
            </w:pPr>
            <w:r>
              <w:t xml:space="preserve">2023</w:t>
            </w:r>
          </w:p>
        </w:tc>
        <w:tc>
          <w:tcPr/>
          <w:p>
            <w:pPr>
              <w:pStyle w:val="Compact"/>
            </w:pPr>
            <w:r>
              <w:t xml:space="preserve">104</w:t>
            </w:r>
          </w:p>
        </w:tc>
        <w:tc>
          <w:tcPr/>
          <w:p>
            <w:pPr>
              <w:pStyle w:val="Compact"/>
              <w:jc w:val="right"/>
            </w:pPr>
            <w:r>
              <w:t xml:space="preserve">116</w:t>
            </w:r>
          </w:p>
        </w:tc>
        <w:tc>
          <w:tcPr/>
          <w:p>
            <w:pPr>
              <w:pStyle w:val="Compact"/>
            </w:pPr>
            <w:r>
              <w:t xml:space="preserve">20,5</w:t>
            </w:r>
          </w:p>
        </w:tc>
        <w:tc>
          <w:tcPr/>
          <w:p>
            <w:pPr>
              <w:pStyle w:val="Compact"/>
            </w:pPr>
            <w:r>
              <w:t xml:space="preserve">$83</w:t>
            </w:r>
          </w:p>
        </w:tc>
        <w:tc>
          <w:tcPr/>
          <w:p>
            <w:pPr>
              <w:pStyle w:val="Compact"/>
            </w:pPr>
            <w:r>
              <w:t xml:space="preserve">$9,6</w:t>
            </w:r>
          </w:p>
        </w:tc>
      </w:tr>
      <w:tr>
        <w:tc>
          <w:tcPr/>
          <w:p>
            <w:pPr>
              <w:pStyle w:val="Compact"/>
              <w:jc w:val="left"/>
            </w:pPr>
            <w:r>
              <w:t xml:space="preserve">2024</w:t>
            </w:r>
          </w:p>
        </w:tc>
        <w:tc>
          <w:tcPr/>
          <w:p>
            <w:pPr>
              <w:pStyle w:val="Compact"/>
            </w:pPr>
            <w:r>
              <w:t xml:space="preserve">107</w:t>
            </w:r>
          </w:p>
        </w:tc>
        <w:tc>
          <w:tcPr/>
          <w:p>
            <w:pPr>
              <w:pStyle w:val="Compact"/>
              <w:jc w:val="right"/>
            </w:pPr>
            <w:r>
              <w:t xml:space="preserve">119</w:t>
            </w:r>
          </w:p>
        </w:tc>
        <w:tc>
          <w:tcPr/>
          <w:p>
            <w:pPr>
              <w:pStyle w:val="Compact"/>
            </w:pPr>
            <w:r>
              <w:t xml:space="preserve">21,4</w:t>
            </w:r>
          </w:p>
        </w:tc>
        <w:tc>
          <w:tcPr/>
          <w:p>
            <w:pPr>
              <w:pStyle w:val="Compact"/>
            </w:pPr>
            <w:r>
              <w:t xml:space="preserve">$92</w:t>
            </w:r>
          </w:p>
        </w:tc>
        <w:tc>
          <w:tcPr/>
          <w:p>
            <w:pPr>
              <w:pStyle w:val="Compact"/>
            </w:pPr>
            <w:r>
              <w:t xml:space="preserve">$10,9</w:t>
            </w:r>
          </w:p>
        </w:tc>
      </w:tr>
      <w:tr>
        <w:tc>
          <w:tcPr/>
          <w:p>
            <w:pPr>
              <w:pStyle w:val="Compact"/>
              <w:jc w:val="left"/>
            </w:pPr>
            <w:r>
              <w:t xml:space="preserve">2025</w:t>
            </w:r>
          </w:p>
        </w:tc>
        <w:tc>
          <w:tcPr/>
          <w:p>
            <w:pPr>
              <w:pStyle w:val="Compact"/>
            </w:pPr>
            <w:r>
              <w:t xml:space="preserve">105</w:t>
            </w:r>
          </w:p>
        </w:tc>
        <w:tc>
          <w:tcPr/>
          <w:p>
            <w:pPr>
              <w:pStyle w:val="Compact"/>
              <w:jc w:val="right"/>
            </w:pPr>
            <w:r>
              <w:t xml:space="preserve">117</w:t>
            </w:r>
          </w:p>
        </w:tc>
        <w:tc>
          <w:tcPr/>
          <w:p>
            <w:pPr>
              <w:pStyle w:val="Compact"/>
            </w:pPr>
            <w:r>
              <w:t xml:space="preserve">22,8</w:t>
            </w:r>
          </w:p>
        </w:tc>
        <w:tc>
          <w:tcPr/>
          <w:p>
            <w:pPr>
              <w:pStyle w:val="Compact"/>
            </w:pPr>
            <w:r>
              <w:t xml:space="preserve">$104</w:t>
            </w:r>
          </w:p>
        </w:tc>
        <w:tc>
          <w:tcPr/>
          <w:p>
            <w:pPr>
              <w:pStyle w:val="Compact"/>
            </w:pPr>
            <w:r>
              <w:t xml:space="preserve">$12,2</w:t>
            </w:r>
          </w:p>
        </w:tc>
      </w:tr>
      <w:tr>
        <w:tc>
          <w:tcPr/>
          <w:p>
            <w:pPr>
              <w:pStyle w:val="Compact"/>
              <w:jc w:val="left"/>
            </w:pPr>
            <w:r>
              <w:t xml:space="preserve">2026 previsão</w:t>
            </w:r>
          </w:p>
        </w:tc>
        <w:tc>
          <w:tcPr/>
          <w:p>
            <w:pPr>
              <w:pStyle w:val="Compact"/>
            </w:pPr>
            <w:r>
              <w:t xml:space="preserve">109</w:t>
            </w:r>
          </w:p>
        </w:tc>
        <w:tc>
          <w:tcPr/>
          <w:p>
            <w:pPr>
              <w:pStyle w:val="Compact"/>
              <w:jc w:val="right"/>
            </w:pPr>
            <w:r>
              <w:t xml:space="preserve">120</w:t>
            </w:r>
          </w:p>
        </w:tc>
        <w:tc>
          <w:tcPr/>
          <w:p>
            <w:pPr>
              <w:pStyle w:val="Compact"/>
            </w:pPr>
            <w:r>
              <w:t xml:space="preserve">23,2</w:t>
            </w:r>
          </w:p>
        </w:tc>
        <w:tc>
          <w:tcPr/>
          <w:p>
            <w:pPr>
              <w:pStyle w:val="Compact"/>
            </w:pPr>
            <w:r>
              <w:t xml:space="preserve">$116</w:t>
            </w:r>
          </w:p>
        </w:tc>
        <w:tc>
          <w:tcPr/>
          <w:p>
            <w:pPr>
              <w:pStyle w:val="Compact"/>
            </w:pPr>
            <w:r>
              <w:t xml:space="preserve">$13,9</w:t>
            </w:r>
          </w:p>
        </w:tc>
      </w:tr>
    </w:tbl>
    <w:p>
      <w:pPr>
        <w:pStyle w:val="BodyText"/>
      </w:pPr>
      <w:r>
        <w:t xml:space="preserve">A gerente de energia da planta, Priya Shah, argumentou que a empresa ainda não havia separado o problema externo das tarifas do seu próprio problema de gestão de carga. Ela estimou que um melhor sequenciamento das partidas, o reparo de vazamentos de ar comprimido, a revisão do agendamento dos fornos e o desligamento automático de equipamentos ociosos poderiam reduzir o custo anual de eletricidade em $1,4 milhão a $2,1 milhões. Os gerentes de operações eram céticos. Temiam que uma gestão agressiva dos picos aumentasse o estoque em processo, as horas extras ou os atrasos de entrega.</w:t>
      </w:r>
    </w:p>
    <w:bookmarkEnd w:id="10"/>
    <w:bookmarkStart w:id="11" w:name="o-processo-de-manufatura"/>
    <w:p>
      <w:pPr>
        <w:pStyle w:val="Heading2"/>
      </w:pPr>
      <w:r>
        <w:t xml:space="preserve">O processo de manufatura</w:t>
      </w:r>
    </w:p>
    <w:p>
      <w:pPr>
        <w:pStyle w:val="FirstParagraph"/>
      </w:pPr>
      <w:r>
        <w:t xml:space="preserve">A operação de Hamilton não era um processo único e contínuo. A usinagem e o bombeamento eram intensivos em eletricidade, mas relativamente flexíveis. O tratamento térmico e a cura exigiam perfis de temperatura controlados. As linhas de revestimento tinham requisitos rigorosos de ventilação. O centro de testes hidráulicos criava cargas grandes, porém intermitentes. Os planejadores de produção programavam em função dos prazos dos clientes, da disponibilidade das máquinas, das habilidades da mão de obra e das retenções de qualidade — não dos preços da eletricidade.</w:t>
      </w:r>
    </w:p>
    <w:p>
      <w:pPr>
        <w:pStyle w:val="BodyText"/>
      </w:pPr>
      <w:r>
        <w:t xml:space="preserve">A administração enfrentava, portanto, um problema sistêmico. Uma redução no custo da eletricidade poderia criar custos em outros lugares: prazos de entrega mais longos, configurações (setups) adicionais, lotes maiores, mais estoque, menor capacidade de resposta ou menor utilização de equipamentos. Por outro lado, mudanças feitas por razões energéticas também poderiam melhorar a disciplina de manutenção e o planejamento da produção.</w:t>
      </w:r>
    </w:p>
    <w:bookmarkEnd w:id="11"/>
    <w:bookmarkEnd w:id="12"/>
    <w:bookmarkStart w:id="17" w:name="quatro-caminhos-estratégicos"/>
    <w:p>
      <w:pPr>
        <w:pStyle w:val="Heading1"/>
      </w:pPr>
      <w:r>
        <w:t xml:space="preserve">Quatro caminhos estratégicos</w:t>
      </w:r>
    </w:p>
    <w:bookmarkStart w:id="13" w:name="melhorar-e-permanecer"/>
    <w:p>
      <w:pPr>
        <w:pStyle w:val="Heading2"/>
      </w:pPr>
      <w:r>
        <w:t xml:space="preserve">1. Melhorar e permanecer</w:t>
      </w:r>
    </w:p>
    <w:p>
      <w:pPr>
        <w:pStyle w:val="FirstParagraph"/>
      </w:pPr>
      <w:r>
        <w:t xml:space="preserve">O caminho menos disruptivo era manter a planta de Hamilton e concentrar-se primeiro em eficiência, programação, redesenho tarifário e aquisição de energia. A concessionária havia se oferecido para avaliar uma tarifa de serviço interruptível que poderia reduzir os encargos anuais em cerca de $900.000, mas a Ridgeway teria que reduzir a carga com pouco aviso prévio durante um número limitado de emergências da rede. Um comercializador de energia propôs um contrato de preço fixo de dez anos para parte do consumo da empresa. O preço fixo estava acima da curva a termo atual, mas abaixo do cenário de tarifa alta da concessionária.</w:t>
      </w:r>
    </w:p>
    <w:p>
      <w:pPr>
        <w:pStyle w:val="BodyText"/>
      </w:pPr>
      <w:r>
        <w:t xml:space="preserve">Esse caminho exigia o menor compromisso de capital no curto prazo e preservava a flexibilidade. Também deixava a Ridgeway exposta a uma rede regional restrita e à possibilidade de que a concessionária alocasse uma parcela substancial dos novos custos de infraestrutura aos clientes industriais existentes.</w:t>
      </w:r>
    </w:p>
    <w:bookmarkEnd w:id="13"/>
    <w:bookmarkStart w:id="14" w:name="X29060f0ace8ea3d9172ab6a751ab0d16bc4e7cd"/>
    <w:p>
      <w:pPr>
        <w:pStyle w:val="Heading2"/>
      </w:pPr>
      <w:r>
        <w:t xml:space="preserve">2. Geração solar e armazenamento em baterias</w:t>
      </w:r>
    </w:p>
    <w:p>
      <w:pPr>
        <w:pStyle w:val="FirstParagraph"/>
      </w:pPr>
      <w:r>
        <w:t xml:space="preserve">Um desenvolvedor propôs uma instalação solar de 14 megawatts usando o telhado da planta, os toldos de estacionamento e um terreno adjacente. A produção esperada no primeiro ano era de 19,5 gigawatts-hora — cerca de 16% do consumo anual da planta. Como a maior parte da produção ocorria em dias úteis, o desenvolvedor esperava um alto nível de uso local. O projeto não eliminaria a conexão da planta com a rede nem a maioria das compras noturnas.</w:t>
      </w:r>
    </w:p>
    <w:p>
      <w:pPr>
        <w:pStyle w:val="BodyText"/>
      </w:pPr>
      <w:r>
        <w:t xml:space="preserve">Uma proposta separada combinava energia solar com uma bateria de 10 megawatts e 40 megawatts-hora. A bateria poderia reduzir os picos de demanda, deslocar a produção solar para as operações noturnas e sustentar cargas críticas selecionadas durante interrupções curtas. Não poderia operar toda a planta durante uma interrupção prolongada. A economia dependia fortemente das regras de encargos por demanda, da degradação da bateria, da qualidade do despacho, do tratamento fiscal, do custo de interconexão e do valor atribuído à confiabilidade.</w:t>
      </w:r>
    </w:p>
    <w:bookmarkEnd w:id="14"/>
    <w:bookmarkStart w:id="15" w:name="X8d92dcfd10f3b28f0b2ab9df17fed921afefd01"/>
    <w:p>
      <w:pPr>
        <w:pStyle w:val="Heading2"/>
      </w:pPr>
      <w:r>
        <w:t xml:space="preserve">Exhibit 2. Propostas preliminares de energia local</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jc w:val="left"/>
            </w:pPr>
            <w:r>
              <w:t xml:space="preserve">Alternativa</w:t>
            </w:r>
          </w:p>
        </w:tc>
        <w:tc>
          <w:tcPr/>
          <w:p>
            <w:pPr>
              <w:pStyle w:val="Compact"/>
              <w:jc w:val="left"/>
            </w:pPr>
            <w:r>
              <w:t xml:space="preserve">Capital inicial</w:t>
            </w:r>
          </w:p>
        </w:tc>
        <w:tc>
          <w:tcPr/>
          <w:p>
            <w:pPr>
              <w:pStyle w:val="Compact"/>
            </w:pPr>
            <w:r>
              <w:t xml:space="preserve">Economia anual estimada R</w:t>
            </w:r>
          </w:p>
        </w:tc>
        <w:tc>
          <w:tcPr/>
          <w:p>
            <w:pPr>
              <w:pStyle w:val="Compact"/>
              <w:jc w:val="left"/>
            </w:pPr>
            <w:r>
              <w:t xml:space="preserve">etorno simples</w:t>
            </w:r>
          </w:p>
        </w:tc>
        <w:tc>
          <w:tcPr/>
          <w:p>
            <w:pPr>
              <w:pStyle w:val="Compact"/>
              <w:jc w:val="left"/>
            </w:pPr>
            <w:r>
              <w:t xml:space="preserve">Principais incertezas</w:t>
            </w:r>
          </w:p>
        </w:tc>
      </w:tr>
      <w:tr>
        <w:tc>
          <w:tcPr/>
          <w:p>
            <w:pPr>
              <w:pStyle w:val="Compact"/>
              <w:jc w:val="left"/>
            </w:pPr>
            <w:r>
              <w:t xml:space="preserve">Eficiência e controles</w:t>
            </w:r>
            <w:r>
              <w:br/>
            </w:r>
          </w:p>
        </w:tc>
        <w:tc>
          <w:tcPr/>
          <w:p>
            <w:pPr>
              <w:pStyle w:val="Compact"/>
              <w:jc w:val="left"/>
            </w:pPr>
            <w:r>
              <w:t xml:space="preserve">$6,5M</w:t>
            </w:r>
            <w:r>
              <w:br/>
            </w:r>
          </w:p>
        </w:tc>
        <w:tc>
          <w:tcPr/>
          <w:p>
            <w:pPr>
              <w:pStyle w:val="Compact"/>
            </w:pPr>
            <w:r>
              <w:t xml:space="preserve">$1,4M-$2,1M 3</w:t>
            </w:r>
          </w:p>
        </w:tc>
        <w:tc>
          <w:tcPr/>
          <w:p>
            <w:pPr>
              <w:pStyle w:val="Compact"/>
              <w:jc w:val="left"/>
            </w:pPr>
            <w:r>
              <w:t xml:space="preserve">-5 anos Co</w:t>
            </w:r>
          </w:p>
        </w:tc>
        <w:tc>
          <w:tcPr/>
          <w:p>
            <w:pPr>
              <w:pStyle w:val="Compact"/>
              <w:jc w:val="left"/>
            </w:pPr>
            <w:r>
              <w:t xml:space="preserve">nformidade operacional; efeitos na produção</w:t>
            </w:r>
          </w:p>
        </w:tc>
      </w:tr>
      <w:tr>
        <w:tc>
          <w:tcPr/>
          <w:p>
            <w:pPr>
              <w:pStyle w:val="Compact"/>
              <w:jc w:val="left"/>
            </w:pPr>
            <w:r>
              <w:t xml:space="preserve">Somente solar</w:t>
            </w:r>
          </w:p>
        </w:tc>
        <w:tc>
          <w:tcPr/>
          <w:p>
            <w:pPr>
              <w:pStyle w:val="Compact"/>
              <w:jc w:val="left"/>
            </w:pPr>
            <w:r>
              <w:t xml:space="preserve">$31M</w:t>
            </w:r>
          </w:p>
        </w:tc>
        <w:tc>
          <w:tcPr/>
          <w:p>
            <w:pPr>
              <w:pStyle w:val="Compact"/>
            </w:pPr>
            <w:r>
              <w:t xml:space="preserve">$3,0M-$4,4M</w:t>
            </w:r>
          </w:p>
        </w:tc>
        <w:tc>
          <w:tcPr/>
          <w:p>
            <w:pPr>
              <w:pStyle w:val="Compact"/>
              <w:jc w:val="left"/>
            </w:pPr>
            <w:r>
              <w:t xml:space="preserve">7-10 anos</w:t>
            </w:r>
          </w:p>
        </w:tc>
        <w:tc>
          <w:tcPr/>
          <w:p>
            <w:pPr>
              <w:pStyle w:val="Compact"/>
              <w:jc w:val="left"/>
            </w:pPr>
            <w:r>
              <w:t xml:space="preserve">Interconexão; incentivos; valor de exportação</w:t>
            </w:r>
          </w:p>
        </w:tc>
      </w:tr>
      <w:tr>
        <w:tc>
          <w:tcPr/>
          <w:p>
            <w:pPr>
              <w:pStyle w:val="Compact"/>
              <w:jc w:val="left"/>
            </w:pPr>
            <w:r>
              <w:t xml:space="preserve">Solar mais bateria</w:t>
            </w:r>
          </w:p>
        </w:tc>
        <w:tc>
          <w:tcPr/>
          <w:p>
            <w:pPr>
              <w:pStyle w:val="Compact"/>
              <w:jc w:val="left"/>
            </w:pPr>
            <w:r>
              <w:t xml:space="preserve">$48M</w:t>
            </w:r>
          </w:p>
        </w:tc>
        <w:tc>
          <w:tcPr/>
          <w:p>
            <w:pPr>
              <w:pStyle w:val="Compact"/>
            </w:pPr>
            <w:r>
              <w:t xml:space="preserve">$4,6M-$7,0M</w:t>
            </w:r>
          </w:p>
        </w:tc>
        <w:tc>
          <w:tcPr/>
          <w:p>
            <w:pPr>
              <w:pStyle w:val="Compact"/>
              <w:jc w:val="left"/>
            </w:pPr>
            <w:r>
              <w:t xml:space="preserve">7-11 anos E</w:t>
            </w:r>
          </w:p>
        </w:tc>
        <w:tc>
          <w:tcPr/>
          <w:p>
            <w:pPr>
              <w:pStyle w:val="Compact"/>
              <w:jc w:val="left"/>
            </w:pPr>
            <w:r>
              <w:t xml:space="preserve">ncargos por demanda; degradação; valor do despacho</w:t>
            </w:r>
          </w:p>
        </w:tc>
      </w:tr>
      <w:tr>
        <w:tc>
          <w:tcPr/>
          <w:p>
            <w:pPr>
              <w:pStyle w:val="Compact"/>
              <w:jc w:val="left"/>
            </w:pPr>
            <w:r>
              <w:t xml:space="preserve">Somente bateria</w:t>
            </w:r>
          </w:p>
        </w:tc>
        <w:tc>
          <w:tcPr/>
          <w:p>
            <w:pPr>
              <w:pStyle w:val="Compact"/>
              <w:jc w:val="left"/>
            </w:pPr>
            <w:r>
              <w:t xml:space="preserve">$18M</w:t>
            </w:r>
          </w:p>
        </w:tc>
        <w:tc>
          <w:tcPr/>
          <w:p>
            <w:pPr>
              <w:pStyle w:val="Compact"/>
            </w:pPr>
            <w:r>
              <w:t xml:space="preserve">$1,8M-$3,6M</w:t>
            </w:r>
          </w:p>
        </w:tc>
        <w:tc>
          <w:tcPr/>
          <w:p>
            <w:pPr>
              <w:pStyle w:val="Compact"/>
              <w:jc w:val="left"/>
            </w:pPr>
            <w:r>
              <w:t xml:space="preserve">5-10 anos</w:t>
            </w:r>
          </w:p>
        </w:tc>
        <w:tc>
          <w:tcPr/>
          <w:p>
            <w:pPr>
              <w:pStyle w:val="Compact"/>
              <w:jc w:val="left"/>
            </w:pPr>
            <w:r>
              <w:t xml:space="preserve">Previsibilidade de pico; regras de mercado</w:t>
            </w:r>
          </w:p>
        </w:tc>
      </w:tr>
    </w:tbl>
    <w:p>
      <w:pPr>
        <w:pStyle w:val="BodyText"/>
      </w:pPr>
      <w:r>
        <w:t xml:space="preserve">O diretor financeiro Daniel Brooks questionou a comparação. As estimativas de economia foram produzidas por diferentes fornecedores usando diferentes previsões de eletricidade, pressupostos de financiamento, taxas de degradação e definições de custo evitado. Alguns modelos creditavam à bateria tanto a economia de pico de demanda quanto o valor de backup de emergência, mesmo que a mesma energia armazenada nem sempre pudesse atender aos dois propósitos ao mesmo tempo.</w:t>
      </w:r>
    </w:p>
    <w:bookmarkEnd w:id="15"/>
    <w:bookmarkStart w:id="16" w:name="X567a1fe3f22bd98996172a4e0f8e55c8e35d66d"/>
    <w:p>
      <w:pPr>
        <w:pStyle w:val="Heading2"/>
      </w:pPr>
      <w:r>
        <w:t xml:space="preserve">3. Converter calor de processo para gás natural</w:t>
      </w:r>
    </w:p>
    <w:p>
      <w:pPr>
        <w:pStyle w:val="FirstParagraph"/>
      </w:pPr>
      <w:r>
        <w:t xml:space="preserve">O grupo de engenharia da Ridgeway identificou sete fornos elétricos, dois sistemas de cura e um sistema de aquecimento de água de lavagem como possíveis candidatos à conversão para gás natural. Juntos, representavam aproximadamente 26 gigawatts-hora de uso anual de eletricidade e 5,8 megawatts de demanda de pico coincidente. A conversão poderia reduzir a exposição à eletricidade, mas aumentaria o uso direto de combustível e as emissões.</w:t>
      </w:r>
    </w:p>
    <w:p>
      <w:pPr>
        <w:pStyle w:val="BodyText"/>
      </w:pPr>
      <w:r>
        <w:t xml:space="preserve">Os preços do gás natural haviam sido historicamente voláteis, e os preços da eletricidade e do gás não eram independentes, pois os geradores movidos a gás frequentemente influenciavam os preços de energia no atacado. A concessionária local de gás também alertou que a Ridgeway poderia precisar financiar parte de um reforço de gasoduto. As licenças ambientais poderiam levar de 12 a 24 meses. Vários clientes começaram a solicitar informações de emissões em nível de produto, levantando a preocupação de que uma conversão para gás pudesse entrar em conflito com futuros requisitos de aquisição.</w:t>
      </w:r>
    </w:p>
    <w:bookmarkEnd w:id="16"/>
    <w:bookmarkEnd w:id="17"/>
    <w:bookmarkStart w:id="19" w:name="a-alternativa-de-realocação"/>
    <w:p>
      <w:pPr>
        <w:pStyle w:val="Heading1"/>
      </w:pPr>
      <w:r>
        <w:t xml:space="preserve">A alternativa de realocação</w:t>
      </w:r>
    </w:p>
    <w:p>
      <w:pPr>
        <w:pStyle w:val="FirstParagraph"/>
      </w:pPr>
      <w:r>
        <w:t xml:space="preserve">A opção mais consequente era construir ou adquirir uma planta em outra região. O consultor imobiliário da Ridgeway identificou três locais preliminares. Cada um tinha preços atuais de eletricidade industrial mais baixos do que o Condado de Hamilton, terrenos industriais disponíveis e incentivos estaduais de desenvolvimento econômico. Nenhum replicava a força de trabalho qualificada de Hamilton, a rede de fornecedores e a proximidade com os clientes.</w:t>
      </w:r>
    </w:p>
    <w:bookmarkStart w:id="18" w:name="X4c82c2d3732f0916c20dd9ebcc5bd6398a57c3d"/>
    <w:p>
      <w:pPr>
        <w:pStyle w:val="Heading2"/>
      </w:pPr>
      <w:r>
        <w:t xml:space="preserve">Exhibit 3. Comparação preliminar de localizações</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pPr>
            <w:r>
              <w:t xml:space="preserve">Fator C</w:t>
            </w:r>
          </w:p>
        </w:tc>
        <w:tc>
          <w:tcPr/>
          <w:p>
            <w:pPr>
              <w:pStyle w:val="Compact"/>
            </w:pPr>
            <w:r>
              <w:t xml:space="preserve">ondado de Hamilton</w:t>
            </w:r>
          </w:p>
        </w:tc>
        <w:tc>
          <w:tcPr/>
          <w:p>
            <w:pPr>
              <w:pStyle w:val="Compact"/>
              <w:jc w:val="right"/>
            </w:pPr>
            <w:r>
              <w:t xml:space="preserve">Estado de River</w:t>
            </w:r>
          </w:p>
        </w:tc>
        <w:tc>
          <w:tcPr/>
          <w:p>
            <w:pPr>
              <w:pStyle w:val="Compact"/>
            </w:pPr>
            <w:r>
              <w:t xml:space="preserve">bend Estado de</w:t>
            </w:r>
          </w:p>
        </w:tc>
        <w:tc>
          <w:tcPr/>
          <w:p>
            <w:pPr>
              <w:pStyle w:val="Compact"/>
              <w:jc w:val="right"/>
            </w:pPr>
            <w:r>
              <w:t xml:space="preserve">Prairie Estado do Golfo</w:t>
            </w:r>
          </w:p>
        </w:tc>
      </w:tr>
      <w:tr>
        <w:tc>
          <w:tcPr/>
          <w:p>
            <w:pPr>
              <w:pStyle w:val="Compact"/>
            </w:pPr>
            <w:r>
              <w:t xml:space="preserve">Energia industrial: total atual</w:t>
            </w:r>
            <w:r>
              <w:br/>
            </w:r>
          </w:p>
        </w:tc>
        <w:tc>
          <w:tcPr/>
          <w:p>
            <w:pPr>
              <w:pStyle w:val="Compact"/>
            </w:pPr>
            <w:r>
              <w:t xml:space="preserve">$116/MWh</w:t>
            </w:r>
            <w:r>
              <w:br/>
            </w:r>
          </w:p>
        </w:tc>
        <w:tc>
          <w:tcPr/>
          <w:p>
            <w:pPr>
              <w:pStyle w:val="Compact"/>
              <w:jc w:val="right"/>
            </w:pPr>
            <w:r>
              <w:t xml:space="preserve">$73/MWh</w:t>
            </w:r>
            <w:r>
              <w:br/>
            </w:r>
          </w:p>
        </w:tc>
        <w:tc>
          <w:tcPr/>
          <w:p>
            <w:pPr>
              <w:pStyle w:val="Compact"/>
            </w:pPr>
            <w:r>
              <w:t xml:space="preserve">$68/MWh</w:t>
            </w:r>
            <w:r>
              <w:br/>
            </w:r>
          </w:p>
        </w:tc>
        <w:tc>
          <w:tcPr/>
          <w:p>
            <w:pPr>
              <w:pStyle w:val="Compact"/>
              <w:jc w:val="right"/>
            </w:pPr>
            <w:r>
              <w:t xml:space="preserve">$79/MWh</w:t>
            </w:r>
          </w:p>
        </w:tc>
      </w:tr>
      <w:tr>
        <w:tc>
          <w:tcPr/>
          <w:p>
            <w:pPr>
              <w:pStyle w:val="Compact"/>
            </w:pPr>
            <w:r>
              <w:t xml:space="preserve">Incerteza tarifária de 10 anos</w:t>
            </w:r>
          </w:p>
        </w:tc>
        <w:tc>
          <w:tcPr/>
          <w:p>
            <w:pPr>
              <w:pStyle w:val="Compact"/>
            </w:pPr>
            <w:r>
              <w:t xml:space="preserve">Alta</w:t>
            </w:r>
          </w:p>
        </w:tc>
        <w:tc>
          <w:tcPr/>
          <w:p>
            <w:pPr>
              <w:pStyle w:val="Compact"/>
              <w:jc w:val="right"/>
            </w:pPr>
            <w:r>
              <w:t xml:space="preserve">Média</w:t>
            </w:r>
          </w:p>
        </w:tc>
        <w:tc>
          <w:tcPr/>
          <w:p>
            <w:pPr>
              <w:pStyle w:val="Compact"/>
            </w:pPr>
            <w:r>
              <w:t xml:space="preserve">Média</w:t>
            </w:r>
          </w:p>
        </w:tc>
        <w:tc>
          <w:tcPr/>
          <w:p>
            <w:pPr>
              <w:pStyle w:val="Compact"/>
              <w:jc w:val="right"/>
            </w:pPr>
            <w:r>
              <w:t xml:space="preserve">Alta</w:t>
            </w:r>
          </w:p>
        </w:tc>
      </w:tr>
      <w:tr>
        <w:tc>
          <w:tcPr/>
          <w:p>
            <w:pPr>
              <w:pStyle w:val="Compact"/>
            </w:pPr>
            <w:r>
              <w:t xml:space="preserve">Acesso a gás natural</w:t>
            </w:r>
          </w:p>
        </w:tc>
        <w:tc>
          <w:tcPr/>
          <w:p>
            <w:pPr>
              <w:pStyle w:val="Compact"/>
            </w:pPr>
            <w:r>
              <w:t xml:space="preserve">Adequado</w:t>
            </w:r>
          </w:p>
        </w:tc>
        <w:tc>
          <w:tcPr/>
          <w:p>
            <w:pPr>
              <w:pStyle w:val="Compact"/>
              <w:jc w:val="right"/>
            </w:pPr>
            <w:r>
              <w:t xml:space="preserve">Forte</w:t>
            </w:r>
          </w:p>
        </w:tc>
        <w:tc>
          <w:tcPr/>
          <w:p>
            <w:pPr>
              <w:pStyle w:val="Compact"/>
            </w:pPr>
            <w:r>
              <w:t xml:space="preserve">Forte</w:t>
            </w:r>
          </w:p>
        </w:tc>
        <w:tc>
          <w:tcPr/>
          <w:p>
            <w:pPr>
              <w:pStyle w:val="Compact"/>
              <w:jc w:val="right"/>
            </w:pPr>
            <w:r>
              <w:t xml:space="preserve">Forte</w:t>
            </w:r>
          </w:p>
        </w:tc>
      </w:tr>
      <w:tr>
        <w:tc>
          <w:tcPr/>
          <w:p>
            <w:pPr>
              <w:pStyle w:val="Compact"/>
            </w:pPr>
            <w:r>
              <w:t xml:space="preserve">Investimento estimado em nova plant</w:t>
            </w:r>
          </w:p>
        </w:tc>
        <w:tc>
          <w:tcPr/>
          <w:p>
            <w:pPr>
              <w:pStyle w:val="Compact"/>
            </w:pPr>
            <w:r>
              <w:t xml:space="preserve">a N/A</w:t>
            </w:r>
          </w:p>
        </w:tc>
        <w:tc>
          <w:tcPr/>
          <w:p>
            <w:pPr>
              <w:pStyle w:val="Compact"/>
              <w:jc w:val="right"/>
            </w:pPr>
            <w:r>
              <w:t xml:space="preserve">$410M</w:t>
            </w:r>
          </w:p>
        </w:tc>
        <w:tc>
          <w:tcPr/>
          <w:p>
            <w:pPr>
              <w:pStyle w:val="Compact"/>
            </w:pPr>
            <w:r>
              <w:t xml:space="preserve">$385M</w:t>
            </w:r>
          </w:p>
        </w:tc>
        <w:tc>
          <w:tcPr/>
          <w:p>
            <w:pPr>
              <w:pStyle w:val="Compact"/>
              <w:jc w:val="right"/>
            </w:pPr>
            <w:r>
              <w:t xml:space="preserve">$430M</w:t>
            </w:r>
          </w:p>
        </w:tc>
      </w:tr>
      <w:tr>
        <w:tc>
          <w:tcPr/>
          <w:p>
            <w:pPr>
              <w:pStyle w:val="Compact"/>
            </w:pPr>
            <w:r>
              <w:t xml:space="preserve">Período de transição</w:t>
            </w:r>
          </w:p>
        </w:tc>
        <w:tc>
          <w:tcPr/>
          <w:p>
            <w:pPr>
              <w:pStyle w:val="Compact"/>
            </w:pPr>
            <w:r>
              <w:t xml:space="preserve">N/A</w:t>
            </w:r>
          </w:p>
        </w:tc>
        <w:tc>
          <w:tcPr/>
          <w:p>
            <w:pPr>
              <w:pStyle w:val="Compact"/>
              <w:jc w:val="right"/>
            </w:pPr>
            <w:r>
              <w:t xml:space="preserve">4-5 anos</w:t>
            </w:r>
          </w:p>
        </w:tc>
        <w:tc>
          <w:tcPr/>
          <w:p>
            <w:pPr>
              <w:pStyle w:val="Compact"/>
            </w:pPr>
            <w:r>
              <w:t xml:space="preserve">4-6 anos</w:t>
            </w:r>
          </w:p>
        </w:tc>
        <w:tc>
          <w:tcPr/>
          <w:p>
            <w:pPr>
              <w:pStyle w:val="Compact"/>
              <w:jc w:val="right"/>
            </w:pPr>
            <w:r>
              <w:t xml:space="preserve">4-5 anos</w:t>
            </w:r>
          </w:p>
        </w:tc>
      </w:tr>
      <w:tr>
        <w:tc>
          <w:tcPr/>
          <w:p>
            <w:pPr>
              <w:pStyle w:val="Compact"/>
            </w:pPr>
            <w:r>
              <w:t xml:space="preserve">Disponibilidade de mão de obra qual</w:t>
            </w:r>
          </w:p>
        </w:tc>
        <w:tc>
          <w:tcPr/>
          <w:p>
            <w:pPr>
              <w:pStyle w:val="Compact"/>
            </w:pPr>
            <w:r>
              <w:t xml:space="preserve">ificada For</w:t>
            </w:r>
          </w:p>
        </w:tc>
        <w:tc>
          <w:tcPr/>
          <w:p>
            <w:pPr>
              <w:pStyle w:val="Compact"/>
              <w:jc w:val="right"/>
            </w:pPr>
            <w:r>
              <w:t xml:space="preserve">te Mo</w:t>
            </w:r>
          </w:p>
        </w:tc>
        <w:tc>
          <w:tcPr/>
          <w:p>
            <w:pPr>
              <w:pStyle w:val="Compact"/>
            </w:pPr>
            <w:r>
              <w:t xml:space="preserve">derada</w:t>
            </w:r>
          </w:p>
        </w:tc>
        <w:tc>
          <w:tcPr/>
          <w:p>
            <w:pPr>
              <w:pStyle w:val="Compact"/>
              <w:jc w:val="right"/>
            </w:pPr>
            <w:r>
              <w:t xml:space="preserve">Limitada Moderada</w:t>
            </w:r>
          </w:p>
        </w:tc>
      </w:tr>
      <w:tr>
        <w:tc>
          <w:tcPr/>
          <w:p>
            <w:pPr>
              <w:pStyle w:val="Compact"/>
            </w:pPr>
            <w:r>
              <w:t xml:space="preserve">Efeito no frete do cliente</w:t>
            </w:r>
          </w:p>
        </w:tc>
        <w:tc>
          <w:tcPr/>
          <w:p>
            <w:pPr>
              <w:pStyle w:val="Compact"/>
            </w:pPr>
            <w:r>
              <w:t xml:space="preserve">Base geral</w:t>
            </w:r>
          </w:p>
        </w:tc>
        <w:tc>
          <w:tcPr/>
          <w:p>
            <w:pPr>
              <w:pStyle w:val="Compact"/>
              <w:jc w:val="right"/>
            </w:pPr>
            <w:r>
              <w:t xml:space="preserve">+$7M/ano</w:t>
            </w:r>
          </w:p>
        </w:tc>
        <w:tc>
          <w:tcPr/>
          <w:p>
            <w:pPr>
              <w:pStyle w:val="Compact"/>
            </w:pPr>
            <w:r>
              <w:t xml:space="preserve">+$13M/ano</w:t>
            </w:r>
          </w:p>
        </w:tc>
        <w:tc>
          <w:tcPr/>
          <w:p>
            <w:pPr>
              <w:pStyle w:val="Compact"/>
              <w:jc w:val="right"/>
            </w:pPr>
            <w:r>
              <w:t xml:space="preserve">+$9M/ano</w:t>
            </w:r>
          </w:p>
        </w:tc>
      </w:tr>
      <w:tr>
        <w:tc>
          <w:tcPr/>
          <w:p>
            <w:pPr>
              <w:pStyle w:val="Compact"/>
            </w:pPr>
            <w:r>
              <w:t xml:space="preserve">Incentivos estaduais/locais</w:t>
            </w:r>
          </w:p>
        </w:tc>
        <w:tc>
          <w:tcPr/>
          <w:p>
            <w:pPr>
              <w:pStyle w:val="Compact"/>
            </w:pPr>
            <w:r>
              <w:t xml:space="preserve">Limitados</w:t>
            </w:r>
          </w:p>
        </w:tc>
        <w:tc>
          <w:tcPr/>
          <w:p>
            <w:pPr>
              <w:pStyle w:val="Compact"/>
              <w:jc w:val="right"/>
            </w:pPr>
            <w:r>
              <w:t xml:space="preserve">$54M</w:t>
            </w:r>
          </w:p>
        </w:tc>
        <w:tc>
          <w:tcPr/>
          <w:p>
            <w:pPr>
              <w:pStyle w:val="Compact"/>
            </w:pPr>
            <w:r>
              <w:t xml:space="preserve">$72M</w:t>
            </w:r>
          </w:p>
        </w:tc>
        <w:tc>
          <w:tcPr/>
          <w:p>
            <w:pPr>
              <w:pStyle w:val="Compact"/>
              <w:jc w:val="right"/>
            </w:pPr>
            <w:r>
              <w:t xml:space="preserve">$61M</w:t>
            </w:r>
          </w:p>
        </w:tc>
      </w:tr>
      <w:tr>
        <w:tc>
          <w:tcPr/>
          <w:p>
            <w:pPr>
              <w:pStyle w:val="Compact"/>
            </w:pPr>
            <w:r>
              <w:t xml:space="preserve">Exposição climática</w:t>
            </w:r>
          </w:p>
        </w:tc>
        <w:tc>
          <w:tcPr/>
          <w:p>
            <w:pPr>
              <w:pStyle w:val="Compact"/>
            </w:pPr>
            <w:r>
              <w:t xml:space="preserve">Moderada</w:t>
            </w:r>
          </w:p>
        </w:tc>
        <w:tc>
          <w:tcPr/>
          <w:p>
            <w:pPr>
              <w:pStyle w:val="Compact"/>
              <w:jc w:val="right"/>
            </w:pPr>
            <w:r>
              <w:t xml:space="preserve">Enchentes</w:t>
            </w:r>
          </w:p>
        </w:tc>
        <w:tc>
          <w:tcPr/>
          <w:p>
            <w:pPr>
              <w:pStyle w:val="Compact"/>
            </w:pPr>
            <w:r>
              <w:t xml:space="preserve">Tempest</w:t>
            </w:r>
          </w:p>
        </w:tc>
        <w:tc>
          <w:tcPr/>
          <w:p>
            <w:pPr>
              <w:pStyle w:val="Compact"/>
              <w:jc w:val="right"/>
            </w:pPr>
            <w:r>
              <w:t xml:space="preserve">ades de inverno Furacões</w:t>
            </w:r>
          </w:p>
        </w:tc>
      </w:tr>
    </w:tbl>
    <w:p>
      <w:pPr>
        <w:pStyle w:val="BodyText"/>
      </w:pPr>
      <w:r>
        <w:t xml:space="preserve">Uma mudança completa não era a única alternativa de rede. A Ridgeway poderia realocar apenas os processos mais intensivos em energia, adicionar uma segunda planta, terceirizar o tratamento térmico ou construir nova capacidade em outro lugar enquanto reduzia gradualmente o papel de Hamilton. Cada abordagem criava custos de coordenação, estoques duplicados e desafios de controle de qualidade. Os clientes em indústrias regulamentadas poderiam exigir meses de validação antes de aceitar produtos de uma nova instalação.</w:t>
      </w:r>
    </w:p>
    <w:p>
      <w:pPr>
        <w:pStyle w:val="BodyText"/>
      </w:pPr>
      <w:r>
        <w:t xml:space="preserve">O departamento de recursos humanos estimou que menos de 20% dos funcionários de Hamilton se mudariam. Substituir soldadores, maquinistas, inspetores, especialistas em manutenção e supervisores de produção experientes poderia prolongar o período de ramp-up. A comunidade de Hamilton havia apoiado a Ridgeway em recessões anteriores, e as autoridades locais alertaram que um fechamento afetaria fornecedores, escolas e as finanças municipais.</w:t>
      </w:r>
    </w:p>
    <w:bookmarkEnd w:id="18"/>
    <w:bookmarkEnd w:id="19"/>
    <w:bookmarkStart w:id="21" w:name="Xc71e1c73df95ed2ba3988dc5518de9235a2a39c"/>
    <w:p>
      <w:pPr>
        <w:pStyle w:val="Heading1"/>
      </w:pPr>
      <w:r>
        <w:t xml:space="preserve">Qual era o problema que a Ridgeway estava resolvendo?</w:t>
      </w:r>
    </w:p>
    <w:p>
      <w:pPr>
        <w:pStyle w:val="FirstParagraph"/>
      </w:pPr>
      <w:r>
        <w:t xml:space="preserve">A equipe executiva não concordava sobre o objetivo. Brooks definiu o problema como minimizar o valor presente dos custos de energia e transição. Shah enfatizava a redução da demanda de pico e a resiliência. O chefe de manufatura queria proteger a produtividade, a qualidade e o atendimento ao cliente. A diretora de sustentabilidade argumentava que as decisões de capital deveriam ser consistentes com os prováveis requisitos de emissões dos clientes. O diretor de estratégia via a questão da eletricidade como um elemento de uma questão mais ampla: se Hamilton continuava sendo o local certo para a próxima geração de tecnologia de produção da Ridgeway.</w:t>
      </w:r>
    </w:p>
    <w:p>
      <w:pPr>
        <w:pStyle w:val="BodyText"/>
      </w:pPr>
      <w:r>
        <w:t xml:space="preserve">A escolha do objetivo mudava a análise. Um projeto de solar e armazenamento poderia ter um retorno financeiro menor do que um projeto de eficiência, mas fornecer mais proteção contra interrupções. A conversão para gás natural poderia reduzir o custo de curto prazo, mas aumentar a exposição à regulação de carbono. A realocação poderia oferecer preços de energia mais baixos, mas criar custos maiores de frete, mão de obra e execução. Uma decisão baseada nas tarifas atuais poderia parecer diferente de uma baseada na flexibilidade para responder a condições futuras.</w:t>
      </w:r>
    </w:p>
    <w:bookmarkStart w:id="20" w:name="medidas-propostas-pela-equipe-do-projeto"/>
    <w:p>
      <w:pPr>
        <w:pStyle w:val="Heading2"/>
      </w:pPr>
      <w:r>
        <w:t xml:space="preserve">Medidas propostas pela equipe do projeto</w:t>
      </w:r>
    </w:p>
    <w:p>
      <w:pPr>
        <w:numPr>
          <w:ilvl w:val="0"/>
          <w:numId w:val="1001"/>
        </w:numPr>
      </w:pPr>
      <w:r>
        <w:t xml:space="preserve">Valor presente líquido e requisitos anuais de caixa em horizontes de 5, 10, 15 e 20 anos.</w:t>
      </w:r>
    </w:p>
    <w:p>
      <w:pPr>
        <w:numPr>
          <w:ilvl w:val="0"/>
          <w:numId w:val="1001"/>
        </w:numPr>
      </w:pPr>
      <w:r>
        <w:t xml:space="preserve">Custo de manufatura por unidade, incluindo energia, mão de obra, frete, estoque e efeitos de transição.</w:t>
      </w:r>
    </w:p>
    <w:p>
      <w:pPr>
        <w:numPr>
          <w:ilvl w:val="0"/>
          <w:numId w:val="1001"/>
        </w:numPr>
      </w:pPr>
      <w:r>
        <w:t xml:space="preserve">Horas de produção perdidas esperadas e o valor da resiliência melhorada.</w:t>
      </w:r>
    </w:p>
    <w:p>
      <w:pPr>
        <w:numPr>
          <w:ilvl w:val="0"/>
          <w:numId w:val="1001"/>
        </w:numPr>
      </w:pPr>
      <w:r>
        <w:t xml:space="preserve">Emissões de gases de efeito estufa e exposição a futuros requisitos regulatórios ou de clientes.</w:t>
      </w:r>
    </w:p>
    <w:p>
      <w:pPr>
        <w:numPr>
          <w:ilvl w:val="0"/>
          <w:numId w:val="1001"/>
        </w:numPr>
      </w:pPr>
      <w:r>
        <w:t xml:space="preserve">Tempo de implementação, probabilidade de atraso e probabilidade de estouro de custo.</w:t>
      </w:r>
    </w:p>
    <w:p>
      <w:pPr>
        <w:numPr>
          <w:ilvl w:val="0"/>
          <w:numId w:val="1001"/>
        </w:numPr>
      </w:pPr>
      <w:r>
        <w:t xml:space="preserve">Reversibilidade: a capacidade de expandir, interromper ou redirecionar o investimento à medida que as condições mudam.</w:t>
      </w:r>
    </w:p>
    <w:p>
      <w:pPr>
        <w:numPr>
          <w:ilvl w:val="0"/>
          <w:numId w:val="1001"/>
        </w:numPr>
      </w:pPr>
      <w:r>
        <w:t xml:space="preserve">Efeitos sobre funcionários, fornecedores, clientes e a comunidade de Hamilton.</w:t>
      </w:r>
    </w:p>
    <w:bookmarkEnd w:id="20"/>
    <w:bookmarkEnd w:id="21"/>
    <w:bookmarkStart w:id="24" w:name="incerteza-em-todas-as-direções"/>
    <w:p>
      <w:pPr>
        <w:pStyle w:val="Heading1"/>
      </w:pPr>
      <w:r>
        <w:t xml:space="preserve">Incerteza em todas as direções</w:t>
      </w:r>
    </w:p>
    <w:p>
      <w:pPr>
        <w:pStyle w:val="FirstParagraph"/>
      </w:pPr>
      <w:r>
        <w:t xml:space="preserve">A equipe do projeto desenvolveu três cenários de tarifas de eletricidade, mas não conseguiu chegar a um acordo sobre as probabilidades. O cenário alto da concessionária pressupunha crescimento rápido dos data centers e investimento substancial em transmissão. Seu cenário baixo pressupunha que os grandes novos usuários financiariam mais da infraestrutura necessária e que vários projetos propostos seriam adiados ou cancelados. Os consultores da Ridgeway acrescentaram uma quarta possibilidade: os reguladores regionais poderiam introduzir uma tarifa especial para novas cargas muito grandes, reduzindo a pressão de custo sobre os clientes existentes.</w:t>
      </w:r>
    </w:p>
    <w:bookmarkStart w:id="22" w:name="X5f39797499f5e92a1b6073f87743a2a2170c20f"/>
    <w:p>
      <w:pPr>
        <w:pStyle w:val="Heading2"/>
      </w:pPr>
      <w:r>
        <w:t xml:space="preserve">Exhibit 4. Cenários de tarifa de eletricidade de Hamilton</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pPr>
            <w:r>
              <w:t xml:space="preserve">Cenário T</w:t>
            </w:r>
          </w:p>
        </w:tc>
        <w:tc>
          <w:tcPr/>
          <w:p>
            <w:pPr>
              <w:pStyle w:val="Compact"/>
              <w:jc w:val="left"/>
            </w:pPr>
            <w:r>
              <w:t xml:space="preserve">arifa total 2030</w:t>
            </w:r>
          </w:p>
        </w:tc>
        <w:tc>
          <w:tcPr/>
          <w:p>
            <w:pPr>
              <w:pStyle w:val="Compact"/>
              <w:jc w:val="left"/>
            </w:pPr>
            <w:r>
              <w:t xml:space="preserve">Tarifa total 2035</w:t>
            </w:r>
          </w:p>
        </w:tc>
        <w:tc>
          <w:tcPr/>
          <w:p>
            <w:pPr>
              <w:pStyle w:val="Compact"/>
              <w:jc w:val="center"/>
            </w:pPr>
            <w:r>
              <w:t xml:space="preserve">Descrição</w:t>
            </w:r>
          </w:p>
        </w:tc>
      </w:tr>
      <w:tr>
        <w:tc>
          <w:tcPr/>
          <w:p>
            <w:pPr>
              <w:pStyle w:val="Compact"/>
            </w:pPr>
            <w:r>
              <w:t xml:space="preserve">Alívio</w:t>
            </w:r>
          </w:p>
        </w:tc>
        <w:tc>
          <w:tcPr/>
          <w:p>
            <w:pPr>
              <w:pStyle w:val="Compact"/>
              <w:jc w:val="left"/>
            </w:pPr>
            <w:r>
              <w:t xml:space="preserve">$124/MWh</w:t>
            </w:r>
          </w:p>
        </w:tc>
        <w:tc>
          <w:tcPr/>
          <w:p>
            <w:pPr>
              <w:pStyle w:val="Compact"/>
              <w:jc w:val="left"/>
            </w:pPr>
            <w:r>
              <w:t xml:space="preserve">$130/MWh</w:t>
            </w:r>
          </w:p>
        </w:tc>
        <w:tc>
          <w:tcPr/>
          <w:p>
            <w:pPr>
              <w:pStyle w:val="Compact"/>
              <w:jc w:val="center"/>
            </w:pPr>
            <w:r>
              <w:t xml:space="preserve">Novas tarifas para grandes cargas e construção mais lenta de data centers</w:t>
            </w:r>
          </w:p>
        </w:tc>
      </w:tr>
      <w:tr>
        <w:tc>
          <w:tcPr/>
          <w:p>
            <w:pPr>
              <w:pStyle w:val="Compact"/>
            </w:pPr>
            <w:r>
              <w:t xml:space="preserve">Crescimento gerenci</w:t>
            </w:r>
          </w:p>
        </w:tc>
        <w:tc>
          <w:tcPr/>
          <w:p>
            <w:pPr>
              <w:pStyle w:val="Compact"/>
              <w:jc w:val="left"/>
            </w:pPr>
            <w:r>
              <w:t xml:space="preserve">ado $145/MWh</w:t>
            </w:r>
          </w:p>
        </w:tc>
        <w:tc>
          <w:tcPr/>
          <w:p>
            <w:pPr>
              <w:pStyle w:val="Compact"/>
              <w:jc w:val="left"/>
            </w:pPr>
            <w:r>
              <w:t xml:space="preserve">$158/MWh</w:t>
            </w:r>
          </w:p>
        </w:tc>
        <w:tc>
          <w:tcPr/>
          <w:p>
            <w:pPr>
              <w:pStyle w:val="Compact"/>
              <w:jc w:val="center"/>
            </w:pPr>
            <w:r>
              <w:t xml:space="preserve">Investimento em rede distribuído entre clientes; crescimento moderado da demanda</w:t>
            </w:r>
          </w:p>
        </w:tc>
      </w:tr>
      <w:tr>
        <w:tc>
          <w:tcPr/>
          <w:p>
            <w:pPr>
              <w:pStyle w:val="Compact"/>
            </w:pPr>
            <w:r>
              <w:t xml:space="preserve">Aperto de capacidad</w:t>
            </w:r>
          </w:p>
        </w:tc>
        <w:tc>
          <w:tcPr/>
          <w:p>
            <w:pPr>
              <w:pStyle w:val="Compact"/>
              <w:jc w:val="left"/>
            </w:pPr>
            <w:r>
              <w:t xml:space="preserve">e $171/MWh</w:t>
            </w:r>
          </w:p>
        </w:tc>
        <w:tc>
          <w:tcPr/>
          <w:p>
            <w:pPr>
              <w:pStyle w:val="Compact"/>
              <w:jc w:val="left"/>
            </w:pPr>
            <w:r>
              <w:t xml:space="preserve">$198/MWh</w:t>
            </w:r>
          </w:p>
        </w:tc>
        <w:tc>
          <w:tcPr/>
          <w:p>
            <w:pPr>
              <w:pStyle w:val="Compact"/>
              <w:jc w:val="center"/>
            </w:pPr>
            <w:r>
              <w:t xml:space="preserve">Adições rápidas de carga, atrasos de transmissão, altos encargos de capacidade</w:t>
            </w:r>
          </w:p>
        </w:tc>
      </w:tr>
      <w:tr>
        <w:tc>
          <w:tcPr/>
          <w:p>
            <w:pPr>
              <w:pStyle w:val="Compact"/>
            </w:pPr>
            <w:r>
              <w:t xml:space="preserve">Rede volátil</w:t>
            </w:r>
          </w:p>
        </w:tc>
        <w:tc>
          <w:tcPr/>
          <w:p>
            <w:pPr>
              <w:pStyle w:val="Compact"/>
              <w:jc w:val="left"/>
            </w:pPr>
            <w:r>
              <w:t xml:space="preserve">$135-$190/MWh</w:t>
            </w:r>
          </w:p>
        </w:tc>
        <w:tc>
          <w:tcPr/>
          <w:p>
            <w:pPr>
              <w:pStyle w:val="Compact"/>
              <w:jc w:val="left"/>
            </w:pPr>
            <w:r>
              <w:t xml:space="preserve">$140-$220/MWh</w:t>
            </w:r>
          </w:p>
        </w:tc>
        <w:tc>
          <w:tcPr/>
          <w:p>
            <w:pPr>
              <w:pStyle w:val="Compact"/>
              <w:jc w:val="center"/>
            </w:pPr>
            <w:r>
              <w:t xml:space="preserve">Picos de preço frequentes e estruturas tarifárias em mudança</w:t>
            </w:r>
          </w:p>
        </w:tc>
      </w:tr>
    </w:tbl>
    <w:p>
      <w:pPr>
        <w:pStyle w:val="BodyText"/>
      </w:pPr>
      <w:r>
        <w:t xml:space="preserve">As previsões de gás natural eram igualmente incertas. O modelo de engenharia usou um preço entregue de $6,40 por milhão de Btu, com escalonamento de 2,5% ao ano. O departamento financeiro solicitou análises de sensibilidade em $4, $8 e $12. A equipe de sustentabilidade solicitou um cenário de custo de carbono. As operações questionaram se o serviço de gás seria restringido durante condições climáticas extremas de inverno.</w:t>
      </w:r>
    </w:p>
    <w:p>
      <w:pPr>
        <w:pStyle w:val="BodyText"/>
      </w:pPr>
      <w:r>
        <w:t xml:space="preserve">Os pressupostos de tecnologia e política também importavam. As propostas de solar e bateria poderiam mudar antes da aprovação da interconexão. Os incentivos fiscais poderiam ser modificados. O desempenho da bateria dependeria dos padrões de ciclagem e da temperatura. Um novo processo de manufatura em desenvolvimento poderia reduzir o uso de fornos em 40% — ou não se qualificar com os clientes. O maior cliente da Ridgeway estava negociando um contrato de cinco anos que poderia aumentar o volume de Hamilton em 18%, mas o contrato não estava garantido.</w:t>
      </w:r>
    </w:p>
    <w:bookmarkEnd w:id="22"/>
    <w:bookmarkStart w:id="23" w:name="X78c8969cec1d77d2b913794cb6a032cd6f5f269"/>
    <w:p>
      <w:pPr>
        <w:pStyle w:val="Heading2"/>
      </w:pPr>
      <w:r>
        <w:t xml:space="preserve">Exhibit 5. Principais incertezas e decisões potencialmente afetadas</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pPr>
            <w:r>
              <w:t xml:space="preserve">Incerteza Re</w:t>
            </w:r>
          </w:p>
        </w:tc>
        <w:tc>
          <w:tcPr/>
          <w:p>
            <w:pPr>
              <w:pStyle w:val="Compact"/>
              <w:jc w:val="left"/>
            </w:pPr>
            <w:r>
              <w:t xml:space="preserve">sultado baixo/alternativo</w:t>
            </w:r>
          </w:p>
        </w:tc>
        <w:tc>
          <w:tcPr/>
          <w:p>
            <w:pPr>
              <w:pStyle w:val="Compact"/>
              <w:jc w:val="center"/>
            </w:pPr>
            <w:r>
              <w:t xml:space="preserve">Resultado alto/alternativo</w:t>
            </w:r>
          </w:p>
        </w:tc>
        <w:tc>
          <w:tcPr/>
          <w:p>
            <w:pPr>
              <w:pStyle w:val="Compact"/>
              <w:jc w:val="center"/>
            </w:pPr>
            <w:r>
              <w:t xml:space="preserve">Decisões mais afetadas</w:t>
            </w:r>
          </w:p>
        </w:tc>
      </w:tr>
      <w:tr>
        <w:tc>
          <w:tcPr/>
          <w:p>
            <w:pPr>
              <w:pStyle w:val="Compact"/>
            </w:pPr>
            <w:r>
              <w:t xml:space="preserve">Tarifas regionais de eletricidade</w:t>
            </w:r>
          </w:p>
        </w:tc>
        <w:tc>
          <w:tcPr/>
          <w:p>
            <w:pPr>
              <w:pStyle w:val="Compact"/>
              <w:jc w:val="left"/>
            </w:pPr>
            <w:r>
              <w:t xml:space="preserve">Os custos se estabilizam</w:t>
            </w:r>
          </w:p>
        </w:tc>
        <w:tc>
          <w:tcPr/>
          <w:p>
            <w:pPr>
              <w:pStyle w:val="Compact"/>
              <w:jc w:val="center"/>
            </w:pPr>
            <w:r>
              <w:t xml:space="preserve">As tarifas e os encargos de</w:t>
            </w:r>
          </w:p>
        </w:tc>
        <w:tc>
          <w:tcPr/>
          <w:p>
            <w:pPr>
              <w:pStyle w:val="Compact"/>
              <w:jc w:val="center"/>
            </w:pPr>
            <w:r>
              <w:t xml:space="preserve">demanda sobem acentuadamente Realocação, solar, armazenamento, eficiência</w:t>
            </w:r>
          </w:p>
        </w:tc>
      </w:tr>
      <w:tr>
        <w:tc>
          <w:tcPr/>
          <w:p>
            <w:pPr>
              <w:pStyle w:val="Compact"/>
            </w:pPr>
            <w:r>
              <w:t xml:space="preserve">Preços do gás natural</w:t>
            </w:r>
          </w:p>
        </w:tc>
        <w:tc>
          <w:tcPr/>
          <w:p>
            <w:pPr>
              <w:pStyle w:val="Compact"/>
              <w:jc w:val="left"/>
            </w:pPr>
            <w:r>
              <w:t xml:space="preserve">Oferta abundante; preços moderad</w:t>
            </w:r>
          </w:p>
        </w:tc>
        <w:tc>
          <w:tcPr/>
          <w:p>
            <w:pPr>
              <w:pStyle w:val="Compact"/>
              <w:jc w:val="center"/>
            </w:pPr>
            <w:r>
              <w:t xml:space="preserve">os A demanda por exportação ou interrupçõe</w:t>
            </w:r>
          </w:p>
        </w:tc>
        <w:tc>
          <w:tcPr/>
          <w:p>
            <w:pPr>
              <w:pStyle w:val="Compact"/>
              <w:jc w:val="center"/>
            </w:pPr>
            <w:r>
              <w:t xml:space="preserve">s elevam os preços Conversão de processo, CHP</w:t>
            </w:r>
          </w:p>
        </w:tc>
      </w:tr>
      <w:tr>
        <w:tc>
          <w:tcPr/>
          <w:p>
            <w:pPr>
              <w:pStyle w:val="Compact"/>
            </w:pPr>
            <w:r>
              <w:t xml:space="preserve">Demanda de produção</w:t>
            </w:r>
          </w:p>
        </w:tc>
        <w:tc>
          <w:tcPr/>
          <w:p>
            <w:pPr>
              <w:pStyle w:val="Compact"/>
              <w:jc w:val="left"/>
            </w:pPr>
            <w:r>
              <w:t xml:space="preserve">Estável ou em declínio</w:t>
            </w:r>
          </w:p>
        </w:tc>
        <w:tc>
          <w:tcPr/>
          <w:p>
            <w:pPr>
              <w:pStyle w:val="Compact"/>
              <w:jc w:val="center"/>
            </w:pPr>
            <w:r>
              <w:t xml:space="preserve">Contrato importante de cliente; cre</w:t>
            </w:r>
          </w:p>
        </w:tc>
        <w:tc>
          <w:tcPr/>
          <w:p>
            <w:pPr>
              <w:pStyle w:val="Compact"/>
              <w:jc w:val="center"/>
            </w:pPr>
            <w:r>
              <w:t xml:space="preserve">scimento de 18% Dimensionamento da planta, realocação, escala solar</w:t>
            </w:r>
          </w:p>
        </w:tc>
      </w:tr>
      <w:tr>
        <w:tc>
          <w:tcPr/>
          <w:p>
            <w:pPr>
              <w:pStyle w:val="Compact"/>
            </w:pPr>
            <w:r>
              <w:t xml:space="preserve">Requisitos de emissões dos cliente</w:t>
            </w:r>
          </w:p>
        </w:tc>
        <w:tc>
          <w:tcPr/>
          <w:p>
            <w:pPr>
              <w:pStyle w:val="Compact"/>
              <w:jc w:val="left"/>
            </w:pPr>
            <w:r>
              <w:t xml:space="preserve">s Relatórios voluntários</w:t>
            </w:r>
          </w:p>
        </w:tc>
        <w:tc>
          <w:tcPr/>
          <w:p>
            <w:pPr>
              <w:pStyle w:val="Compact"/>
              <w:jc w:val="center"/>
            </w:pPr>
            <w:r>
              <w:t xml:space="preserve">Limiares vinculantes de aquisição</w:t>
            </w:r>
          </w:p>
        </w:tc>
        <w:tc>
          <w:tcPr/>
          <w:p>
            <w:pPr>
              <w:pStyle w:val="Compact"/>
              <w:jc w:val="center"/>
            </w:pPr>
            <w:r>
              <w:t xml:space="preserve">Gás natural, realocação, fornecimento renovável</w:t>
            </w:r>
          </w:p>
        </w:tc>
      </w:tr>
      <w:tr>
        <w:tc>
          <w:tcPr/>
          <w:p>
            <w:pPr>
              <w:pStyle w:val="Compact"/>
            </w:pPr>
            <w:r>
              <w:t xml:space="preserve">Prazo de interconexão</w:t>
            </w:r>
          </w:p>
        </w:tc>
        <w:tc>
          <w:tcPr/>
          <w:p>
            <w:pPr>
              <w:pStyle w:val="Compact"/>
              <w:jc w:val="left"/>
            </w:pPr>
            <w:r>
              <w:t xml:space="preserve">18 meses M</w:t>
            </w:r>
          </w:p>
        </w:tc>
        <w:tc>
          <w:tcPr/>
          <w:p>
            <w:pPr>
              <w:pStyle w:val="Compact"/>
              <w:jc w:val="center"/>
            </w:pPr>
            <w:r>
              <w:t xml:space="preserve">ais de 4 anos e custo de atualização importa</w:t>
            </w:r>
          </w:p>
        </w:tc>
        <w:tc>
          <w:tcPr/>
          <w:p>
            <w:pPr>
              <w:pStyle w:val="Compact"/>
              <w:jc w:val="center"/>
            </w:pPr>
            <w:r>
              <w:t xml:space="preserve">nte Solar e bateria</w:t>
            </w:r>
          </w:p>
        </w:tc>
      </w:tr>
      <w:tr>
        <w:tc>
          <w:tcPr/>
          <w:p>
            <w:pPr>
              <w:pStyle w:val="Compact"/>
            </w:pPr>
            <w:r>
              <w:t xml:space="preserve">Nova tecnologia de processo</w:t>
            </w:r>
          </w:p>
        </w:tc>
        <w:tc>
          <w:tcPr/>
          <w:p>
            <w:pPr>
              <w:pStyle w:val="Compact"/>
              <w:jc w:val="left"/>
            </w:pPr>
            <w:r>
              <w:t xml:space="preserve">Qualificação bem-sucedida</w:t>
            </w:r>
          </w:p>
        </w:tc>
        <w:tc>
          <w:tcPr/>
          <w:p>
            <w:pPr>
              <w:pStyle w:val="Compact"/>
              <w:jc w:val="center"/>
            </w:pPr>
            <w:r>
              <w:t xml:space="preserve">Atraso ou falha técnica</w:t>
            </w:r>
          </w:p>
        </w:tc>
        <w:tc>
          <w:tcPr/>
          <w:p>
            <w:pPr>
              <w:pStyle w:val="Compact"/>
              <w:jc w:val="center"/>
            </w:pPr>
            <w:r>
              <w:t xml:space="preserve">Conversão de fornos, planejamento de capacidade</w:t>
            </w:r>
          </w:p>
        </w:tc>
      </w:tr>
      <w:tr>
        <w:tc>
          <w:tcPr/>
          <w:p>
            <w:pPr>
              <w:pStyle w:val="Compact"/>
            </w:pPr>
            <w:r>
              <w:t xml:space="preserve">Risco de interrupção da concession</w:t>
            </w:r>
          </w:p>
        </w:tc>
        <w:tc>
          <w:tcPr/>
          <w:p>
            <w:pPr>
              <w:pStyle w:val="Compact"/>
              <w:jc w:val="left"/>
            </w:pPr>
            <w:r>
              <w:t xml:space="preserve">ária Confiabilidade histórica con</w:t>
            </w:r>
          </w:p>
        </w:tc>
        <w:tc>
          <w:tcPr/>
          <w:p>
            <w:pPr>
              <w:pStyle w:val="Compact"/>
              <w:jc w:val="center"/>
            </w:pPr>
            <w:r>
              <w:t xml:space="preserve">tinua Congestionamento da rede aumenta as</w:t>
            </w:r>
          </w:p>
        </w:tc>
        <w:tc>
          <w:tcPr/>
          <w:p>
            <w:pPr>
              <w:pStyle w:val="Compact"/>
              <w:jc w:val="center"/>
            </w:pPr>
            <w:r>
              <w:t xml:space="preserve">interrupções Bateria, microrrede, realocação</w:t>
            </w:r>
          </w:p>
        </w:tc>
      </w:tr>
    </w:tbl>
    <w:bookmarkEnd w:id="23"/>
    <w:bookmarkEnd w:id="24"/>
    <w:bookmarkStart w:id="25" w:name="aprendendo-antes-de-se-comprometer"/>
    <w:p>
      <w:pPr>
        <w:pStyle w:val="Heading1"/>
      </w:pPr>
      <w:r>
        <w:t xml:space="preserve">Aprendendo antes de se comprometer</w:t>
      </w:r>
    </w:p>
    <w:p>
      <w:pPr>
        <w:pStyle w:val="FirstParagraph"/>
      </w:pPr>
      <w:r>
        <w:t xml:space="preserve">Marquez propôs que a Ridgeway separasse as ações que geravam informação das ações que comprometiam a empresa de forma irreversível. A submedição das linhas de produção, a negociação de opções tarifárias, a realização de estudos de telhado e interconexão, o teste de controles automáticos de pico e a conversão de um pequeno forno poderiam revelar informações úteis. Garantir uma opção sobre um terreno em outro estado poderia preservar uma alternativa de realocação sem autorizar a construção.</w:t>
      </w:r>
    </w:p>
    <w:p>
      <w:pPr>
        <w:pStyle w:val="BodyText"/>
      </w:pPr>
      <w:r>
        <w:t xml:space="preserve">No entanto, mesmo o aprendizado tinha um custo. Um programa abrangente de engenharia e localização foi estimado em $6,8 milhões ao longo de 18 meses. O desenvolvedor solar exigia um depósito para manter os preços. O local de realocação mais atraente permaneceria disponível apenas por seis meses. A fila de interconexão da concessionária estava crescendo. Esperar pela certeza poderia, em si mesmo, restringir as escolhas da Ridgeway.</w:t>
      </w:r>
    </w:p>
    <w:bookmarkEnd w:id="25"/>
    <w:bookmarkStart w:id="27" w:name="o-programa-de-investigação-proposto"/>
    <w:p>
      <w:pPr>
        <w:pStyle w:val="Heading1"/>
      </w:pPr>
      <w:r>
        <w:t xml:space="preserve">O programa de investigação proposto</w:t>
      </w:r>
    </w:p>
    <w:p>
      <w:pPr>
        <w:pStyle w:val="FirstParagraph"/>
      </w:pPr>
      <w:r>
        <w:t xml:space="preserve">O comitê executivo montou um programa de trabalho proposto. O conselho poderia aprová-lo integralmente, selecionar partes dele, ou pedir à administração que redesenhasse o esforço.</w:t>
      </w:r>
    </w:p>
    <w:bookmarkStart w:id="26" w:name="X1a1173900e6ce3d1a8f606a995c51ec04c0a03b"/>
    <w:p>
      <w:pPr>
        <w:pStyle w:val="Heading2"/>
      </w:pPr>
      <w:r>
        <w:t xml:space="preserve">Exhibit 6. Investigações e pilotos propostos</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jc w:val="left"/>
            </w:pPr>
            <w:r>
              <w:t xml:space="preserve">Iniciativa</w:t>
            </w:r>
          </w:p>
        </w:tc>
        <w:tc>
          <w:tcPr/>
          <w:p>
            <w:pPr>
              <w:pStyle w:val="Compact"/>
              <w:jc w:val="left"/>
            </w:pPr>
            <w:r>
              <w:t xml:space="preserve">Custo</w:t>
            </w:r>
          </w:p>
        </w:tc>
        <w:tc>
          <w:tcPr/>
          <w:p>
            <w:pPr>
              <w:pStyle w:val="Compact"/>
              <w:jc w:val="center"/>
            </w:pPr>
            <w:r>
              <w:t xml:space="preserve">Tempo</w:t>
            </w:r>
          </w:p>
        </w:tc>
        <w:tc>
          <w:tcPr/>
          <w:p>
            <w:pPr>
              <w:pStyle w:val="Compact"/>
              <w:jc w:val="center"/>
            </w:pPr>
            <w:r>
              <w:t xml:space="preserve">Objetivo principal de aprendizado</w:t>
            </w:r>
          </w:p>
        </w:tc>
        <w:tc>
          <w:tcPr/>
          <w:p>
            <w:pPr>
              <w:pStyle w:val="Compact"/>
              <w:jc w:val="right"/>
            </w:pPr>
            <w:r>
              <w:t xml:space="preserve">Compromisso potencial criado</w:t>
            </w:r>
          </w:p>
        </w:tc>
      </w:tr>
      <w:tr>
        <w:tc>
          <w:tcPr/>
          <w:p>
            <w:pPr>
              <w:pStyle w:val="Compact"/>
              <w:jc w:val="left"/>
            </w:pPr>
            <w:r>
              <w:t xml:space="preserve">Estudo de dados de intervalo e energia de</w:t>
            </w:r>
          </w:p>
        </w:tc>
        <w:tc>
          <w:tcPr/>
          <w:p>
            <w:pPr>
              <w:pStyle w:val="Compact"/>
              <w:jc w:val="left"/>
            </w:pPr>
            <w:r>
              <w:t xml:space="preserve">processo</w:t>
            </w:r>
          </w:p>
        </w:tc>
        <w:tc>
          <w:tcPr/>
          <w:p>
            <w:pPr>
              <w:pStyle w:val="Compact"/>
              <w:jc w:val="center"/>
            </w:pPr>
            <w:r>
              <w:t xml:space="preserve">$0,55M 4 mese</w:t>
            </w:r>
          </w:p>
        </w:tc>
        <w:tc>
          <w:tcPr/>
          <w:p>
            <w:pPr>
              <w:pStyle w:val="Compact"/>
              <w:jc w:val="center"/>
            </w:pPr>
            <w:r>
              <w:t xml:space="preserve">s Identificar cargas, picos, flexibilidade e consumo evitá</w:t>
            </w:r>
          </w:p>
        </w:tc>
        <w:tc>
          <w:tcPr/>
          <w:p>
            <w:pPr>
              <w:pStyle w:val="Compact"/>
              <w:jc w:val="right"/>
            </w:pPr>
            <w:r>
              <w:t xml:space="preserve">vel Mínimo</w:t>
            </w:r>
          </w:p>
        </w:tc>
      </w:tr>
      <w:tr>
        <w:tc>
          <w:tcPr/>
          <w:p>
            <w:pPr>
              <w:pStyle w:val="Compact"/>
              <w:jc w:val="left"/>
            </w:pPr>
            <w:r>
              <w:t xml:space="preserve">Piloto de programação da produção</w:t>
            </w:r>
          </w:p>
        </w:tc>
        <w:tc>
          <w:tcPr/>
          <w:p>
            <w:pPr>
              <w:pStyle w:val="Compact"/>
              <w:jc w:val="left"/>
            </w:pPr>
            <w:r>
              <w:t xml:space="preserve">$0,</w:t>
            </w:r>
          </w:p>
        </w:tc>
        <w:tc>
          <w:tcPr/>
          <w:p>
            <w:pPr>
              <w:pStyle w:val="Compact"/>
              <w:jc w:val="center"/>
            </w:pPr>
            <w:r>
              <w:t xml:space="preserve">35M 6 meses</w:t>
            </w:r>
          </w:p>
        </w:tc>
        <w:tc>
          <w:tcPr/>
          <w:p>
            <w:pPr>
              <w:pStyle w:val="Compact"/>
              <w:jc w:val="center"/>
            </w:pPr>
            <w:r>
              <w:t xml:space="preserve">Medir o tradeoff entre picos de energia e desempenho de entreg</w:t>
            </w:r>
          </w:p>
        </w:tc>
        <w:tc>
          <w:tcPr/>
          <w:p>
            <w:pPr>
              <w:pStyle w:val="Compact"/>
              <w:jc w:val="right"/>
            </w:pPr>
            <w:r>
              <w:t xml:space="preserve">a Interrupção operacional</w:t>
            </w:r>
          </w:p>
        </w:tc>
      </w:tr>
      <w:tr>
        <w:tc>
          <w:tcPr/>
          <w:p>
            <w:pPr>
              <w:pStyle w:val="Compact"/>
              <w:jc w:val="left"/>
            </w:pPr>
            <w:r>
              <w:t xml:space="preserve">Engenharia solar/interconexão $0,</w:t>
            </w:r>
          </w:p>
        </w:tc>
        <w:tc>
          <w:tcPr/>
          <w:p>
            <w:pPr>
              <w:pStyle w:val="Compact"/>
              <w:jc w:val="left"/>
            </w:pPr>
            <w:r>
              <w:t xml:space="preserve">80M 9-18</w:t>
            </w:r>
          </w:p>
        </w:tc>
        <w:tc>
          <w:tcPr/>
          <w:p>
            <w:pPr>
              <w:pStyle w:val="Compact"/>
              <w:jc w:val="center"/>
            </w:pPr>
            <w:r>
              <w:t xml:space="preserve">meses Confi</w:t>
            </w:r>
          </w:p>
        </w:tc>
        <w:tc>
          <w:tcPr/>
          <w:p>
            <w:pPr>
              <w:pStyle w:val="Compact"/>
              <w:jc w:val="center"/>
            </w:pPr>
            <w:r>
              <w:t xml:space="preserve">rmar tamanho viável, custo de atualização e cronograma</w:t>
            </w:r>
          </w:p>
        </w:tc>
        <w:tc>
          <w:tcPr/>
          <w:p>
            <w:pPr>
              <w:pStyle w:val="Compact"/>
              <w:jc w:val="right"/>
            </w:pPr>
            <w:r>
              <w:t xml:space="preserve">Depósito e posição na fila</w:t>
            </w:r>
          </w:p>
        </w:tc>
      </w:tr>
      <w:tr>
        <w:tc>
          <w:tcPr/>
          <w:p>
            <w:pPr>
              <w:pStyle w:val="Compact"/>
              <w:jc w:val="left"/>
            </w:pPr>
            <w:r>
              <w:t xml:space="preserve">Piloto de bateria de 2 MW / 8 MWh</w:t>
            </w:r>
          </w:p>
        </w:tc>
        <w:tc>
          <w:tcPr/>
          <w:p>
            <w:pPr>
              <w:pStyle w:val="Compact"/>
              <w:jc w:val="left"/>
            </w:pPr>
            <w:r>
              <w:t xml:space="preserve">$4,2</w:t>
            </w:r>
          </w:p>
        </w:tc>
        <w:tc>
          <w:tcPr/>
          <w:p>
            <w:pPr>
              <w:pStyle w:val="Compact"/>
              <w:jc w:val="center"/>
            </w:pPr>
            <w:r>
              <w:t xml:space="preserve">M 12 meses</w:t>
            </w:r>
          </w:p>
        </w:tc>
        <w:tc>
          <w:tcPr/>
          <w:p>
            <w:pPr>
              <w:pStyle w:val="Compact"/>
              <w:jc w:val="center"/>
            </w:pPr>
            <w:r>
              <w:t xml:space="preserve">Testar previsão de pico, controles, degradação e resiliência</w:t>
            </w:r>
          </w:p>
        </w:tc>
        <w:tc>
          <w:tcPr/>
          <w:p>
            <w:pPr>
              <w:pStyle w:val="Compact"/>
              <w:jc w:val="right"/>
            </w:pPr>
            <w:r>
              <w:t xml:space="preserve">Equipamento com incerteza de revenda</w:t>
            </w:r>
          </w:p>
        </w:tc>
      </w:tr>
      <w:tr>
        <w:tc>
          <w:tcPr/>
          <w:p>
            <w:pPr>
              <w:pStyle w:val="Compact"/>
              <w:jc w:val="left"/>
            </w:pPr>
            <w:r>
              <w:t xml:space="preserve">Conversão de um único forno para gás</w:t>
            </w:r>
          </w:p>
        </w:tc>
        <w:tc>
          <w:tcPr/>
          <w:p>
            <w:pPr>
              <w:pStyle w:val="Compact"/>
              <w:jc w:val="left"/>
            </w:pPr>
            <w:r>
              <w:t xml:space="preserve">$1</w:t>
            </w:r>
          </w:p>
        </w:tc>
        <w:tc>
          <w:tcPr/>
          <w:p>
            <w:pPr>
              <w:pStyle w:val="Compact"/>
              <w:jc w:val="center"/>
            </w:pPr>
            <w:r>
              <w:t xml:space="preserve">,6M 12-18 meses</w:t>
            </w:r>
          </w:p>
        </w:tc>
        <w:tc>
          <w:tcPr/>
          <w:p>
            <w:pPr>
              <w:pStyle w:val="Compact"/>
              <w:jc w:val="center"/>
            </w:pPr>
            <w:r>
              <w:t xml:space="preserve">Validar qualidade do produto, economia de combustível, licenç</w:t>
            </w:r>
          </w:p>
        </w:tc>
        <w:tc>
          <w:tcPr/>
          <w:p>
            <w:pPr>
              <w:pStyle w:val="Compact"/>
              <w:jc w:val="right"/>
            </w:pPr>
            <w:r>
              <w:t xml:space="preserve">as e emissões Ativo específico de processo</w:t>
            </w:r>
          </w:p>
        </w:tc>
      </w:tr>
      <w:tr>
        <w:tc>
          <w:tcPr/>
          <w:p>
            <w:pPr>
              <w:pStyle w:val="Compact"/>
              <w:jc w:val="left"/>
            </w:pPr>
            <w:r>
              <w:t xml:space="preserve">Due diligence de local alternativo</w:t>
            </w:r>
          </w:p>
        </w:tc>
        <w:tc>
          <w:tcPr/>
          <w:p>
            <w:pPr>
              <w:pStyle w:val="Compact"/>
            </w:pPr>
          </w:p>
        </w:tc>
        <w:tc>
          <w:tcPr/>
          <w:p>
            <w:pPr>
              <w:pStyle w:val="Compact"/>
              <w:jc w:val="center"/>
            </w:pPr>
            <w:r>
              <w:t xml:space="preserve">$1,1M 6 meses</w:t>
            </w:r>
          </w:p>
        </w:tc>
        <w:tc>
          <w:tcPr/>
          <w:p>
            <w:pPr>
              <w:pStyle w:val="Compact"/>
              <w:jc w:val="center"/>
            </w:pPr>
            <w:r>
              <w:t xml:space="preserve">Validar concessionárias, mão de obra, incentivos, logístic</w:t>
            </w:r>
          </w:p>
        </w:tc>
        <w:tc>
          <w:tcPr/>
          <w:p>
            <w:pPr>
              <w:pStyle w:val="Compact"/>
              <w:jc w:val="right"/>
            </w:pPr>
            <w:r>
              <w:t xml:space="preserve">a e licenciamento Sinaliza possível realocação</w:t>
            </w:r>
          </w:p>
        </w:tc>
      </w:tr>
      <w:tr>
        <w:tc>
          <w:tcPr/>
          <w:p>
            <w:pPr>
              <w:pStyle w:val="Compact"/>
              <w:jc w:val="left"/>
            </w:pPr>
            <w:r>
              <w:t xml:space="preserve">Opção de terreno em Riverbend</w:t>
            </w:r>
          </w:p>
        </w:tc>
        <w:tc>
          <w:tcPr/>
          <w:p>
            <w:pPr>
              <w:pStyle w:val="Compact"/>
              <w:jc w:val="left"/>
            </w:pPr>
            <w:r>
              <w:t xml:space="preserve">$2,5</w:t>
            </w:r>
          </w:p>
        </w:tc>
        <w:tc>
          <w:tcPr/>
          <w:p>
            <w:pPr>
              <w:pStyle w:val="Compact"/>
              <w:jc w:val="center"/>
            </w:pPr>
            <w:r>
              <w:t xml:space="preserve">M Opção de 18 m</w:t>
            </w:r>
          </w:p>
        </w:tc>
        <w:tc>
          <w:tcPr/>
          <w:p>
            <w:pPr>
              <w:pStyle w:val="Compact"/>
              <w:jc w:val="center"/>
            </w:pPr>
            <w:r>
              <w:t xml:space="preserve">eses Preservar o local preferido enquanto a análise continua</w:t>
            </w:r>
          </w:p>
        </w:tc>
        <w:tc>
          <w:tcPr/>
          <w:p>
            <w:pPr>
              <w:pStyle w:val="Compact"/>
              <w:jc w:val="right"/>
            </w:pPr>
            <w:r>
              <w:t xml:space="preserve">Taxa de opção não reembolsável</w:t>
            </w:r>
          </w:p>
        </w:tc>
      </w:tr>
    </w:tbl>
    <w:p>
      <w:pPr>
        <w:pStyle w:val="BodyText"/>
      </w:pPr>
      <w:r>
        <w:t xml:space="preserve">As iniciativas não eram independentes. O piloto de programação poderia reduzir o valor aparente de uma bateria. A qualificação bem-sucedida do novo processo de baixa temperatura poderia reduzir tanto o consumo de eletricidade quanto o argumento para a conversão para gás. Uma decisão de realocação poderia tornar obsoletos investimentos importantes em Hamilton. Por outro lado, adiar projetos de eficiência por causa de uma possível mudança poderia resultar em anos de custo evitável.</w:t>
      </w:r>
    </w:p>
    <w:bookmarkEnd w:id="26"/>
    <w:bookmarkEnd w:id="27"/>
    <w:bookmarkStart w:id="28" w:name="organizando-a-decisão"/>
    <w:p>
      <w:pPr>
        <w:pStyle w:val="Heading1"/>
      </w:pPr>
      <w:r>
        <w:t xml:space="preserve">Organizando a decisão</w:t>
      </w:r>
    </w:p>
    <w:p>
      <w:pPr>
        <w:pStyle w:val="FirstParagraph"/>
      </w:pPr>
      <w:r>
        <w:t xml:space="preserve">Marquez considerou um processo em estágios com quatro portões (gates). O primeiro diagnosticaria a origem do aumento da conta e estabeleceria uma linha de base comum. O segundo faria a triagem das alternativas quanto à viabilidade técnica, regulatória e operacional. O terceiro autorizaria pilotos e preservaria opções selecionadas. O quarto comprometeria capital em um portfólio de longo prazo ou em uma transição de rede de manufatura.</w:t>
      </w:r>
    </w:p>
    <w:p>
      <w:pPr>
        <w:pStyle w:val="BodyText"/>
      </w:pPr>
      <w:r>
        <w:t xml:space="preserve">Vários membros do conselho não gostaram da complexidade aparente. Um argumentou que a Ridgeway deveria se mudar rapidamente para um estado de menor custo. Outro acreditava que as empresas de manufatura rotineiramente superestimavam a economia com a realocação e subestimavam a disrupção. Um terceiro perguntou por que a Ridgeway deveria possuir ativos solares quando um desenvolvedor poderia financiá-los. O presidente do conselho queria uma recomendação que fosse compreensível, mensurável e vinculada a gatilhos futuros explícitos.</w:t>
      </w:r>
    </w:p>
    <w:bookmarkEnd w:id="28"/>
    <w:bookmarkStart w:id="29" w:name="a-noite-antes-da-reunião"/>
    <w:p>
      <w:pPr>
        <w:pStyle w:val="Heading1"/>
      </w:pPr>
      <w:r>
        <w:t xml:space="preserve">A noite antes da reunião</w:t>
      </w:r>
    </w:p>
    <w:p>
      <w:pPr>
        <w:pStyle w:val="FirstParagraph"/>
      </w:pPr>
      <w:r>
        <w:t xml:space="preserve">Na noite de quarta-feira, Marquez revisou a última apresentação. Ela continha mais de 70 slides e nenhuma classificação única das alternativas. O modelo financeiro favorecia a eficiência seguida por uma conversão parcial para gás sob seus pressupostos base. A análise de resiliência favorecia solar mais armazenamento. A análise de sustentabilidade favorecia eficiência, aquisição de energia renovável e eletrificação seletiva. O modelo de rede favorecia manter Hamilton, a menos que o cenário de tarifa alta persistisse por pelo menos sete anos. O consultor imobiliário alertou que a opção de Riverbend poderia não estar disponível após a próxima reunião do conselho.</w:t>
      </w:r>
    </w:p>
    <w:p>
      <w:pPr>
        <w:pStyle w:val="BodyText"/>
      </w:pPr>
      <w:r>
        <w:t xml:space="preserve">Marquez entendia por que as análises diferiam: cada equipe estava resolvendo uma versão diferente do problema. O que ela não sabia era se o conselho deveria exigir uma única recomendação integrada agora ou aprovar uma sequência de investigações projetadas para esclarecer a decisão ao longo do tempo.</w:t>
      </w:r>
    </w:p>
    <w:p>
      <w:pPr>
        <w:pStyle w:val="BodyText"/>
      </w:pPr>
      <w:r>
        <w:t xml:space="preserve">Às 22h14, o diretor-executivo enviou uma última mensagem: 'Amanhã, preciso que você nos diga o que devemos investigar, o que devemos fazer imediatamente e quais condições nos levariam a mudar de curso.'</w:t>
      </w:r>
    </w:p>
    <w:bookmarkEnd w:id="29"/>
    <w:bookmarkStart w:id="30" w:name="questões-de-discussão"/>
    <w:p>
      <w:pPr>
        <w:pStyle w:val="Heading1"/>
      </w:pPr>
      <w:r>
        <w:t xml:space="preserve">Questões de discussão</w:t>
      </w:r>
    </w:p>
    <w:p>
      <w:pPr>
        <w:numPr>
          <w:ilvl w:val="0"/>
          <w:numId w:val="1002"/>
        </w:numPr>
      </w:pPr>
      <w:r>
        <w:t xml:space="preserve">Como a Ridgeway deveria definir o problema de decisão? É principalmente um problema de aquisição de energia, um problema de design de processo, um problema de resiliência ou um problema de rede de manufatura?</w:t>
      </w:r>
    </w:p>
    <w:p>
      <w:pPr>
        <w:numPr>
          <w:ilvl w:val="0"/>
          <w:numId w:val="1002"/>
        </w:numPr>
      </w:pPr>
      <w:r>
        <w:t xml:space="preserve">Quais medidas de desempenho a administração deveria usar? Quais medidas são objetivos, restrições ou indicadores diagnósticos?</w:t>
      </w:r>
    </w:p>
    <w:p>
      <w:pPr>
        <w:numPr>
          <w:ilvl w:val="0"/>
          <w:numId w:val="1002"/>
        </w:numPr>
      </w:pPr>
      <w:r>
        <w:t xml:space="preserve">Quais dados adicionais a Ridgeway deveria coletar antes de comparar as alternativas? Qual informação faltante é mais provável de mudar a decisão?</w:t>
      </w:r>
    </w:p>
    <w:p>
      <w:pPr>
        <w:numPr>
          <w:ilvl w:val="0"/>
          <w:numId w:val="1002"/>
        </w:numPr>
      </w:pPr>
      <w:r>
        <w:t xml:space="preserve">Como a empresa deveria distinguir os aumentos de tarifa causados externamente dos custos causados por suas próprias práticas operacionais?</w:t>
      </w:r>
    </w:p>
    <w:p>
      <w:pPr>
        <w:numPr>
          <w:ilvl w:val="0"/>
          <w:numId w:val="1002"/>
        </w:numPr>
      </w:pPr>
      <w:r>
        <w:t xml:space="preserve">A energia solar, o armazenamento em baterias, a conversão para gás natural e a realocação devem ser avaliados como alternativas mutuamente exclusivas ou como elementos de portfólios e estratégias em estágios?</w:t>
      </w:r>
    </w:p>
    <w:p>
      <w:pPr>
        <w:numPr>
          <w:ilvl w:val="0"/>
          <w:numId w:val="1002"/>
        </w:numPr>
      </w:pPr>
      <w:r>
        <w:t xml:space="preserve">Quais investigações ou pilotos propostos têm o maior valor de informação? Quais parecem caros demais ou lentos demais em relação ao que poderiam ensinar?</w:t>
      </w:r>
    </w:p>
    <w:p>
      <w:pPr>
        <w:numPr>
          <w:ilvl w:val="0"/>
          <w:numId w:val="1002"/>
        </w:numPr>
      </w:pPr>
      <w:r>
        <w:t xml:space="preserve">Quais pressupostos tornariam a realocação atraente? Quais pressupostos tornariam a realocação claramente inferior?</w:t>
      </w:r>
    </w:p>
    <w:p>
      <w:pPr>
        <w:numPr>
          <w:ilvl w:val="0"/>
          <w:numId w:val="1002"/>
        </w:numPr>
      </w:pPr>
      <w:r>
        <w:t xml:space="preserve">Como a Ridgeway deveria avaliar a confiabilidade, a reversibilidade, a exposição a emissões, a disrupção da força de trabalho e os efeitos comunitários junto com os retornos financeiros?</w:t>
      </w:r>
    </w:p>
    <w:p>
      <w:pPr>
        <w:numPr>
          <w:ilvl w:val="0"/>
          <w:numId w:val="1002"/>
        </w:numPr>
      </w:pPr>
      <w:r>
        <w:t xml:space="preserve">Quais ações a Ridgeway deveria tomar imediatamente, mesmo antes de a incerteza ser resolvida? Quais compromissos deveria adiar?</w:t>
      </w:r>
    </w:p>
    <w:p>
      <w:pPr>
        <w:numPr>
          <w:ilvl w:val="0"/>
          <w:numId w:val="1002"/>
        </w:numPr>
      </w:pPr>
      <w:r>
        <w:t xml:space="preserve">Projete um conjunto de portões de decisão e condições de gatilho para os próximos três anos. Quais observações levariam a Ridgeway a expandir, interromper ou redirecionar cada iniciativa?</w:t>
      </w:r>
    </w:p>
    <w:bookmarkEnd w:id="30"/>
    <w:bookmarkStart w:id="36" w:name="questões-de-enquadramento-de-decisão"/>
    <w:p>
      <w:pPr>
        <w:pStyle w:val="Heading1"/>
      </w:pPr>
      <w:r>
        <w:t xml:space="preserve">Questões de enquadramento de decisão</w:t>
      </w:r>
    </w:p>
    <w:p>
      <w:pPr>
        <w:numPr>
          <w:ilvl w:val="0"/>
          <w:numId w:val="1003"/>
        </w:numPr>
      </w:pPr>
      <w:r>
        <w:t xml:space="preserve">Identifique e descreva as responsabilidades do tomador de decisão. Isso deve definir o escopo do problema.</w:t>
      </w:r>
    </w:p>
    <w:p>
      <w:pPr>
        <w:numPr>
          <w:ilvl w:val="0"/>
          <w:numId w:val="1003"/>
        </w:numPr>
      </w:pPr>
      <w:r>
        <w:t xml:space="preserve">Use a</w:t>
      </w:r>
      <w:r>
        <w:t xml:space="preserve"> </w:t>
      </w:r>
      <w:hyperlink r:id="rId31">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ela é uma métrica a ser maximizada (verde), minimizada (vermelha), uma meta que é um piso (verde claro) ou um teto (vermelho claro), ou, finalmente, uma meta-alvo (roxo).</w:t>
      </w:r>
    </w:p>
    <w:p>
      <w:pPr>
        <w:numPr>
          <w:ilvl w:val="0"/>
          <w:numId w:val="1003"/>
        </w:numPr>
      </w:pPr>
      <w:r>
        <w:t xml:space="preserve">Use a</w:t>
      </w:r>
      <w:r>
        <w:t xml:space="preserve"> </w:t>
      </w:r>
      <w:hyperlink r:id="rId32">
        <w:r>
          <w:rPr>
            <w:rStyle w:val="Hyperlink"/>
          </w:rPr>
          <w:t xml:space="preserve">ferramenta de priorização de decisões</w:t>
        </w:r>
      </w:hyperlink>
      <w:r>
        <w:t xml:space="preserve"> </w:t>
      </w:r>
      <w:r>
        <w:t xml:space="preserve">para primeiro listar os diferentes tipos de decisões (use os</w:t>
      </w:r>
      <w:r>
        <w:t xml:space="preserve"> </w:t>
      </w:r>
      <w:hyperlink r:id="rId33">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3"/>
        </w:numPr>
      </w:pPr>
      <w:r>
        <w:t xml:space="preserve">Você pode pegar a alça (três barras) mais à esquerda em cada linha para movê-la para cima ou para baixo. Ordene as linhas de modo que as decisões com maior impacto sobre as métricas mais importantes fiquem no topo. As células no canto superior esquerdo devem ter a maior concentração de células vermelhas e laranjas. Neste ponto, identifique as decisões que deveriam receber mais atenção em seu estudo. Se você não tiver nenhuma decisão com impacto médio ou alto sobre as métricas mais importantes, revise sua lista de decisões.</w:t>
      </w:r>
    </w:p>
    <w:p>
      <w:pPr>
        <w:numPr>
          <w:ilvl w:val="0"/>
          <w:numId w:val="1003"/>
        </w:numPr>
      </w:pPr>
      <w:r>
        <w:t xml:space="preserve">Repita o processo para listar e priorizar as incertezas usando a</w:t>
      </w:r>
      <w:r>
        <w:t xml:space="preserve"> </w:t>
      </w:r>
      <w:hyperlink r:id="rId34">
        <w:r>
          <w:rPr>
            <w:rStyle w:val="Hyperlink"/>
          </w:rPr>
          <w:t xml:space="preserve">ferramenta de priorização de incertezas</w:t>
        </w:r>
      </w:hyperlink>
      <w:r>
        <w:t xml:space="preserve">. Use as</w:t>
      </w:r>
      <w:r>
        <w:t xml:space="preserve"> </w:t>
      </w:r>
      <w:hyperlink r:id="rId35">
        <w:r>
          <w:rPr>
            <w:rStyle w:val="Hyperlink"/>
          </w:rPr>
          <w:t xml:space="preserve">categorias de incerteza</w:t>
        </w:r>
      </w:hyperlink>
      <w:r>
        <w:t xml:space="preserve"> </w:t>
      </w:r>
      <w:r>
        <w:t xml:space="preserve">para ajudá-lo a identificá-las.</w:t>
      </w:r>
    </w:p>
    <w:p>
      <w:pPr>
        <w:numPr>
          <w:ilvl w:val="0"/>
          <w:numId w:val="1003"/>
        </w:numPr>
      </w:pPr>
      <w:r>
        <w:t xml:space="preserve">É importante diferenciar as incertezas que podem ser avaliadas em média, ou como eventos de risco:</w:t>
      </w:r>
    </w:p>
    <w:p>
      <w:pPr>
        <w:numPr>
          <w:ilvl w:val="1"/>
          <w:numId w:val="1004"/>
        </w:numPr>
      </w:pPr>
      <w:r>
        <w:t xml:space="preserve">Quais fontes de incerteza seriam capturadas usando o desempenho médio ao longo do tempo?</w:t>
      </w:r>
    </w:p>
    <w:p>
      <w:pPr>
        <w:numPr>
          <w:ilvl w:val="1"/>
          <w:numId w:val="1004"/>
        </w:numPr>
      </w:pPr>
      <w:r>
        <w:t xml:space="preserve">Quais fontes de incerteza representam formas de risco que não são adequadamente capturadas usando médias?</w:t>
      </w:r>
    </w:p>
    <w:p>
      <w:pPr>
        <w:numPr>
          <w:ilvl w:val="0"/>
          <w:numId w:val="1003"/>
        </w:numPr>
      </w:pPr>
      <w:r>
        <w:t xml:space="preserve">Escolha a única decisão que parece ter o maior impacto sobre a métrica mais importante.</w:t>
      </w:r>
    </w:p>
    <w:p>
      <w:pPr>
        <w:numPr>
          <w:ilvl w:val="1"/>
          <w:numId w:val="1005"/>
        </w:numPr>
      </w:pPr>
      <w:r>
        <w:t xml:space="preserve">Que abordagem você acha que usaria para tomar essa decisão?</w:t>
      </w:r>
    </w:p>
    <w:p>
      <w:pPr>
        <w:numPr>
          <w:ilvl w:val="1"/>
          <w:numId w:val="1005"/>
        </w:numPr>
      </w:pPr>
      <w:r>
        <w:t xml:space="preserve">Quais dados parecem ser necessários para tomar essa decisão, incluindo o cálculo de quaisquer métricas de desempenho em que a decisão teria um impacto alto ou médio.</w:t>
      </w:r>
    </w:p>
    <w:p>
      <w:pPr>
        <w:numPr>
          <w:ilvl w:val="0"/>
          <w:numId w:val="1003"/>
        </w:numPr>
      </w:pPr>
      <w:r>
        <w:t xml:space="preserve">Usando a mesma decisão que você identificou em (7), identifique as pessoas, departamentos, grupos ou organizações com os quais você precisaria trabalhar para implementar a decisão.</w:t>
      </w:r>
    </w:p>
    <w:bookmarkEnd w:id="36"/>
    <w:bookmarkStart w:id="37" w:name="notas-de-fonte-e-convenções-do-caso"/>
    <w:p>
      <w:pPr>
        <w:pStyle w:val="Heading1"/>
      </w:pPr>
      <w:r>
        <w:t xml:space="preserve">Notas de fonte e convenções do caso</w:t>
      </w:r>
    </w:p>
    <w:p>
      <w:pPr>
        <w:pStyle w:val="FirstParagraph"/>
      </w:pPr>
      <w:r>
        <w:t xml:space="preserve">Este é um caso fictício desenvolvido para discussão em sala de aula. Ridgeway Industrial Systems, o Condado de Hamilton, todos os indivíduos, todas as propostas de projeto e todos os dados operacionais da empresa são inventados. O caso é intencionalmente não resolvido e não implica que qualquer alternativa seja preferida.</w:t>
      </w:r>
    </w:p>
    <w:p>
      <w:pPr>
        <w:pStyle w:val="BodyText"/>
      </w:pPr>
      <w:r>
        <w:t xml:space="preserve">¹ O contexto nacional de data centers é baseado no Lawrence Berkeley National Laboratory, 2024 United States Data Center Energy Usage Report e atualizações relacionadas. O Berkeley Lab relatou aproximadamente 176 TWh de uso de eletricidade em data centers dos EUA em 2023, cerca de 4,4% do total da eletricidade dos EUA, e uma faixa de projeção para 2028 de 6,7%-12%. Sua atualização de 2025 estimou que os data centers poderiam representar 9,5%-15,3% do uso de eletricidade dos EUA em 2030, com uma estimativa central de 11,8%.</w:t>
      </w:r>
    </w:p>
    <w:p>
      <w:pPr>
        <w:pStyle w:val="BodyText"/>
      </w:pPr>
      <w:r>
        <w:t xml:space="preserve">Referência contextual adicional: U.S. Energy Information Administration, Electric Power Monthly e Electricity Monthly Update. A EIA relatou uma receita média industrial nacional de aproximadamente 8,71 centavos por kWh em maio de 2026, embora os preços industriais variem substancialmente por região, tarifa, perfil de carga e encargos específicos do cliente. A tarifa fictícia de Hamilton inclui encargos de demanda, capacidade, transmissão e outros e, portanto, não deve ser interpretada como uma média nacional.</w:t>
      </w:r>
    </w:p>
    <w:p>
      <w:pPr>
        <w:pStyle w:val="BodyText"/>
      </w:pPr>
      <w:r>
        <w:t xml:space="preserve">As estimativas de gás natural e tecnologia nos exhibits são pressupostos do caso, e não previsões. Em uma análise real, a Ridgeway usaria tarifas de concessionária específicas do local, dados de intervalo, cotações de fornecedores, estudos de engenharia, assessoria fiscal, revisões ambientais e distribuições de probabilidade em vez de estimativas de ponto único.</w:t>
      </w:r>
    </w:p>
    <w:bookmarkEnd w:id="37"/>
    <w:bookmarkStart w:id="40" w:name="notas-do-chatgpt"/>
    <w:p>
      <w:pPr>
        <w:pStyle w:val="Heading1"/>
      </w:pPr>
      <w:r>
        <w:t xml:space="preserve">Notas do ChatGPT</w:t>
      </w:r>
    </w:p>
    <w:bookmarkStart w:id="38" w:name="prompt"/>
    <w:p>
      <w:pPr>
        <w:pStyle w:val="Heading2"/>
      </w:pPr>
      <w:r>
        <w:t xml:space="preserve">Prompt</w:t>
      </w:r>
    </w:p>
    <w:p>
      <w:pPr>
        <w:pStyle w:val="FirstParagraph"/>
      </w:pPr>
      <w:r>
        <w:t xml:space="preserve">Um fabricante industrial está enfrentando um grande aumento em sua conta de eletricidade à medida que as tarifas aumentam devido às demandas crescentes dos data centers. A empresa pode mudar seu centro de manufatura (a grande custo) para um local diferente. Pode investir em painéis solares e armazenamento em baterias. Pode mudar seu processo de manufatura para deslocar suas necessidades de energia da eletricidade para o gás natural. Descreva o processo que uma empresa poderia usar para investigar alternativas.</w:t>
      </w:r>
    </w:p>
    <w:bookmarkEnd w:id="38"/>
    <w:bookmarkStart w:id="39" w:name="resumo"/>
    <w:p>
      <w:pPr>
        <w:pStyle w:val="Heading2"/>
      </w:pPr>
      <w:r>
        <w:t xml:space="preserve">Resumo</w:t>
      </w:r>
    </w:p>
    <w:p>
      <w:pPr>
        <w:pStyle w:val="FirstParagraph"/>
      </w:pPr>
      <w:r>
        <w:t xml:space="preserve">O caso inclui:</w:t>
      </w:r>
    </w:p>
    <w:p>
      <w:pPr>
        <w:numPr>
          <w:ilvl w:val="0"/>
          <w:numId w:val="1006"/>
        </w:numPr>
      </w:pPr>
      <w:r>
        <w:t xml:space="preserve">Um fabricante industrial fictício enfrentando custos de eletricidade em rápido aumento</w:t>
      </w:r>
    </w:p>
    <w:p>
      <w:pPr>
        <w:numPr>
          <w:ilvl w:val="0"/>
          <w:numId w:val="1006"/>
        </w:numPr>
      </w:pPr>
      <w:r>
        <w:t xml:space="preserve">Crescimento da demanda regional de eletricidade associado a novos data centers</w:t>
      </w:r>
    </w:p>
    <w:p>
      <w:pPr>
        <w:numPr>
          <w:ilvl w:val="0"/>
          <w:numId w:val="1006"/>
        </w:numPr>
      </w:pPr>
      <w:r>
        <w:t xml:space="preserve">Dados detalhados de uso de energia da planta e custo com a concessionária</w:t>
      </w:r>
    </w:p>
    <w:p>
      <w:pPr>
        <w:numPr>
          <w:ilvl w:val="0"/>
          <w:numId w:val="1006"/>
        </w:numPr>
      </w:pPr>
      <w:r>
        <w:t xml:space="preserve">Alternativas de solar, armazenamento em baterias, conversão para gás natural, eficiência, aquisição e realocação</w:t>
      </w:r>
    </w:p>
    <w:p>
      <w:pPr>
        <w:numPr>
          <w:ilvl w:val="0"/>
          <w:numId w:val="1006"/>
        </w:numPr>
      </w:pPr>
      <w:r>
        <w:t xml:space="preserve">Três regiões potenciais de realocação</w:t>
      </w:r>
    </w:p>
    <w:p>
      <w:pPr>
        <w:numPr>
          <w:ilvl w:val="0"/>
          <w:numId w:val="1006"/>
        </w:numPr>
      </w:pPr>
      <w:r>
        <w:t xml:space="preserve">Cenários de preços de eletricidade até 2035</w:t>
      </w:r>
    </w:p>
    <w:p>
      <w:pPr>
        <w:numPr>
          <w:ilvl w:val="0"/>
          <w:numId w:val="1006"/>
        </w:numPr>
      </w:pPr>
      <w:r>
        <w:t xml:space="preserve">Considerações operacionais, financeiras, ambientais, de força de trabalho e de atendimento ao cliente</w:t>
      </w:r>
    </w:p>
    <w:p>
      <w:pPr>
        <w:numPr>
          <w:ilvl w:val="0"/>
          <w:numId w:val="1006"/>
        </w:numPr>
      </w:pPr>
      <w:r>
        <w:t xml:space="preserve">Investigações e projetos-piloto propostos</w:t>
      </w:r>
    </w:p>
    <w:p>
      <w:pPr>
        <w:numPr>
          <w:ilvl w:val="0"/>
          <w:numId w:val="1006"/>
        </w:numPr>
      </w:pPr>
      <w:r>
        <w:t xml:space="preserve">Perspectivas executivas conflitantes e nenhuma solução claramente preferida</w:t>
      </w:r>
    </w:p>
    <w:p>
      <w:pPr>
        <w:numPr>
          <w:ilvl w:val="0"/>
          <w:numId w:val="1006"/>
        </w:numPr>
      </w:pPr>
      <w:r>
        <w:t xml:space="preserve">Dez questões de discussão em sala de aula</w:t>
      </w:r>
    </w:p>
    <w:p>
      <w:pPr>
        <w:pStyle w:val="FirstParagraph"/>
      </w:pPr>
      <w:r>
        <w:t xml:space="preserve">O contexto nacional de data centers é sustentado por estimativas do Lawrence Berkeley National Laboratory que mostram um crescimento substancial no consumo de eletricidade por data centers nos EUA e uma ampla faixa de demanda possível até 2030.</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2026-09-11T16:54:59Z</dcterms:created>
  <dcterms:modified xsi:type="dcterms:W3CDTF">2026-09-11T16:54:59Z</dcterms:modified>
</cp:coreProperties>
</file>

<file path=docProps/custom.xml><?xml version="1.0" encoding="utf-8"?>
<Properties xmlns="http://schemas.openxmlformats.org/officeDocument/2006/custom-properties" xmlns:vt="http://schemas.openxmlformats.org/officeDocument/2006/docPropsVTypes"/>
</file>