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Como um condado deve responder quando as mortes por overdose permanecem altas—mas a crise nacional parece estar diminuindo?</w:t>
      </w:r>
    </w:p>
    <w:tbl>
      <w:tblPr>
        <w:tblStyle w:val="Table"/>
        <w:tblW w:type="auto" w:w="0"/>
        <w:tblLook w:firstRow="0" w:lastRow="0" w:firstColumn="0" w:lastColumn="0" w:noHBand="0" w:noVBand="0" w:val="0000"/>
      </w:tblPr>
      <w:tblGrid>
        <w:gridCol w:w="7920"/>
      </w:tblGrid>
      <w:tr>
        <w:tc>
          <w:tcPr/>
          <w:p>
            <w:pPr>
              <w:pStyle w:val="Compact"/>
              <w:jc w:val="left"/>
            </w:pPr>
            <w:r>
              <w:t xml:space="preserve">CONTEXTO  TOMADORA DE DECISÃO  DATA DA DECISÃO\</w:t>
            </w:r>
          </w:p>
        </w:tc>
      </w:tr>
      <w:tr>
        <w:tc>
          <w:tcPr/>
          <w:p>
            <w:pPr>
              <w:pStyle w:val="Compact"/>
              <w:jc w:val="left"/>
            </w:pPr>
            <w:r>
              <w:t xml:space="preserve">Condado de Riverton, um condado fictício misto Dra. Elena Torres, Comissária de Saúde do Setembro de 2026</w:t>
            </w:r>
          </w:p>
        </w:tc>
      </w:tr>
      <w:tr>
        <w:tc>
          <w:tcPr/>
          <w:p>
            <w:pPr>
              <w:pStyle w:val="Compact"/>
              <w:jc w:val="left"/>
            </w:pPr>
            <w:r>
              <w:t xml:space="preserve">urbano-rural Condado</w:t>
            </w:r>
          </w:p>
        </w:tc>
      </w:tr>
    </w:tbl>
    <w:p>
      <w:r>
        <w:pict>
          <v:rect style="width:0;height:1.5pt" o:hralign="center" o:hrstd="t" o:hr="t"/>
        </w:pict>
      </w:r>
    </w:p>
    <w:bookmarkStart w:id="9" w:name="section"/>
    <w:p>
      <w:pPr>
        <w:pStyle w:val="Heading1"/>
      </w:pPr>
    </w:p>
    <w:bookmarkEnd w:id="9"/>
    <w:bookmarkStart w:id="11" w:name="uma-segunda-feira-difícil"/>
    <w:p>
      <w:pPr>
        <w:pStyle w:val="Heading1"/>
      </w:pPr>
      <w:r>
        <w:t xml:space="preserve">Uma segunda-feira difícil</w:t>
      </w:r>
    </w:p>
    <w:p>
      <w:pPr>
        <w:pStyle w:val="FirstParagraph"/>
      </w:pPr>
      <w:r>
        <w:t xml:space="preserve">Às 7h10, a Dra. Elena Torres abriu o painel semanal de mortalidade e viu mais um marcador vermelho: um funcionário de armazém de 31 anos havia morrido de uma suposta overdose de fentanil em um motel próximo à Interstate 48. Era a quadragésima terceira morte por overdose do ano no Condado de Riverton. Duas mortes adicionais ainda aguardavam resultados toxicológicos.</w:t>
      </w:r>
    </w:p>
    <w:p>
      <w:pPr>
        <w:pStyle w:val="BodyText"/>
      </w:pPr>
      <w:r>
        <w:t xml:space="preserve">O número era menor do que no mesmo período do ano anterior, mas não parecia progresso. Os serviços médicos de emergência haviam administrado naloxona 286 vezes desde janeiro. A cadeia do condado relatou que quase um em cada três novos detentos apresentava resultado positivo para transtorno por uso de substâncias. O pronto-socorro do maior hospital havia tratado 412 overdoses não fatais, e as equipes de assistência estavam vendo mais pessoas combinando fentanil com cocaína ou metanfetamina.</w:t>
      </w:r>
    </w:p>
    <w:p>
      <w:pPr>
        <w:pStyle w:val="BodyText"/>
      </w:pPr>
      <w:r>
        <w:t xml:space="preserve">Em nível nacional, no entanto, o cenário havia mudado. As mortes por overdose de drogas nos EUA caíram acentuadamente em 2024 e novamente em 2025. As mortes estimadas envolvendo opioides diminuíram de aproximadamente 83.140 em 2023 para cerca de 54.743 em 2024, e depois para 44.564 em 2025. A melhora era encorajadora—mas desigual: vários estados ainda registraram aumentos em 2025.¹ ²</w:t>
      </w:r>
    </w:p>
    <w:p>
      <w:pPr>
        <w:pStyle w:val="BodyText"/>
      </w:pPr>
      <w:r>
        <w:t xml:space="preserve">O executivo-chefe do Condado de Riverton havia convocado Torres para uma reunião orçamentária às 16h00. Uma subvenção federal temporária que apoiava trabalhadores de assistência, distribuição de naloxona e uma unidade móvel de tratamento expiraria em nove meses. O condado poderia substituir apenas parte do financiamento. Pediram a Torres que recomendasse o que deveria ser preservado, o que deveria ser redesenhado e o que—se algo—deveria ser descontinuado.</w:t>
      </w:r>
    </w:p>
    <w:bookmarkStart w:id="10" w:name="o-desafio-central"/>
    <w:p>
      <w:pPr>
        <w:pStyle w:val="Heading2"/>
      </w:pPr>
      <w:r>
        <w:t xml:space="preserve">O desafio central</w:t>
      </w:r>
    </w:p>
    <w:p>
      <w:pPr>
        <w:pStyle w:val="FirstParagraph"/>
      </w:pPr>
      <w:r>
        <w:t xml:space="preserve">Riverton deveria tratar o recente declínio nas mortes como evidência de que sua estratégia atual está funcionando, como uma trégua temporária, ou como um sinal de que os recursos deveriam mudar para uma fase diferente da epidemia?</w:t>
      </w:r>
    </w:p>
    <w:bookmarkEnd w:id="10"/>
    <w:bookmarkEnd w:id="11"/>
    <w:bookmarkStart w:id="12" w:name="condado-de-riverton"/>
    <w:p>
      <w:pPr>
        <w:pStyle w:val="Heading1"/>
      </w:pPr>
      <w:r>
        <w:t xml:space="preserve">Condado de Riverton</w:t>
      </w:r>
    </w:p>
    <w:p>
      <w:pPr>
        <w:pStyle w:val="FirstParagraph"/>
      </w:pPr>
      <w:r>
        <w:t xml:space="preserve">O Condado de Riverton tinha 618.000 habitantes. Seu corredor oriental incluía uma universidade, dois hospitais e empresas crescentes de tecnologia e logística. Seus municípios ocidentais eram mais rurais, com menos prestadores de tratamento e transporte público limitado. A renda familiar mediana era de $71.400, mas cinco bairros tinham taxas de pobreza acima de 25%. A população do condado era 46% branca, 27% negra, 19% hispânica, 5% asiática e 3% outra ou multirracial. Todos os dados de Riverton neste caso são fictícios, mas foram projetados para refletir condições enfrentadas por muitas comunidades dos EUA.</w:t>
      </w:r>
    </w:p>
    <w:bookmarkEnd w:id="12"/>
    <w:bookmarkStart w:id="13" w:name="um-ambiente-de-overdose-em-mudança"/>
    <w:p>
      <w:pPr>
        <w:pStyle w:val="Heading1"/>
      </w:pPr>
      <w:r>
        <w:t xml:space="preserve">Um ambiente de overdose em mudança</w:t>
      </w:r>
    </w:p>
    <w:p>
      <w:pPr>
        <w:pStyle w:val="FirstParagraph"/>
      </w:pPr>
      <w:r>
        <w:t xml:space="preserve">A resposta de Riverton às overdoses havia sido concebida durante um período de mortes em rápida ascensão. Em 2026, o ambiente era mais complicado. Menos pessoas estavam morrendo, mas o fornecimento de drogas ilícitas permanecia imprevisível. O fentanil ainda era a principal ameaça, e muitas mortes envolviam múltiplas substâncias. Dados nacionais mostraram que as taxas de mortes por opioides sintéticos caíram substancialmente de 2023 para 2024, mas a taxa permaneceu em 14,3 mortes por 100.000 pessoas.³</w:t>
      </w:r>
    </w:p>
    <w:p>
      <w:pPr>
        <w:pStyle w:val="BodyText"/>
      </w:pPr>
      <w:r>
        <w:t xml:space="preserve">O sistema de vigilância do condado também tinha limitações. Os dados confirmados de mortalidade tinham uma defasagem de três a cinco meses. Os registros dos serviços médicos de emergência estavam disponíveis em dias, mas capturavam apenas incidentes que envolviam uma resposta ao 911. Os dados hospitalares excluíam pessoas tratadas fora do condado ou aquelas que recusavam o transporte. As equipes de assistência coletavam observações valiosas, mas seus relatórios não eram padronizados.</w:t>
      </w:r>
    </w:p>
    <w:bookmarkEnd w:id="13"/>
    <w:bookmarkStart w:id="14" w:name="o-portfólio-de-resposta-atual"/>
    <w:p>
      <w:pPr>
        <w:pStyle w:val="Heading1"/>
      </w:pPr>
      <w:r>
        <w:t xml:space="preserve">O portfólio de resposta atual</w:t>
      </w:r>
    </w:p>
    <w:p>
      <w:pPr>
        <w:pStyle w:val="FirstParagraph"/>
      </w:pPr>
      <w:r>
        <w:rPr>
          <w:b/>
          <w:bCs/>
        </w:rPr>
        <w:t xml:space="preserve">Acesso à naloxona:</w:t>
      </w:r>
      <w:r>
        <w:t xml:space="preserve"> </w:t>
      </w:r>
      <w:r>
        <w:t xml:space="preserve">Kits gratuitos por meio de farmácias, bibliotecas, abrigos, equipes de assistência e máquinas de venda automática. A distribuição havia se expandido de 8.400 kits em 2023 para 22.600 em 2025.</w:t>
      </w:r>
    </w:p>
    <w:p>
      <w:pPr>
        <w:pStyle w:val="BodyText"/>
      </w:pPr>
      <w:r>
        <w:rPr>
          <w:b/>
          <w:bCs/>
        </w:rPr>
        <w:t xml:space="preserve">Tratamento móvel:</w:t>
      </w:r>
      <w:r>
        <w:t xml:space="preserve"> </w:t>
      </w:r>
      <w:r>
        <w:t xml:space="preserve">Um ônibus visitava seis locais de alto risco por semana e podia iniciar buprenorfina, fornecer cuidados com feridas e conectar pacientes a cuidados de longo prazo.</w:t>
      </w:r>
    </w:p>
    <w:p>
      <w:pPr>
        <w:pStyle w:val="BodyText"/>
      </w:pPr>
      <w:r>
        <w:rPr>
          <w:b/>
          <w:bCs/>
        </w:rPr>
        <w:t xml:space="preserve">Assistência pós-overdose:</w:t>
      </w:r>
      <w:r>
        <w:t xml:space="preserve"> </w:t>
      </w:r>
      <w:r>
        <w:t xml:space="preserve">Especialistas em recuperação de pares tentavam contatar sobreviventes de overdose dentro de 48 horas após um atendimento dos serviços médicos de emergência ou hospitalar.</w:t>
      </w:r>
    </w:p>
    <w:p>
      <w:pPr>
        <w:pStyle w:val="BodyText"/>
      </w:pPr>
      <w:r>
        <w:rPr>
          <w:b/>
          <w:bCs/>
        </w:rPr>
        <w:t xml:space="preserve">Prevenção escolar e no local de trabalho:</w:t>
      </w:r>
      <w:r>
        <w:t xml:space="preserve"> </w:t>
      </w:r>
      <w:r>
        <w:t xml:space="preserve">Programas focados em estigma, prescrição mais segura, reconhecimento de overdose e caminhos para cuidados.</w:t>
      </w:r>
    </w:p>
    <w:p>
      <w:pPr>
        <w:pStyle w:val="BodyText"/>
      </w:pPr>
      <w:r>
        <w:rPr>
          <w:b/>
          <w:bCs/>
        </w:rPr>
        <w:t xml:space="preserve">Coordenação de dados:</w:t>
      </w:r>
      <w:r>
        <w:t xml:space="preserve"> </w:t>
      </w:r>
      <w:r>
        <w:t xml:space="preserve">Uma pequena equipe de epidemiologia combinava informações dos serviços médicos de emergência, hospitais, cadeia, tratamento e mortalidade em um painel mensal.</w:t>
      </w:r>
    </w:p>
    <w:bookmarkEnd w:id="14"/>
    <w:bookmarkStart w:id="15" w:name="visões-conflitantes"/>
    <w:p>
      <w:pPr>
        <w:pStyle w:val="Heading1"/>
      </w:pPr>
      <w:r>
        <w:t xml:space="preserve">Visões conflitantes</w:t>
      </w:r>
    </w:p>
    <w:p>
      <w:pPr>
        <w:pStyle w:val="FirstParagraph"/>
      </w:pPr>
      <w:r>
        <w:t xml:space="preserve">O executivo-chefe do condado, Marcus Lee, concentrava-se na sustentabilidade fiscal. Ele apoiava a naloxona, mas questionava se um condado deveria operar um ônibus de tratamento quando havia prestadores privados. O sistema hospitalar favorecia a expansão do tratamento medicamentoso nos prontos-socorros, mas queria que o condado financiasse navegadores que pudessem organizar o acompanhamento. Líderes policiais argumentavam que mercados abertos de drogas e overdoses recorrentes estavam sobrecarregando os recursos de segurança pública. Defensores da comunidade alertavam que abordagens fortemente baseadas em fiscalização poderiam levar as pessoas a ambientes mais isolados, onde uma overdose teria menos chance de ser testemunhada.</w:t>
      </w:r>
    </w:p>
    <w:p>
      <w:pPr>
        <w:pStyle w:val="BodyText"/>
      </w:pPr>
      <w:r>
        <w:t xml:space="preserve">Os prestadores de tratamento enfatizavam capacidade em vez de assistência. Suas clínicas tinham vagas abertas, mas muitos pacientes não permaneciam em cuidado. Transporte, moradia instável, medo da abstinência, experiências negativas anteriores e horários de trabalho eram barreiras comuns. Em nível nacional, 48,4 milhões de pessoas com 12 anos ou mais tinham um transtorno por uso de substâncias em 2024.⁴ A pesquisa nacional também mostrou variação substancial na gravidade e no tipo de transtorno por uso de opioides, complicando qualquer modelo único de cuidado.⁵</w:t>
      </w:r>
    </w:p>
    <w:bookmarkEnd w:id="15"/>
    <w:bookmarkStart w:id="16" w:name="preocupações-com-equidade"/>
    <w:p>
      <w:pPr>
        <w:pStyle w:val="Heading1"/>
      </w:pPr>
      <w:r>
        <w:t xml:space="preserve">Preocupações com equidade</w:t>
      </w:r>
    </w:p>
    <w:p>
      <w:pPr>
        <w:pStyle w:val="FirstParagraph"/>
      </w:pPr>
      <w:r>
        <w:t xml:space="preserve">O declínio geral do condado ocultava tendências divergentes. As overdoses fatais haviam caído 28% entre residentes brancos desde 2023, mas apenas 6% entre residentes negros; as mortes entre residentes de 45 a 64 anos não haviam diminuído nada. Pesquisas anteriores do CDC encontraram disparidades raciais crescentes e vincularam taxas mais altas de overdose à desigualdade de renda e ao acesso limitado a tratamento prévio.⁶ O conselho consultivo do condado insistiu que Torres abordasse essas diferenças explicitamente, mas os membros discordaram sobre se os recursos deveriam ser alocados proporcionalmente à população, à carga de overdose, às lacunas de tratamento ou à desvantagem do bairro.</w:t>
      </w:r>
    </w:p>
    <w:bookmarkEnd w:id="16"/>
    <w:bookmarkStart w:id="17" w:name="o-precipício-do-financiamento"/>
    <w:p>
      <w:pPr>
        <w:pStyle w:val="Heading1"/>
      </w:pPr>
      <w:r>
        <w:t xml:space="preserve">O precipício do financiamento</w:t>
      </w:r>
    </w:p>
    <w:p>
      <w:pPr>
        <w:pStyle w:val="FirstParagraph"/>
      </w:pPr>
      <w:r>
        <w:t xml:space="preserve">A subvenção prestes a expirar fornecia $4,8 milhões do orçamento anual de $12,6 milhões de resposta a overdoses de Riverton. O executivo-chefe do condado ofereceu $2,4 milhões em fundos de substituição, deixando uma lacuna de $2,4 milhões. Torres poderia apresentar um pacote que combinasse reduções, redesenho de programas e um pedido de fundos adicionais do condado, mas qualquer pedido acima de $2,4 milhões competiria com saúde materna, vigilância de doenças transmissíveis e pessoal de saúde ambiental.</w:t>
      </w:r>
    </w:p>
    <w:bookmarkEnd w:id="17"/>
    <w:bookmarkStart w:id="18" w:name="programas-sob-revisão"/>
    <w:p>
      <w:pPr>
        <w:pStyle w:val="Heading1"/>
      </w:pPr>
      <w:r>
        <w:t xml:space="preserve">Programas sob revisão</w:t>
      </w:r>
    </w:p>
    <w:tbl>
      <w:tblPr>
        <w:tblStyle w:val="Table"/>
        <w:tblW w:type="pct" w:w="4931"/>
        <w:tblLayout w:type="fixed"/>
        <w:tblLook w:firstRow="1" w:lastRow="0" w:firstColumn="0" w:lastColumn="0" w:noHBand="0" w:noVBand="0" w:val="0020"/>
      </w:tblPr>
      <w:tblGrid>
        <w:gridCol w:w="1201"/>
        <w:gridCol w:w="764"/>
        <w:gridCol w:w="2184"/>
        <w:gridCol w:w="2894"/>
        <w:gridCol w:w="764"/>
      </w:tblGrid>
      <w:tr>
        <w:trPr>
          <w:tblHeader w:val="on"/>
        </w:trPr>
        <w:tc>
          <w:tcPr/>
          <w:p>
            <w:pPr>
              <w:pStyle w:val="Compact"/>
              <w:jc w:val="left"/>
            </w:pPr>
            <w:r>
              <w:t xml:space="preserve">Programa</w:t>
            </w:r>
          </w:p>
        </w:tc>
        <w:tc>
          <w:tcPr/>
          <w:p>
            <w:pPr>
              <w:pStyle w:val="Compact"/>
              <w:jc w:val="center"/>
            </w:pPr>
            <w:r>
              <w:t xml:space="preserve">Custo anual</w:t>
            </w:r>
          </w:p>
        </w:tc>
        <w:tc>
          <w:tcPr/>
          <w:p>
            <w:pPr>
              <w:pStyle w:val="Compact"/>
              <w:jc w:val="center"/>
            </w:pPr>
            <w:r>
              <w:t xml:space="preserve">Resultado selecionado</w:t>
            </w:r>
          </w:p>
        </w:tc>
        <w:tc>
          <w:tcPr/>
          <w:p>
            <w:pPr>
              <w:pStyle w:val="Compact"/>
              <w:jc w:val="center"/>
            </w:pPr>
            <w:r>
              <w:t xml:space="preserve">Preocupação observada</w:t>
            </w:r>
          </w:p>
        </w:tc>
        <w:tc>
          <w:tcPr/>
          <w:p>
            <w:pPr>
              <w:pStyle w:val="Compact"/>
              <w:jc w:val="right"/>
            </w:pPr>
            <w:r>
              <w:t xml:space="preserve">Parcela da subvenção</w:t>
            </w:r>
          </w:p>
        </w:tc>
      </w:tr>
      <w:tr>
        <w:tc>
          <w:tcPr/>
          <w:p>
            <w:pPr>
              <w:pStyle w:val="Compact"/>
              <w:jc w:val="left"/>
            </w:pPr>
            <w:r>
              <w:t xml:space="preserve">Rede de naloxona</w:t>
            </w:r>
          </w:p>
        </w:tc>
        <w:tc>
          <w:tcPr/>
          <w:p>
            <w:pPr>
              <w:pStyle w:val="Compact"/>
              <w:jc w:val="center"/>
            </w:pPr>
            <w:r>
              <w:t xml:space="preserve">$2,1M</w:t>
            </w:r>
          </w:p>
        </w:tc>
        <w:tc>
          <w:tcPr/>
          <w:p>
            <w:pPr>
              <w:pStyle w:val="Compact"/>
              <w:jc w:val="center"/>
            </w:pPr>
            <w:r>
              <w:t xml:space="preserve">22.600 kits; 1.140 reversões relatadas</w:t>
            </w:r>
          </w:p>
        </w:tc>
        <w:tc>
          <w:tcPr/>
          <w:p>
            <w:pPr>
              <w:pStyle w:val="Compact"/>
              <w:jc w:val="center"/>
            </w:pPr>
            <w:r>
              <w:t xml:space="preserve">Taxa de uso desconhecida; kits de reposição</w:t>
            </w:r>
            <w:r>
              <w:t xml:space="preserve"> </w:t>
            </w:r>
            <w:r>
              <w:t xml:space="preserve">frequentemente não rastreados</w:t>
            </w:r>
          </w:p>
        </w:tc>
        <w:tc>
          <w:tcPr/>
          <w:p>
            <w:pPr>
              <w:pStyle w:val="Compact"/>
              <w:jc w:val="right"/>
            </w:pPr>
            <w:r>
              <w:t xml:space="preserve">38%</w:t>
            </w:r>
          </w:p>
        </w:tc>
      </w:tr>
      <w:tr>
        <w:tc>
          <w:tcPr/>
          <w:p>
            <w:pPr>
              <w:pStyle w:val="Compact"/>
              <w:jc w:val="left"/>
            </w:pPr>
            <w:r>
              <w:t xml:space="preserve">Unidade móvel</w:t>
            </w:r>
          </w:p>
        </w:tc>
        <w:tc>
          <w:tcPr/>
          <w:p>
            <w:pPr>
              <w:pStyle w:val="Compact"/>
              <w:jc w:val="center"/>
            </w:pPr>
            <w:r>
              <w:t xml:space="preserve">$2,8M</w:t>
            </w:r>
          </w:p>
        </w:tc>
        <w:tc>
          <w:tcPr/>
          <w:p>
            <w:pPr>
              <w:pStyle w:val="Compact"/>
              <w:jc w:val="center"/>
            </w:pPr>
            <w:r>
              <w:t xml:space="preserve">3.420 visitas; 684 inícios de</w:t>
            </w:r>
            <w:r>
              <w:t xml:space="preserve"> </w:t>
            </w:r>
            <w:r>
              <w:t xml:space="preserve">medicação</w:t>
            </w:r>
          </w:p>
        </w:tc>
        <w:tc>
          <w:tcPr/>
          <w:p>
            <w:pPr>
              <w:pStyle w:val="Compact"/>
              <w:jc w:val="center"/>
            </w:pPr>
            <w:r>
              <w:t xml:space="preserve">Apenas 34% retidos em tratamento aos 90 dias</w:t>
            </w:r>
          </w:p>
        </w:tc>
        <w:tc>
          <w:tcPr/>
          <w:p>
            <w:pPr>
              <w:pStyle w:val="Compact"/>
              <w:jc w:val="right"/>
            </w:pPr>
            <w:r>
              <w:t xml:space="preserve">61%</w:t>
            </w:r>
          </w:p>
        </w:tc>
      </w:tr>
      <w:tr>
        <w:tc>
          <w:tcPr/>
          <w:p>
            <w:pPr>
              <w:pStyle w:val="Compact"/>
              <w:jc w:val="left"/>
            </w:pPr>
            <w:r>
              <w:t xml:space="preserve">Pares pós-overdose</w:t>
            </w:r>
          </w:p>
        </w:tc>
        <w:tc>
          <w:tcPr/>
          <w:p>
            <w:pPr>
              <w:pStyle w:val="Compact"/>
              <w:jc w:val="center"/>
            </w:pPr>
            <w:r>
              <w:t xml:space="preserve">$1,7M</w:t>
            </w:r>
          </w:p>
        </w:tc>
        <w:tc>
          <w:tcPr/>
          <w:p>
            <w:pPr>
              <w:pStyle w:val="Compact"/>
              <w:jc w:val="center"/>
            </w:pPr>
            <w:r>
              <w:t xml:space="preserve">1.126 encaminhamentos; 438 contatos</w:t>
            </w:r>
          </w:p>
        </w:tc>
        <w:tc>
          <w:tcPr/>
          <w:p>
            <w:pPr>
              <w:pStyle w:val="Compact"/>
              <w:jc w:val="center"/>
            </w:pPr>
            <w:r>
              <w:t xml:space="preserve">Muitos sobreviventes inalcançáveis ou recusam ajuda</w:t>
            </w:r>
          </w:p>
        </w:tc>
        <w:tc>
          <w:tcPr/>
          <w:p>
            <w:pPr>
              <w:pStyle w:val="Compact"/>
              <w:jc w:val="right"/>
            </w:pPr>
            <w:r>
              <w:t xml:space="preserve">47%</w:t>
            </w:r>
          </w:p>
        </w:tc>
      </w:tr>
      <w:tr>
        <w:tc>
          <w:tcPr/>
          <w:p>
            <w:pPr>
              <w:pStyle w:val="Compact"/>
              <w:jc w:val="left"/>
            </w:pPr>
            <w:r>
              <w:t xml:space="preserve">Programas de</w:t>
            </w:r>
            <w:r>
              <w:t xml:space="preserve"> </w:t>
            </w:r>
            <w:r>
              <w:t xml:space="preserve">prevenção</w:t>
            </w:r>
          </w:p>
        </w:tc>
        <w:tc>
          <w:tcPr/>
          <w:p>
            <w:pPr>
              <w:pStyle w:val="Compact"/>
              <w:jc w:val="center"/>
            </w:pPr>
            <w:r>
              <w:t xml:space="preserve">$1,3M</w:t>
            </w:r>
          </w:p>
        </w:tc>
        <w:tc>
          <w:tcPr/>
          <w:p>
            <w:pPr>
              <w:pStyle w:val="Compact"/>
              <w:jc w:val="center"/>
            </w:pPr>
            <w:r>
              <w:t xml:space="preserve">18.400 estudantes/trabalhadores</w:t>
            </w:r>
            <w:r>
              <w:t xml:space="preserve"> </w:t>
            </w:r>
            <w:r>
              <w:t xml:space="preserve">alcançados</w:t>
            </w:r>
          </w:p>
        </w:tc>
        <w:tc>
          <w:tcPr/>
          <w:p>
            <w:pPr>
              <w:pStyle w:val="Compact"/>
              <w:jc w:val="center"/>
            </w:pPr>
            <w:r>
              <w:t xml:space="preserve">Sem vínculo direto com resultados de mortalidade</w:t>
            </w:r>
          </w:p>
        </w:tc>
        <w:tc>
          <w:tcPr/>
          <w:p>
            <w:pPr>
              <w:pStyle w:val="Compact"/>
              <w:jc w:val="right"/>
            </w:pPr>
            <w:r>
              <w:t xml:space="preserve">29%</w:t>
            </w:r>
          </w:p>
        </w:tc>
      </w:tr>
      <w:tr>
        <w:tc>
          <w:tcPr/>
          <w:p>
            <w:pPr>
              <w:pStyle w:val="Compact"/>
              <w:jc w:val="left"/>
            </w:pPr>
            <w:r>
              <w:t xml:space="preserve">Vigilância/dados</w:t>
            </w:r>
          </w:p>
        </w:tc>
        <w:tc>
          <w:tcPr/>
          <w:p>
            <w:pPr>
              <w:pStyle w:val="Compact"/>
              <w:jc w:val="center"/>
            </w:pPr>
            <w:r>
              <w:t xml:space="preserve">$1,2M</w:t>
            </w:r>
          </w:p>
        </w:tc>
        <w:tc>
          <w:tcPr/>
          <w:p>
            <w:pPr>
              <w:pStyle w:val="Compact"/>
              <w:jc w:val="center"/>
            </w:pPr>
            <w:r>
              <w:t xml:space="preserve">Painel mensal; alertas de pontos</w:t>
            </w:r>
            <w:r>
              <w:t xml:space="preserve"> </w:t>
            </w:r>
            <w:r>
              <w:t xml:space="preserve">críticos</w:t>
            </w:r>
          </w:p>
        </w:tc>
        <w:tc>
          <w:tcPr/>
          <w:p>
            <w:pPr>
              <w:pStyle w:val="Compact"/>
              <w:jc w:val="center"/>
            </w:pPr>
            <w:r>
              <w:t xml:space="preserve">Atrasos no compartilhamento de dados e definições</w:t>
            </w:r>
            <w:r>
              <w:t xml:space="preserve"> </w:t>
            </w:r>
            <w:r>
              <w:t xml:space="preserve">inconsistentes</w:t>
            </w:r>
          </w:p>
        </w:tc>
        <w:tc>
          <w:tcPr/>
          <w:p>
            <w:pPr>
              <w:pStyle w:val="Compact"/>
              <w:jc w:val="right"/>
            </w:pPr>
            <w:r>
              <w:t xml:space="preserve">52%</w:t>
            </w:r>
          </w:p>
        </w:tc>
      </w:tr>
      <w:tr>
        <w:tc>
          <w:tcPr/>
          <w:p>
            <w:pPr>
              <w:pStyle w:val="Compact"/>
              <w:jc w:val="left"/>
            </w:pPr>
            <w:r>
              <w:t xml:space="preserve">Contratos com</w:t>
            </w:r>
            <w:r>
              <w:t xml:space="preserve"> </w:t>
            </w:r>
            <w:r>
              <w:t xml:space="preserve">prestadores</w:t>
            </w:r>
          </w:p>
        </w:tc>
        <w:tc>
          <w:tcPr/>
          <w:p>
            <w:pPr>
              <w:pStyle w:val="Compact"/>
              <w:jc w:val="center"/>
            </w:pPr>
            <w:r>
              <w:t xml:space="preserve">$3,5M</w:t>
            </w:r>
          </w:p>
        </w:tc>
        <w:tc>
          <w:tcPr/>
          <w:p>
            <w:pPr>
              <w:pStyle w:val="Compact"/>
              <w:jc w:val="center"/>
            </w:pPr>
            <w:r>
              <w:t xml:space="preserve">2.260 vagas de tratamento financiadas</w:t>
            </w:r>
          </w:p>
        </w:tc>
        <w:tc>
          <w:tcPr/>
          <w:p>
            <w:pPr>
              <w:pStyle w:val="Compact"/>
              <w:jc w:val="center"/>
            </w:pPr>
            <w:r>
              <w:t xml:space="preserve">Utilização média de 72%; acesso rural limitado</w:t>
            </w:r>
          </w:p>
        </w:tc>
        <w:tc>
          <w:tcPr/>
          <w:p>
            <w:pPr>
              <w:pStyle w:val="Compact"/>
              <w:jc w:val="right"/>
            </w:pPr>
            <w:r>
              <w:t xml:space="preserve">23%</w:t>
            </w:r>
          </w:p>
        </w:tc>
      </w:tr>
    </w:tbl>
    <w:p>
      <w:pPr>
        <w:pStyle w:val="BodyText"/>
      </w:pPr>
      <w:r>
        <w:t xml:space="preserve">Nota: Custos e resultados são fictícios.</w:t>
      </w:r>
      <w:r>
        <w:t xml:space="preserve"> </w:t>
      </w:r>
      <w:r>
        <w:t xml:space="preserve">“Parcela da subvenção”</w:t>
      </w:r>
      <w:r>
        <w:t xml:space="preserve"> </w:t>
      </w:r>
      <w:r>
        <w:t xml:space="preserve">é a porção atualmente sustentada pela subvenção federal prestes a expirar.</w:t>
      </w:r>
    </w:p>
    <w:bookmarkEnd w:id="18"/>
    <w:bookmarkStart w:id="19" w:name="Xf91da3b5e7a2b5d73531e5c0a676daac453d951"/>
    <w:p>
      <w:pPr>
        <w:pStyle w:val="Heading1"/>
      </w:pPr>
      <w:r>
        <w:t xml:space="preserve">Direções possíveis—não mutuamente exclusivas</w:t>
      </w:r>
    </w:p>
    <w:p>
      <w:pPr>
        <w:pStyle w:val="FirstParagraph"/>
      </w:pPr>
      <w:r>
        <w:rPr>
          <w:b/>
          <w:bCs/>
        </w:rPr>
        <w:t xml:space="preserve">Concentrar-se na prevenção da mortalidade.</w:t>
      </w:r>
      <w:r>
        <w:t xml:space="preserve"> </w:t>
      </w:r>
      <w:r>
        <w:t xml:space="preserve">Proteger a distribuição de naloxona e a assistência em pontos críticos, aceitando uma continuidade mais fraca do tratamento.</w:t>
      </w:r>
    </w:p>
    <w:p>
      <w:pPr>
        <w:pStyle w:val="BodyText"/>
      </w:pPr>
      <w:r>
        <w:rPr>
          <w:b/>
          <w:bCs/>
        </w:rPr>
        <w:t xml:space="preserve">Mudar para a retenção no tratamento.</w:t>
      </w:r>
      <w:r>
        <w:t xml:space="preserve"> </w:t>
      </w:r>
      <w:r>
        <w:t xml:space="preserve">Reduzir a distribuição ampla e investir em transporte, navegação de cuidados, gestão de contingência e acompanhamento mais longo.</w:t>
      </w:r>
    </w:p>
    <w:p>
      <w:pPr>
        <w:pStyle w:val="BodyText"/>
      </w:pPr>
      <w:r>
        <w:rPr>
          <w:b/>
          <w:bCs/>
        </w:rPr>
        <w:t xml:space="preserve">Direcionar populações e locais de alta carga.</w:t>
      </w:r>
      <w:r>
        <w:t xml:space="preserve"> </w:t>
      </w:r>
      <w:r>
        <w:t xml:space="preserve">Usar dados de bairro e demográficos para concentrar recursos, mesmo que o acesso em todo o condado se torne menos uniforme.</w:t>
      </w:r>
    </w:p>
    <w:p>
      <w:pPr>
        <w:pStyle w:val="BodyText"/>
      </w:pPr>
      <w:r>
        <w:rPr>
          <w:b/>
          <w:bCs/>
        </w:rPr>
        <w:t xml:space="preserve">Transferir serviços para instituições convencionais.</w:t>
      </w:r>
      <w:r>
        <w:t xml:space="preserve"> </w:t>
      </w:r>
      <w:r>
        <w:t xml:space="preserve">Contratar com hospitais, práticas de atenção primária, farmácias e a cadeia, em vez de manter programas operados pelo condado.</w:t>
      </w:r>
    </w:p>
    <w:p>
      <w:pPr>
        <w:pStyle w:val="BodyText"/>
      </w:pPr>
      <w:r>
        <w:rPr>
          <w:b/>
          <w:bCs/>
        </w:rPr>
        <w:t xml:space="preserve">Construir um portfólio mais adaptativo.</w:t>
      </w:r>
      <w:r>
        <w:t xml:space="preserve"> </w:t>
      </w:r>
      <w:r>
        <w:t xml:space="preserve">Reservar parte do orçamento para experimentos rápidos vinculados a indicadores antecedentes, com programas expandidos ou interrompidos conforme as evidências se acumulam.</w:t>
      </w:r>
    </w:p>
    <w:bookmarkEnd w:id="19"/>
    <w:bookmarkStart w:id="20" w:name="o-que-significaria-sucesso"/>
    <w:p>
      <w:pPr>
        <w:pStyle w:val="Heading1"/>
      </w:pPr>
      <w:r>
        <w:t xml:space="preserve">O que significaria sucesso?</w:t>
      </w:r>
    </w:p>
    <w:p>
      <w:pPr>
        <w:pStyle w:val="FirstParagraph"/>
      </w:pPr>
      <w:r>
        <w:t xml:space="preserve">As partes interessadas não concordavam sobre o objetivo. O executivo-chefe do condado queria menos mortes por dólar. O hospital priorizava o início do tratamento e a redução do uso do pronto-socorro. Defensores enfatizavam sobrevivência, dignidade e acesso equitativo. Líderes policiais concentravam-se no uso público de drogas e em chamados recorrentes. Prestadores mediam a retenção no cuidado. A equipe de epidemiologia alertou que uma melhora aparente em qualquer métrica poderia refletir deslocamento, atrasos nos relatórios, mudanças na composição das drogas ou regressão à média.</w:t>
      </w:r>
    </w:p>
    <w:p>
      <w:pPr>
        <w:pStyle w:val="BodyText"/>
      </w:pPr>
      <w:r>
        <w:t xml:space="preserve">Torres também teve que decidir quanta evidência era suficiente. Uma grande intervenção comunitária financiada pelo governo federal falhou em demonstrar uma redução estatisticamente significativa nas taxas de mortes por overdose de opioides durante seu período de avaliação, apesar do aumento de práticas baseadas em evidências—uma ilustração de quão difícil pode ser traduzir um amplo pacote de serviços em resultados populacionais mensuráveis.⁷</w:t>
      </w:r>
    </w:p>
    <w:bookmarkEnd w:id="20"/>
    <w:bookmarkStart w:id="21" w:name="X2c2e2fc0ed3b6c0c97d44f736471aabac1d6001"/>
    <w:p>
      <w:pPr>
        <w:pStyle w:val="Heading1"/>
      </w:pPr>
      <w:r>
        <w:t xml:space="preserve">Exhibit 1. Indicadores de overdose de Riverton</w:t>
      </w:r>
    </w:p>
    <w:tbl>
      <w:tblPr>
        <w:tblStyle w:val="Table"/>
        <w:tblW w:type="pct" w:w="4900"/>
        <w:tblLayout w:type="fixed"/>
        <w:tblLook w:firstRow="1" w:lastRow="0" w:firstColumn="0" w:lastColumn="0" w:noHBand="0" w:noVBand="0" w:val="0020"/>
      </w:tblPr>
      <w:tblGrid>
        <w:gridCol w:w="2930"/>
        <w:gridCol w:w="950"/>
        <w:gridCol w:w="950"/>
        <w:gridCol w:w="950"/>
        <w:gridCol w:w="950"/>
        <w:gridCol w:w="1029"/>
      </w:tblGrid>
      <w:tr>
        <w:trPr>
          <w:tblHeader w:val="on"/>
        </w:trPr>
        <w:tc>
          <w:tcPr/>
          <w:p>
            <w:pPr>
              <w:pStyle w:val="Compact"/>
              <w:jc w:val="left"/>
            </w:pPr>
            <w:r>
              <w:t xml:space="preserve">Indicador</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pPr>
            <w:r>
              <w:t xml:space="preserve">2026 até a data*</w:t>
            </w:r>
          </w:p>
        </w:tc>
      </w:tr>
      <w:tr>
        <w:tc>
          <w:tcPr/>
          <w:p>
            <w:pPr>
              <w:pStyle w:val="Compact"/>
              <w:jc w:val="left"/>
            </w:pPr>
            <w:r>
              <w:t xml:space="preserve">Overdoses fatais</w:t>
            </w:r>
          </w:p>
        </w:tc>
        <w:tc>
          <w:tcPr/>
          <w:p>
            <w:pPr>
              <w:pStyle w:val="Compact"/>
              <w:jc w:val="left"/>
            </w:pPr>
            <w:r>
              <w:t xml:space="preserve">118</w:t>
            </w:r>
          </w:p>
        </w:tc>
        <w:tc>
          <w:tcPr/>
          <w:p>
            <w:pPr>
              <w:pStyle w:val="Compact"/>
              <w:jc w:val="left"/>
            </w:pPr>
            <w:r>
              <w:t xml:space="preserve">136</w:t>
            </w:r>
          </w:p>
        </w:tc>
        <w:tc>
          <w:tcPr/>
          <w:p>
            <w:pPr>
              <w:pStyle w:val="Compact"/>
              <w:jc w:val="left"/>
            </w:pPr>
            <w:r>
              <w:t xml:space="preserve">129</w:t>
            </w:r>
          </w:p>
        </w:tc>
        <w:tc>
          <w:tcPr/>
          <w:p>
            <w:pPr>
              <w:pStyle w:val="Compact"/>
              <w:jc w:val="left"/>
            </w:pPr>
            <w:r>
              <w:t xml:space="preserve">101</w:t>
            </w:r>
          </w:p>
        </w:tc>
        <w:tc>
          <w:tcPr/>
          <w:p>
            <w:pPr>
              <w:pStyle w:val="Compact"/>
            </w:pPr>
            <w:r>
              <w:t xml:space="preserve">43</w:t>
            </w:r>
          </w:p>
        </w:tc>
      </w:tr>
      <w:tr>
        <w:tc>
          <w:tcPr/>
          <w:p>
            <w:pPr>
              <w:pStyle w:val="Compact"/>
              <w:jc w:val="left"/>
            </w:pPr>
            <w:r>
              <w:t xml:space="preserve">Overdoses não fatais tratadas por</w:t>
            </w:r>
            <w:r>
              <w:t xml:space="preserve"> </w:t>
            </w:r>
            <w:r>
              <w:t xml:space="preserve">SME</w:t>
            </w:r>
          </w:p>
        </w:tc>
        <w:tc>
          <w:tcPr/>
          <w:p>
            <w:pPr>
              <w:pStyle w:val="Compact"/>
              <w:jc w:val="left"/>
            </w:pPr>
            <w:r>
              <w:t xml:space="preserve">642</w:t>
            </w:r>
          </w:p>
        </w:tc>
        <w:tc>
          <w:tcPr/>
          <w:p>
            <w:pPr>
              <w:pStyle w:val="Compact"/>
              <w:jc w:val="left"/>
            </w:pPr>
            <w:r>
              <w:t xml:space="preserve">714</w:t>
            </w:r>
          </w:p>
        </w:tc>
        <w:tc>
          <w:tcPr/>
          <w:p>
            <w:pPr>
              <w:pStyle w:val="Compact"/>
              <w:jc w:val="left"/>
            </w:pPr>
            <w:r>
              <w:t xml:space="preserve">746</w:t>
            </w:r>
          </w:p>
        </w:tc>
        <w:tc>
          <w:tcPr/>
          <w:p>
            <w:pPr>
              <w:pStyle w:val="Compact"/>
              <w:jc w:val="left"/>
            </w:pPr>
            <w:r>
              <w:t xml:space="preserve">691</w:t>
            </w:r>
          </w:p>
        </w:tc>
        <w:tc>
          <w:tcPr/>
          <w:p>
            <w:pPr>
              <w:pStyle w:val="Compact"/>
            </w:pPr>
            <w:r>
              <w:t xml:space="preserve">286</w:t>
            </w:r>
          </w:p>
        </w:tc>
      </w:tr>
      <w:tr>
        <w:tc>
          <w:tcPr/>
          <w:p>
            <w:pPr>
              <w:pStyle w:val="Compact"/>
              <w:jc w:val="left"/>
            </w:pPr>
            <w:r>
              <w:t xml:space="preserve">Administrações de naloxona por SME</w:t>
            </w:r>
          </w:p>
        </w:tc>
        <w:tc>
          <w:tcPr/>
          <w:p>
            <w:pPr>
              <w:pStyle w:val="Compact"/>
              <w:jc w:val="left"/>
            </w:pPr>
            <w:r>
              <w:t xml:space="preserve">508</w:t>
            </w:r>
          </w:p>
        </w:tc>
        <w:tc>
          <w:tcPr/>
          <w:p>
            <w:pPr>
              <w:pStyle w:val="Compact"/>
              <w:jc w:val="left"/>
            </w:pPr>
            <w:r>
              <w:t xml:space="preserve">575</w:t>
            </w:r>
          </w:p>
        </w:tc>
        <w:tc>
          <w:tcPr/>
          <w:p>
            <w:pPr>
              <w:pStyle w:val="Compact"/>
              <w:jc w:val="left"/>
            </w:pPr>
            <w:r>
              <w:t xml:space="preserve">612</w:t>
            </w:r>
          </w:p>
        </w:tc>
        <w:tc>
          <w:tcPr/>
          <w:p>
            <w:pPr>
              <w:pStyle w:val="Compact"/>
              <w:jc w:val="left"/>
            </w:pPr>
            <w:r>
              <w:t xml:space="preserve">584</w:t>
            </w:r>
          </w:p>
        </w:tc>
        <w:tc>
          <w:tcPr/>
          <w:p>
            <w:pPr>
              <w:pStyle w:val="Compact"/>
            </w:pPr>
            <w:r>
              <w:t xml:space="preserve">241</w:t>
            </w:r>
          </w:p>
        </w:tc>
      </w:tr>
      <w:tr>
        <w:tc>
          <w:tcPr/>
          <w:p>
            <w:pPr>
              <w:pStyle w:val="Compact"/>
              <w:jc w:val="left"/>
            </w:pPr>
            <w:r>
              <w:t xml:space="preserve">Atendimentos hospitalares por</w:t>
            </w:r>
            <w:r>
              <w:t xml:space="preserve"> </w:t>
            </w:r>
            <w:r>
              <w:t xml:space="preserve">overdose</w:t>
            </w:r>
          </w:p>
        </w:tc>
        <w:tc>
          <w:tcPr/>
          <w:p>
            <w:pPr>
              <w:pStyle w:val="Compact"/>
              <w:jc w:val="left"/>
            </w:pPr>
            <w:r>
              <w:t xml:space="preserve">884</w:t>
            </w:r>
          </w:p>
        </w:tc>
        <w:tc>
          <w:tcPr/>
          <w:p>
            <w:pPr>
              <w:pStyle w:val="Compact"/>
              <w:jc w:val="left"/>
            </w:pPr>
            <w:r>
              <w:t xml:space="preserve">963</w:t>
            </w:r>
          </w:p>
        </w:tc>
        <w:tc>
          <w:tcPr/>
          <w:p>
            <w:pPr>
              <w:pStyle w:val="Compact"/>
              <w:jc w:val="left"/>
            </w:pPr>
            <w:r>
              <w:t xml:space="preserve">1.022</w:t>
            </w:r>
          </w:p>
        </w:tc>
        <w:tc>
          <w:tcPr/>
          <w:p>
            <w:pPr>
              <w:pStyle w:val="Compact"/>
              <w:jc w:val="left"/>
            </w:pPr>
            <w:r>
              <w:t xml:space="preserve">947</w:t>
            </w:r>
          </w:p>
        </w:tc>
        <w:tc>
          <w:tcPr/>
          <w:p>
            <w:pPr>
              <w:pStyle w:val="Compact"/>
            </w:pPr>
            <w:r>
              <w:t xml:space="preserve">412</w:t>
            </w:r>
          </w:p>
        </w:tc>
      </w:tr>
      <w:tr>
        <w:tc>
          <w:tcPr/>
          <w:p>
            <w:pPr>
              <w:pStyle w:val="Compact"/>
              <w:jc w:val="left"/>
            </w:pPr>
            <w:r>
              <w:t xml:space="preserve">Inícios de tratamento medicamentoso</w:t>
            </w:r>
          </w:p>
        </w:tc>
        <w:tc>
          <w:tcPr/>
          <w:p>
            <w:pPr>
              <w:pStyle w:val="Compact"/>
              <w:jc w:val="left"/>
            </w:pPr>
            <w:r>
              <w:t xml:space="preserve">611</w:t>
            </w:r>
          </w:p>
        </w:tc>
        <w:tc>
          <w:tcPr/>
          <w:p>
            <w:pPr>
              <w:pStyle w:val="Compact"/>
              <w:jc w:val="left"/>
            </w:pPr>
            <w:r>
              <w:t xml:space="preserve">782</w:t>
            </w:r>
          </w:p>
        </w:tc>
        <w:tc>
          <w:tcPr/>
          <w:p>
            <w:pPr>
              <w:pStyle w:val="Compact"/>
              <w:jc w:val="left"/>
            </w:pPr>
            <w:r>
              <w:t xml:space="preserve">1.036</w:t>
            </w:r>
          </w:p>
        </w:tc>
        <w:tc>
          <w:tcPr/>
          <w:p>
            <w:pPr>
              <w:pStyle w:val="Compact"/>
              <w:jc w:val="left"/>
            </w:pPr>
            <w:r>
              <w:t xml:space="preserve">1.194</w:t>
            </w:r>
          </w:p>
        </w:tc>
        <w:tc>
          <w:tcPr/>
          <w:p>
            <w:pPr>
              <w:pStyle w:val="Compact"/>
            </w:pPr>
            <w:r>
              <w:t xml:space="preserve">566</w:t>
            </w:r>
          </w:p>
        </w:tc>
      </w:tr>
      <w:tr>
        <w:tc>
          <w:tcPr/>
          <w:p>
            <w:pPr>
              <w:pStyle w:val="Compact"/>
              <w:jc w:val="left"/>
            </w:pPr>
            <w:r>
              <w:t xml:space="preserve">Retenção no tratamento aos 90 dias</w:t>
            </w:r>
          </w:p>
        </w:tc>
        <w:tc>
          <w:tcPr/>
          <w:p>
            <w:pPr>
              <w:pStyle w:val="Compact"/>
              <w:jc w:val="left"/>
            </w:pPr>
            <w:r>
              <w:t xml:space="preserve">29%</w:t>
            </w:r>
          </w:p>
        </w:tc>
        <w:tc>
          <w:tcPr/>
          <w:p>
            <w:pPr>
              <w:pStyle w:val="Compact"/>
              <w:jc w:val="left"/>
            </w:pPr>
            <w:r>
              <w:t xml:space="preserve">31%</w:t>
            </w:r>
          </w:p>
        </w:tc>
        <w:tc>
          <w:tcPr/>
          <w:p>
            <w:pPr>
              <w:pStyle w:val="Compact"/>
              <w:jc w:val="left"/>
            </w:pPr>
            <w:r>
              <w:t xml:space="preserve">34%</w:t>
            </w:r>
          </w:p>
        </w:tc>
        <w:tc>
          <w:tcPr/>
          <w:p>
            <w:pPr>
              <w:pStyle w:val="Compact"/>
              <w:jc w:val="left"/>
            </w:pPr>
            <w:r>
              <w:t xml:space="preserve">36%</w:t>
            </w:r>
          </w:p>
        </w:tc>
        <w:tc>
          <w:tcPr/>
          <w:p>
            <w:pPr>
              <w:pStyle w:val="Compact"/>
            </w:pPr>
            <w:r>
              <w:t xml:space="preserve">35%</w:t>
            </w:r>
          </w:p>
        </w:tc>
      </w:tr>
    </w:tbl>
    <w:p>
      <w:pPr>
        <w:pStyle w:val="BodyText"/>
      </w:pPr>
      <w:r>
        <w:t xml:space="preserve">*Até 31 de agosto de 2026. Todos os números de Riverton são fictícios. Os valores acumulados até a data não são diretamente comparáveis com os totais do ano completo.</w:t>
      </w:r>
    </w:p>
    <w:bookmarkEnd w:id="21"/>
    <w:bookmarkStart w:id="22" w:name="exhibit-2.-resultados-desiguais-20232025"/>
    <w:p>
      <w:pPr>
        <w:pStyle w:val="Heading1"/>
      </w:pPr>
      <w:r>
        <w:t xml:space="preserve">Exhibit 2. Resultados desiguais, 2023–2025</w:t>
      </w:r>
    </w:p>
    <w:tbl>
      <w:tblPr>
        <w:tblStyle w:val="Table"/>
        <w:tblW w:type="pct" w:w="4885"/>
        <w:tblLayout w:type="fixed"/>
        <w:tblLook w:firstRow="1" w:lastRow="0" w:firstColumn="0" w:lastColumn="0" w:noHBand="0" w:noVBand="0" w:val="0020"/>
      </w:tblPr>
      <w:tblGrid>
        <w:gridCol w:w="2822"/>
        <w:gridCol w:w="1638"/>
        <w:gridCol w:w="1638"/>
        <w:gridCol w:w="1638"/>
      </w:tblGrid>
      <w:tr>
        <w:trPr>
          <w:tblHeader w:val="on"/>
        </w:trPr>
        <w:tc>
          <w:tcPr/>
          <w:p>
            <w:pPr>
              <w:pStyle w:val="Compact"/>
              <w:jc w:val="left"/>
            </w:pPr>
            <w:r>
              <w:t xml:space="preserve">Grupo populacional</w:t>
            </w:r>
          </w:p>
        </w:tc>
        <w:tc>
          <w:tcPr/>
          <w:p>
            <w:pPr>
              <w:pStyle w:val="Compact"/>
              <w:jc w:val="left"/>
            </w:pPr>
            <w:r>
              <w:t xml:space="preserve">Mortes em 2023</w:t>
            </w:r>
          </w:p>
        </w:tc>
        <w:tc>
          <w:tcPr/>
          <w:p>
            <w:pPr>
              <w:pStyle w:val="Compact"/>
              <w:jc w:val="left"/>
            </w:pPr>
            <w:r>
              <w:t xml:space="preserve">Mortes em 2025</w:t>
            </w:r>
          </w:p>
        </w:tc>
        <w:tc>
          <w:tcPr/>
          <w:p>
            <w:pPr>
              <w:pStyle w:val="Compact"/>
              <w:jc w:val="left"/>
            </w:pPr>
            <w:r>
              <w:t xml:space="preserve">Variação</w:t>
            </w:r>
          </w:p>
        </w:tc>
      </w:tr>
      <w:tr>
        <w:tc>
          <w:tcPr/>
          <w:p>
            <w:pPr>
              <w:pStyle w:val="Compact"/>
              <w:jc w:val="left"/>
            </w:pPr>
            <w:r>
              <w:t xml:space="preserve">Residentes brancos</w:t>
            </w:r>
          </w:p>
        </w:tc>
        <w:tc>
          <w:tcPr/>
          <w:p>
            <w:pPr>
              <w:pStyle w:val="Compact"/>
              <w:jc w:val="left"/>
            </w:pPr>
            <w:r>
              <w:t xml:space="preserve">76</w:t>
            </w:r>
          </w:p>
        </w:tc>
        <w:tc>
          <w:tcPr/>
          <w:p>
            <w:pPr>
              <w:pStyle w:val="Compact"/>
              <w:jc w:val="left"/>
            </w:pPr>
            <w:r>
              <w:t xml:space="preserve">55</w:t>
            </w:r>
          </w:p>
        </w:tc>
        <w:tc>
          <w:tcPr/>
          <w:p>
            <w:pPr>
              <w:pStyle w:val="Compact"/>
              <w:jc w:val="left"/>
            </w:pPr>
            <w:r>
              <w:t xml:space="preserve">-28%</w:t>
            </w:r>
          </w:p>
        </w:tc>
      </w:tr>
      <w:tr>
        <w:tc>
          <w:tcPr/>
          <w:p>
            <w:pPr>
              <w:pStyle w:val="Compact"/>
              <w:jc w:val="left"/>
            </w:pPr>
            <w:r>
              <w:t xml:space="preserve">Residentes negros</w:t>
            </w:r>
          </w:p>
        </w:tc>
        <w:tc>
          <w:tcPr/>
          <w:p>
            <w:pPr>
              <w:pStyle w:val="Compact"/>
              <w:jc w:val="left"/>
            </w:pPr>
            <w:r>
              <w:t xml:space="preserve">34</w:t>
            </w:r>
          </w:p>
        </w:tc>
        <w:tc>
          <w:tcPr/>
          <w:p>
            <w:pPr>
              <w:pStyle w:val="Compact"/>
              <w:jc w:val="left"/>
            </w:pPr>
            <w:r>
              <w:t xml:space="preserve">32</w:t>
            </w:r>
          </w:p>
        </w:tc>
        <w:tc>
          <w:tcPr/>
          <w:p>
            <w:pPr>
              <w:pStyle w:val="Compact"/>
              <w:jc w:val="left"/>
            </w:pPr>
            <w:r>
              <w:t xml:space="preserve">-6%</w:t>
            </w:r>
          </w:p>
        </w:tc>
      </w:tr>
      <w:tr>
        <w:tc>
          <w:tcPr/>
          <w:p>
            <w:pPr>
              <w:pStyle w:val="Compact"/>
              <w:jc w:val="left"/>
            </w:pPr>
            <w:r>
              <w:t xml:space="preserve">Residentes hispânicos</w:t>
            </w:r>
          </w:p>
        </w:tc>
        <w:tc>
          <w:tcPr/>
          <w:p>
            <w:pPr>
              <w:pStyle w:val="Compact"/>
              <w:jc w:val="left"/>
            </w:pPr>
            <w:r>
              <w:t xml:space="preserve">19</w:t>
            </w:r>
          </w:p>
        </w:tc>
        <w:tc>
          <w:tcPr/>
          <w:p>
            <w:pPr>
              <w:pStyle w:val="Compact"/>
              <w:jc w:val="left"/>
            </w:pPr>
            <w:r>
              <w:t xml:space="preserve">11</w:t>
            </w:r>
          </w:p>
        </w:tc>
        <w:tc>
          <w:tcPr/>
          <w:p>
            <w:pPr>
              <w:pStyle w:val="Compact"/>
              <w:jc w:val="left"/>
            </w:pPr>
            <w:r>
              <w:t xml:space="preserve">-42%</w:t>
            </w:r>
          </w:p>
        </w:tc>
      </w:tr>
      <w:tr>
        <w:tc>
          <w:tcPr/>
          <w:p>
            <w:pPr>
              <w:pStyle w:val="Compact"/>
              <w:jc w:val="left"/>
            </w:pPr>
            <w:r>
              <w:t xml:space="preserve">Residentes de outra 7</w:t>
            </w:r>
            <w:r>
              <w:t xml:space="preserve"> </w:t>
            </w:r>
            <w:r>
              <w:t xml:space="preserve">raça/multirraciais</w:t>
            </w:r>
          </w:p>
        </w:tc>
        <w:tc>
          <w:tcPr/>
          <w:p>
            <w:pPr>
              <w:pStyle w:val="Compact"/>
              <w:jc w:val="left"/>
            </w:pPr>
            <w:r>
              <w:t xml:space="preserve">3</w:t>
            </w:r>
          </w:p>
        </w:tc>
        <w:tc>
          <w:tcPr/>
          <w:p>
            <w:pPr>
              <w:pStyle w:val="Compact"/>
              <w:jc w:val="left"/>
            </w:pPr>
            <w:r>
              <w:t xml:space="preserve">-</w:t>
            </w:r>
          </w:p>
        </w:tc>
        <w:tc>
          <w:tcPr/>
          <w:p>
            <w:pPr>
              <w:pStyle w:val="Compact"/>
              <w:jc w:val="left"/>
            </w:pPr>
            <w:r>
              <w:t xml:space="preserve">57%</w:t>
            </w:r>
          </w:p>
        </w:tc>
      </w:tr>
      <w:tr>
        <w:tc>
          <w:tcPr/>
          <w:p>
            <w:pPr>
              <w:pStyle w:val="Compact"/>
              <w:jc w:val="left"/>
            </w:pPr>
            <w:r>
              <w:t xml:space="preserve">Idade 45–64</w:t>
            </w:r>
          </w:p>
        </w:tc>
        <w:tc>
          <w:tcPr/>
          <w:p>
            <w:pPr>
              <w:pStyle w:val="Compact"/>
              <w:jc w:val="left"/>
            </w:pPr>
            <w:r>
              <w:t xml:space="preserve">47</w:t>
            </w:r>
          </w:p>
        </w:tc>
        <w:tc>
          <w:tcPr/>
          <w:p>
            <w:pPr>
              <w:pStyle w:val="Compact"/>
              <w:jc w:val="left"/>
            </w:pPr>
            <w:r>
              <w:t xml:space="preserve">47</w:t>
            </w:r>
          </w:p>
        </w:tc>
        <w:tc>
          <w:tcPr/>
          <w:p>
            <w:pPr>
              <w:pStyle w:val="Compact"/>
              <w:jc w:val="left"/>
            </w:pPr>
            <w:r>
              <w:t xml:space="preserve">0%</w:t>
            </w:r>
          </w:p>
        </w:tc>
      </w:tr>
      <w:tr>
        <w:tc>
          <w:tcPr/>
          <w:p>
            <w:pPr>
              <w:pStyle w:val="Compact"/>
              <w:jc w:val="left"/>
            </w:pPr>
            <w:r>
              <w:t xml:space="preserve">Municípios rurais ocidentais</w:t>
            </w:r>
          </w:p>
        </w:tc>
        <w:tc>
          <w:tcPr/>
          <w:p>
            <w:pPr>
              <w:pStyle w:val="Compact"/>
              <w:jc w:val="left"/>
            </w:pPr>
            <w:r>
              <w:t xml:space="preserve">29</w:t>
            </w:r>
          </w:p>
        </w:tc>
        <w:tc>
          <w:tcPr/>
          <w:p>
            <w:pPr>
              <w:pStyle w:val="Compact"/>
              <w:jc w:val="left"/>
            </w:pPr>
            <w:r>
              <w:t xml:space="preserve">27</w:t>
            </w:r>
          </w:p>
        </w:tc>
        <w:tc>
          <w:tcPr/>
          <w:p>
            <w:pPr>
              <w:pStyle w:val="Compact"/>
              <w:jc w:val="left"/>
            </w:pPr>
            <w:r>
              <w:t xml:space="preserve">-7%</w:t>
            </w:r>
          </w:p>
        </w:tc>
      </w:tr>
    </w:tbl>
    <w:bookmarkEnd w:id="22"/>
    <w:bookmarkStart w:id="23" w:name="questões-de-discussão"/>
    <w:p>
      <w:pPr>
        <w:pStyle w:val="Heading1"/>
      </w:pPr>
      <w:r>
        <w:t xml:space="preserve">Questões de discussão</w:t>
      </w:r>
    </w:p>
    <w:p>
      <w:pPr>
        <w:numPr>
          <w:ilvl w:val="0"/>
          <w:numId w:val="1001"/>
        </w:numPr>
      </w:pPr>
      <w:r>
        <w:t xml:space="preserve">Qual problema Torres está realmente sendo solicitada a resolver? Como diferentes definições do problema mudariam a recomendação?</w:t>
      </w:r>
    </w:p>
    <w:p>
      <w:pPr>
        <w:numPr>
          <w:ilvl w:val="0"/>
          <w:numId w:val="1001"/>
        </w:numPr>
      </w:pPr>
      <w:r>
        <w:t xml:space="preserve">Quais medidas de desempenho deveriam governar o portfólio: mortes, overdoses não fatais, inícios de tratamento, retenção, equidade, desordem pública, custo, ou alguma combinação?</w:t>
      </w:r>
    </w:p>
    <w:p>
      <w:pPr>
        <w:numPr>
          <w:ilvl w:val="0"/>
          <w:numId w:val="1001"/>
        </w:numPr>
      </w:pPr>
      <w:r>
        <w:t xml:space="preserve">Quais decisões são urgentes e quais poderiam ser adiadas até que melhores informações estivessem disponíveis?</w:t>
      </w:r>
    </w:p>
    <w:p>
      <w:pPr>
        <w:numPr>
          <w:ilvl w:val="0"/>
          <w:numId w:val="1001"/>
        </w:numPr>
      </w:pPr>
      <w:r>
        <w:t xml:space="preserve">Quais incertezas importam mais? Quais poderiam ser reduzidas por meio da coleta de dados ou de um piloto limitado?</w:t>
      </w:r>
    </w:p>
    <w:p>
      <w:pPr>
        <w:numPr>
          <w:ilvl w:val="0"/>
          <w:numId w:val="1001"/>
        </w:numPr>
      </w:pPr>
      <w:r>
        <w:t xml:space="preserve">Como o condado deveria interpretar a queda das mortes nacionais e locais quando a exposição ao fentanil e a demanda por serviços permanecem altas?</w:t>
      </w:r>
    </w:p>
    <w:p>
      <w:pPr>
        <w:numPr>
          <w:ilvl w:val="0"/>
          <w:numId w:val="1001"/>
        </w:numPr>
      </w:pPr>
      <w:r>
        <w:t xml:space="preserve">Quais princípios de alocação seriam defensáveis quando os resultados diferem acentuadamente entre grupos demográficos e bairros?</w:t>
      </w:r>
    </w:p>
    <w:p>
      <w:pPr>
        <w:numPr>
          <w:ilvl w:val="0"/>
          <w:numId w:val="1001"/>
        </w:numPr>
      </w:pPr>
      <w:r>
        <w:t xml:space="preserve">Prepare uma recomendação para a reunião das 16h00, incluindo um orçamento, prioridades de implementação e indicadores que desencadeariam mudanças futuras.</w:t>
      </w:r>
    </w:p>
    <w:bookmarkEnd w:id="23"/>
    <w:bookmarkStart w:id="29" w:name="questões-de-enquadramento-de-decisão"/>
    <w:p>
      <w:pPr>
        <w:pStyle w:val="Heading1"/>
      </w:pPr>
      <w:r>
        <w:t xml:space="preserve">Questões de Enquadramento de Decisão</w:t>
      </w:r>
    </w:p>
    <w:p>
      <w:pPr>
        <w:numPr>
          <w:ilvl w:val="0"/>
          <w:numId w:val="1002"/>
        </w:numPr>
      </w:pPr>
      <w:r>
        <w:t xml:space="preserve">Identifique e descreva as responsabilidades da tomadora de decisão. Isso deve definir o escopo do problema.</w:t>
      </w:r>
    </w:p>
    <w:p>
      <w:pPr>
        <w:numPr>
          <w:ilvl w:val="0"/>
          <w:numId w:val="1002"/>
        </w:numPr>
      </w:pPr>
      <w:r>
        <w:t xml:space="preserve">Use a</w:t>
      </w:r>
      <w:r>
        <w:t xml:space="preserve"> </w:t>
      </w:r>
      <w:hyperlink r:id="rId24">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ela é uma métrica a ser maximizada (verde), minimizada (vermelho), uma meta que é um piso (verde claro) ou um teto (vermelho claro), ou finalmente uma meta (roxo).</w:t>
      </w:r>
    </w:p>
    <w:p>
      <w:pPr>
        <w:numPr>
          <w:ilvl w:val="0"/>
          <w:numId w:val="1002"/>
        </w:numPr>
      </w:pPr>
      <w:r>
        <w:t xml:space="preserve">Use a</w:t>
      </w:r>
      <w:r>
        <w:t xml:space="preserve"> </w:t>
      </w:r>
      <w:hyperlink r:id="rId25">
        <w:r>
          <w:rPr>
            <w:rStyle w:val="Hyperlink"/>
          </w:rPr>
          <w:t xml:space="preserve">ferramenta de priorização de decisões</w:t>
        </w:r>
      </w:hyperlink>
      <w:r>
        <w:t xml:space="preserve"> </w:t>
      </w:r>
      <w:r>
        <w:t xml:space="preserve">para primeiro listar os diferentes tipos de decisões (use os</w:t>
      </w:r>
      <w:r>
        <w:t xml:space="preserve"> </w:t>
      </w:r>
      <w:hyperlink r:id="rId26">
        <w:r>
          <w:rPr>
            <w:rStyle w:val="Hyperlink"/>
          </w:rPr>
          <w:t xml:space="preserve">tipos de decisões</w:t>
        </w:r>
      </w:hyperlink>
      <w:r>
        <w:t xml:space="preserve"> </w:t>
      </w:r>
      <w:r>
        <w:t xml:space="preserve">como guia). Esses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pegar a alça (três barras) mais à esquerda em cada linha para movê-la para cima ou para baixo. Ordene as linhas de forma que as decisões com maior impacto nas métricas mais importantes fiquem no topo. As células no canto superior esquerdo devem ter a maior concentração de células vermelhas e laranja. Neste ponto, identifique as decisões que devem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7">
        <w:r>
          <w:rPr>
            <w:rStyle w:val="Hyperlink"/>
          </w:rPr>
          <w:t xml:space="preserve">ferramenta de priorização de incertezas</w:t>
        </w:r>
      </w:hyperlink>
      <w:r>
        <w:t xml:space="preserve">. Use as</w:t>
      </w:r>
      <w:r>
        <w:t xml:space="preserve"> </w:t>
      </w:r>
      <w:hyperlink r:id="rId28">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9"/>
    <w:bookmarkStart w:id="30" w:name="fontes-e-notas"/>
    <w:p>
      <w:pPr>
        <w:pStyle w:val="Heading1"/>
      </w:pPr>
      <w:r>
        <w:t xml:space="preserve">Fontes e notas</w:t>
      </w:r>
    </w:p>
    <w:p>
      <w:pPr>
        <w:pStyle w:val="FirstParagraph"/>
      </w:pPr>
      <w:r>
        <w:t xml:space="preserve">1. CDC,</w:t>
      </w:r>
      <w:r>
        <w:t xml:space="preserve"> </w:t>
      </w:r>
      <w:r>
        <w:t xml:space="preserve">“U.S. Overdose Deaths Decrease Almost 27% in 2024,”</w:t>
      </w:r>
      <w:r>
        <w:t xml:space="preserve"> </w:t>
      </w:r>
      <w:r>
        <w:t xml:space="preserve">14 de maio de 2025. As mortes estimadas envolvendo opioides diminuíram de 83.140 em 2023 para 54.743 em 2024.</w:t>
      </w:r>
    </w:p>
    <w:p>
      <w:pPr>
        <w:pStyle w:val="BodyText"/>
      </w:pPr>
      <w:r>
        <w:t xml:space="preserve">2. CDC,</w:t>
      </w:r>
      <w:r>
        <w:t xml:space="preserve"> </w:t>
      </w:r>
      <w:r>
        <w:t xml:space="preserve">“U.S. Overdose Deaths Decrease for Third Consecutive Year,”</w:t>
      </w:r>
      <w:r>
        <w:t xml:space="preserve"> </w:t>
      </w:r>
      <w:r>
        <w:t xml:space="preserve">13 de maio de 2026. As mortes estimadas envolvendo opioides diminuíram para 44.564 em 2025; vários estados sofreram aumentos.</w:t>
      </w:r>
    </w:p>
    <w:p>
      <w:pPr>
        <w:pStyle w:val="BodyText"/>
      </w:pPr>
      <w:r>
        <w:t xml:space="preserve">3. CDC/NCHS,</w:t>
      </w:r>
      <w:r>
        <w:t xml:space="preserve"> </w:t>
      </w:r>
      <w:r>
        <w:t xml:space="preserve">“Drug Overdose Deaths in the United States, 2023–2024,”</w:t>
      </w:r>
      <w:r>
        <w:t xml:space="preserve"> </w:t>
      </w:r>
      <w:r>
        <w:t xml:space="preserve">Data Brief No. 549. A taxa ajustada por idade envolvendo opioides sintéticos que não a metadona caiu de 22,2 para 14,3 por 100.000.</w:t>
      </w:r>
    </w:p>
    <w:p>
      <w:pPr>
        <w:pStyle w:val="BodyText"/>
      </w:pPr>
      <w:r>
        <w:t xml:space="preserve">4. SAMHSA, divulgação da Pesquisa Nacional sobre Uso de Drogas e Saúde de 2024: 48,4 milhões de pessoas com 12 anos ou mais tiveram um transtorno por uso de substâncias no último ano.</w:t>
      </w:r>
    </w:p>
    <w:p>
      <w:pPr>
        <w:pStyle w:val="BodyText"/>
      </w:pPr>
      <w:r>
        <w:t xml:space="preserve">5. SAMHSA, Resultados da Pesquisa Nacional sobre Uso de Drogas e Saúde de 2024. Entre as pessoas cujo transtorno por uso de opioides envolvia uso indevido, 42,4% tinham transtorno leve e 37,1% tinham transtorno grave.</w:t>
      </w:r>
    </w:p>
    <w:p>
      <w:pPr>
        <w:pStyle w:val="BodyText"/>
      </w:pPr>
      <w:r>
        <w:t xml:space="preserve">6. CDC, Vital Signs: Drug Overdose Deaths and Disparities. De 2019 a 2020, as taxas de mortes por overdose aumentaram 44% entre pessoas negras e 39% entre indígenas americanos/nativos do Alasca; a evidência de tratamento foi mais baixa entre vários grupos raciais e étnicos.</w:t>
      </w:r>
    </w:p>
    <w:p>
      <w:pPr>
        <w:pStyle w:val="BodyText"/>
      </w:pPr>
      <w:r>
        <w:t xml:space="preserve">7. National Institute on Drug Abuse, junho de 2024, relatório sobre o HEALing Communities Study: a intervenção aumentou as práticas baseadas em evidências, mas não reduziu significativamente as taxas de mortes por overdose de opioides durante o período de avaliação.</w:t>
      </w:r>
    </w:p>
    <w:bookmarkEnd w:id="30"/>
    <w:bookmarkStart w:id="33" w:name="notas-do-chatgpt"/>
    <w:p>
      <w:pPr>
        <w:pStyle w:val="Heading1"/>
      </w:pPr>
      <w:r>
        <w:t xml:space="preserve">Notas do ChatGPT</w:t>
      </w:r>
    </w:p>
    <w:bookmarkStart w:id="31" w:name="prompt"/>
    <w:p>
      <w:pPr>
        <w:pStyle w:val="Heading2"/>
      </w:pPr>
      <w:r>
        <w:t xml:space="preserve">Prompt</w:t>
      </w:r>
    </w:p>
    <w:p>
      <w:pPr>
        <w:pStyle w:val="FirstParagraph"/>
      </w:pPr>
      <w:r>
        <w:t xml:space="preserve">Estudos de caso - Usando o estilo de um estudo de caso de negócios, crie um estudo de caso de um problema de saúde pública, apoiado por estatísticas. Deve ter de 3 a 5 páginas em um documento Word, bem organizado, mas sem uma ideia clara de como resolver o problema.</w:t>
      </w:r>
    </w:p>
    <w:bookmarkEnd w:id="31"/>
    <w:bookmarkStart w:id="32" w:name="resumo"/>
    <w:p>
      <w:pPr>
        <w:pStyle w:val="Heading2"/>
      </w:pPr>
      <w:r>
        <w:t xml:space="preserve">Resumo</w:t>
      </w:r>
    </w:p>
    <w:p>
      <w:pPr>
        <w:pStyle w:val="FirstParagraph"/>
      </w:pPr>
      <w:r>
        <w:t xml:space="preserve">Usa um formato de caso de escola de negócios e inclui:</w:t>
      </w:r>
    </w:p>
    <w:p>
      <w:pPr>
        <w:numPr>
          <w:ilvl w:val="0"/>
          <w:numId w:val="1005"/>
        </w:numPr>
      </w:pPr>
      <w:r>
        <w:t xml:space="preserve">Um condado fictício enfrentando uma crise de fentanil e overdose</w:t>
      </w:r>
    </w:p>
    <w:p>
      <w:pPr>
        <w:numPr>
          <w:ilvl w:val="0"/>
          <w:numId w:val="1005"/>
        </w:numPr>
      </w:pPr>
      <w:r>
        <w:t xml:space="preserve">Estatísticas nacionais atuais do CDC, SAMHSA e NIDA</w:t>
      </w:r>
    </w:p>
    <w:p>
      <w:pPr>
        <w:numPr>
          <w:ilvl w:val="0"/>
          <w:numId w:val="1005"/>
        </w:numPr>
      </w:pPr>
      <w:r>
        <w:t xml:space="preserve">Perspectivas concorrentes das partes interessadas</w:t>
      </w:r>
    </w:p>
    <w:p>
      <w:pPr>
        <w:numPr>
          <w:ilvl w:val="0"/>
          <w:numId w:val="1005"/>
        </w:numPr>
      </w:pPr>
      <w:r>
        <w:t xml:space="preserve">Um déficit de financiamento e dados orçamentários no nível do programa</w:t>
      </w:r>
    </w:p>
    <w:p>
      <w:pPr>
        <w:numPr>
          <w:ilvl w:val="0"/>
          <w:numId w:val="1005"/>
        </w:numPr>
      </w:pPr>
      <w:r>
        <w:t xml:space="preserve">Incertezas de desempenho, equidade e medição</w:t>
      </w:r>
    </w:p>
    <w:p>
      <w:pPr>
        <w:numPr>
          <w:ilvl w:val="0"/>
          <w:numId w:val="1005"/>
        </w:numPr>
      </w:pPr>
      <w:r>
        <w:t xml:space="preserve">Exhibits quantitativos e questões de discussão</w:t>
      </w:r>
    </w:p>
    <w:p>
      <w:pPr>
        <w:numPr>
          <w:ilvl w:val="0"/>
          <w:numId w:val="1005"/>
        </w:numPr>
      </w:pPr>
      <w:r>
        <w:t xml:space="preserve">Nenhuma solução claramente preferida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2026-09-11T16:56:06Z</dcterms:created>
  <dcterms:modified xsi:type="dcterms:W3CDTF">2026-09-11T16:56:06Z</dcterms:modified>
</cp:coreProperties>
</file>

<file path=docProps/custom.xml><?xml version="1.0" encoding="utf-8"?>
<Properties xmlns="http://schemas.openxmlformats.org/officeDocument/2006/custom-properties" xmlns:vt="http://schemas.openxmlformats.org/officeDocument/2006/docPropsVTypes"/>
</file>