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SUMMIT RIDGE ASSET MANAGEMENT</w:t>
      </w:r>
    </w:p>
    <w:p>
      <w:pPr>
        <w:pStyle w:val="BodyText"/>
      </w:pPr>
      <w:r>
        <w:t xml:space="preserve">A Decisão de Caixa da Segunda-feira de Manhã</w:t>
      </w:r>
    </w:p>
    <w:p>
      <w:pPr>
        <w:pStyle w:val="BodyText"/>
      </w:pPr>
      <w:r>
        <w:t xml:space="preserve">Um caso de fundo mútuo sobre fluxos de investidores, liquidez, desempenho de portfólio e negociação sob pressão</w:t>
      </w:r>
    </w:p>
    <w:p>
      <w:pPr>
        <w:pStyle w:val="BodyText"/>
      </w:pPr>
      <w:r>
        <w:t xml:space="preserve">Este caso é fictício e destinado à discussão didática. Nomes, eventos, fundos e números internos são inventados, embora o cenário do setor seja motivado por dados públicos.</w:t>
      </w:r>
    </w:p>
    <w:bookmarkStart w:id="9" w:name="um-fim-de-semana-de-más-notícias"/>
    <w:p>
      <w:pPr>
        <w:pStyle w:val="Heading1"/>
      </w:pPr>
      <w:r>
        <w:t xml:space="preserve">Um Fim de Semana de Más Notícias</w:t>
      </w:r>
    </w:p>
    <w:p>
      <w:pPr>
        <w:pStyle w:val="FirstParagraph"/>
      </w:pPr>
      <w:r>
        <w:t xml:space="preserve">Às 7h05 da manhã de segunda-feira, 12 de outubro de 2026, Elena Marquez, diretora de investimentos da Summit Ridge Asset Management, abriu uma mensagem do agente de transferências da empresa. Investidores do Summit Ridge Select Equity Fund haviam submetido um valor estimado de $318 milhões em solicitações de resgate desde a tarde de sexta-feira. A maior parte vinha de três contas institucionais. Os pedidos de varejo ainda estavam sendo processados e poderiam adicionar mais $40 milhões a $90 milhões antes do prazo de precificação vespertino do fundo.</w:t>
      </w:r>
    </w:p>
    <w:p>
      <w:pPr>
        <w:pStyle w:val="BodyText"/>
      </w:pPr>
      <w:r>
        <w:t xml:space="preserve">As solicitações chegaram após um fim de semana difícil. Uma grande empresa de tecnologia havia alertado que a receita trimestral ficaria abaixo das expectativas. Os mercados no exterior haviam caído acentuadamente, os rendimentos dos títulos do Tesouro haviam subido, e os futuros de índices indicavam que as ações dos EUA poderiam abrir com queda superior a 2 por cento. Várias das maiores posições do fundo provavelmente estariam entre os valores mobiliários mais negociados na abertura do pregão.</w:t>
      </w:r>
    </w:p>
    <w:p>
      <w:pPr>
        <w:pStyle w:val="BodyText"/>
      </w:pPr>
      <w:r>
        <w:t xml:space="preserve">O fundo detinha $246 milhões em caixa e títulos do Tesouro, equivalente a 2,9 por cento do patrimônio líquido. Marquez poderia satisfazer boa parte da demanda de resgate conhecida sem vender ações, mas isso deixaria pouca liquidez para retiradas adicionais. Ela poderia levantar mais caixa imediatamente, mas vender em um mercado em queda poderia travar preços desfavoráveis e alterar o portfólio. Manter uma reserva de caixa permanente maior reduziria esse risco, mas também poderia fazer com que o fundo ficasse abaixo de seu benchmark em mercados de alta.</w:t>
      </w:r>
    </w:p>
    <w:tbl>
      <w:tblPr>
        <w:tblStyle w:val="Table"/>
        <w:tblW w:type="auto" w:w="0"/>
        <w:tblLook w:firstRow="0" w:lastRow="0" w:firstColumn="0" w:lastColumn="0" w:noHBand="0" w:noVBand="0" w:val="0000"/>
      </w:tblPr>
      <w:tblGrid>
        <w:gridCol w:w="7920"/>
      </w:tblGrid>
      <w:tr>
        <w:tc>
          <w:tcPr/>
          <w:p>
            <w:pPr>
              <w:pStyle w:val="Compact"/>
            </w:pPr>
            <w:r>
              <w:t xml:space="preserve">A Summit Ridge não precisava decidir se caixa era útil. Ela precisava decidir quanta liquidez era suficiente, quando levantá-la e quais investidores deveriam arcar com o custo quando os fluxos forçassem o portfólio a negociar.</w:t>
            </w:r>
          </w:p>
        </w:tc>
      </w:tr>
    </w:tbl>
    <w:p>
      <w:r>
        <w:pict>
          <v:rect style="width:0;height:1.5pt" o:hralign="center" o:hrstd="t" o:hr="t"/>
        </w:pict>
      </w:r>
    </w:p>
    <w:bookmarkEnd w:id="9"/>
    <w:bookmarkStart w:id="11" w:name="summit-ridge-e-o-select-equity-fund"/>
    <w:p>
      <w:pPr>
        <w:pStyle w:val="Heading1"/>
      </w:pPr>
      <w:r>
        <w:t xml:space="preserve">Summit Ridge e o Select Equity Fund</w:t>
      </w:r>
    </w:p>
    <w:p>
      <w:pPr>
        <w:pStyle w:val="FirstParagraph"/>
      </w:pPr>
      <w:r>
        <w:t xml:space="preserve">Summit Ridge era uma gestora de investimentos de capital fechado com $41 bilhões sob gestão distribuídos entre fundos mútuos, contas gerenciadas separadamente e produtos de aposentadoria. O Select Equity Fund era sua estratégia principal, mantendo um portfólio concentrado de empresas americanas de grande e médio porte. O fundo havia produzido fortes resultados de longo prazo, mas o desempenho recente havia sido irregular à medida que investidores migravam entre ações de crescimento, setores defensivos, títulos e fundos do mercado monetário.</w:t>
      </w:r>
    </w:p>
    <w:p>
      <w:pPr>
        <w:pStyle w:val="BodyText"/>
      </w:pPr>
      <w:r>
        <w:t xml:space="preserve">O setor de fundos mútuos dos EUA era enorme. Fundos mútuos de longo prazo detinham aproximadamente $25,3 trilhões em ativos em maio de 2026, incluindo cerca de $17,8 trilhões em fundos de ações e $5,7 trilhões em fundos de renda fixa. O tamanho do setor não eliminava a volatilidade dos fluxos. Na semana encerrada em 15 de julho de 2026, fundos mútuos de longo prazo registraram saídas líquidas estimadas de $15,43 bilhões, mesmo enquanto os fundos negociados em bolsa (ETFs) reportavam emissão líquida. Os ativos de fundos do mercado monetário haviam ultrapassado $7 trilhões em março de 2025, à medida que investidores buscavam liquidez e rendimentos atraentes de curto prazo.</w:t>
      </w:r>
    </w:p>
    <w:p>
      <w:pPr>
        <w:pStyle w:val="BodyText"/>
      </w:pPr>
      <w:r>
        <w:t xml:space="preserve">Fundos mútuos abertos eram obrigados a manter-se prontos para resgatar cotas pelo valor patrimonial líquido. A Summit Ridge, portanto, precisava converter parte do portfólio em caixa quando as retiradas excediam as novas compras. As regras de liquidez da Securities and Exchange Commission também exigiam que os fundos avaliassem com que rapidez as posições poderiam ser convertidas em caixa e, quando aplicável, mantivessem um nível mínimo de investimentos altamente líquidos.</w:t>
      </w:r>
    </w:p>
    <w:bookmarkStart w:id="10" w:name="exhibit-1.-perfil-do-select-equity-fund"/>
    <w:p>
      <w:pPr>
        <w:pStyle w:val="Heading2"/>
      </w:pPr>
      <w:r>
        <w:t xml:space="preserve">Exhibit 1. Perfil do Select Equity Fund</w:t>
      </w:r>
    </w:p>
    <w:tbl>
      <w:tblPr>
        <w:tblStyle w:val="Table"/>
        <w:tblW w:type="pct" w:w="4861"/>
        <w:tblLayout w:type="fixed"/>
        <w:tblLook w:firstRow="1" w:lastRow="0" w:firstColumn="0" w:lastColumn="0" w:noHBand="0" w:noVBand="0" w:val="0020"/>
      </w:tblPr>
      <w:tblGrid>
        <w:gridCol w:w="3630"/>
        <w:gridCol w:w="1980"/>
        <w:gridCol w:w="2090"/>
      </w:tblGrid>
      <w:tr>
        <w:trPr>
          <w:tblHeader w:val="on"/>
        </w:trPr>
        <w:tc>
          <w:tcPr/>
          <w:p>
            <w:pPr>
              <w:pStyle w:val="Compact"/>
              <w:jc w:val="left"/>
            </w:pPr>
            <w:r>
              <w:t xml:space="preserve">Medida</w:t>
            </w:r>
          </w:p>
        </w:tc>
        <w:tc>
          <w:tcPr/>
          <w:p>
            <w:pPr>
              <w:pStyle w:val="Compact"/>
              <w:jc w:val="center"/>
            </w:pPr>
            <w:r>
              <w:t xml:space="preserve">Valor atual</w:t>
            </w:r>
          </w:p>
        </w:tc>
        <w:tc>
          <w:tcPr/>
          <w:p>
            <w:pPr>
              <w:pStyle w:val="Compact"/>
              <w:jc w:val="center"/>
            </w:pPr>
            <w:r>
              <w:t xml:space="preserve">Um ano antes</w:t>
            </w:r>
          </w:p>
        </w:tc>
      </w:tr>
      <w:tr>
        <w:tc>
          <w:tcPr/>
          <w:p>
            <w:pPr>
              <w:pStyle w:val="Compact"/>
              <w:jc w:val="left"/>
            </w:pPr>
            <w:r>
              <w:t xml:space="preserve">Patrimônio líquido</w:t>
            </w:r>
          </w:p>
        </w:tc>
        <w:tc>
          <w:tcPr/>
          <w:p>
            <w:pPr>
              <w:pStyle w:val="Compact"/>
              <w:jc w:val="center"/>
            </w:pPr>
            <w:r>
              <w:t xml:space="preserve">$8,48 bilhões</w:t>
            </w:r>
          </w:p>
        </w:tc>
        <w:tc>
          <w:tcPr/>
          <w:p>
            <w:pPr>
              <w:pStyle w:val="Compact"/>
              <w:jc w:val="center"/>
            </w:pPr>
            <w:r>
              <w:t xml:space="preserve">$7,92 bilhões</w:t>
            </w:r>
          </w:p>
        </w:tc>
      </w:tr>
      <w:tr>
        <w:tc>
          <w:tcPr/>
          <w:p>
            <w:pPr>
              <w:pStyle w:val="Compact"/>
              <w:jc w:val="left"/>
            </w:pPr>
            <w:r>
              <w:t xml:space="preserve">Número de posições no portfólio</w:t>
            </w:r>
          </w:p>
        </w:tc>
        <w:tc>
          <w:tcPr/>
          <w:p>
            <w:pPr>
              <w:pStyle w:val="Compact"/>
              <w:jc w:val="center"/>
            </w:pPr>
            <w:r>
              <w:t xml:space="preserve">64</w:t>
            </w:r>
          </w:p>
        </w:tc>
        <w:tc>
          <w:tcPr/>
          <w:p>
            <w:pPr>
              <w:pStyle w:val="Compact"/>
              <w:jc w:val="center"/>
            </w:pPr>
            <w:r>
              <w:t xml:space="preserve">61</w:t>
            </w:r>
          </w:p>
        </w:tc>
      </w:tr>
      <w:tr>
        <w:tc>
          <w:tcPr/>
          <w:p>
            <w:pPr>
              <w:pStyle w:val="Compact"/>
              <w:jc w:val="left"/>
            </w:pPr>
            <w:r>
              <w:t xml:space="preserve">Caixa e títulos do Tesouro</w:t>
            </w:r>
          </w:p>
        </w:tc>
        <w:tc>
          <w:tcPr/>
          <w:p>
            <w:pPr>
              <w:pStyle w:val="Compact"/>
              <w:jc w:val="center"/>
            </w:pPr>
            <w:r>
              <w:t xml:space="preserve">$246 milhões</w:t>
            </w:r>
          </w:p>
        </w:tc>
        <w:tc>
          <w:tcPr/>
          <w:p>
            <w:pPr>
              <w:pStyle w:val="Compact"/>
              <w:jc w:val="center"/>
            </w:pPr>
            <w:r>
              <w:t xml:space="preserve">$332 milhões</w:t>
            </w:r>
          </w:p>
        </w:tc>
      </w:tr>
      <w:tr>
        <w:tc>
          <w:tcPr/>
          <w:p>
            <w:pPr>
              <w:pStyle w:val="Compact"/>
              <w:jc w:val="left"/>
            </w:pPr>
            <w:r>
              <w:t xml:space="preserve">Caixa como % do patrimônio líquid</w:t>
            </w:r>
          </w:p>
        </w:tc>
        <w:tc>
          <w:tcPr/>
          <w:p>
            <w:pPr>
              <w:pStyle w:val="Compact"/>
              <w:jc w:val="center"/>
            </w:pPr>
            <w:r>
              <w:t xml:space="preserve">o 2,9%</w:t>
            </w:r>
          </w:p>
        </w:tc>
        <w:tc>
          <w:tcPr/>
          <w:p>
            <w:pPr>
              <w:pStyle w:val="Compact"/>
              <w:jc w:val="center"/>
            </w:pPr>
            <w:r>
              <w:t xml:space="preserve">4,2%</w:t>
            </w:r>
          </w:p>
        </w:tc>
      </w:tr>
      <w:tr>
        <w:tc>
          <w:tcPr/>
          <w:p>
            <w:pPr>
              <w:pStyle w:val="Compact"/>
              <w:jc w:val="left"/>
            </w:pPr>
            <w:r>
              <w:t xml:space="preserve">Dez maiores posições</w:t>
            </w:r>
          </w:p>
        </w:tc>
        <w:tc>
          <w:tcPr/>
          <w:p>
            <w:pPr>
              <w:pStyle w:val="Compact"/>
              <w:jc w:val="center"/>
            </w:pPr>
            <w:r>
              <w:t xml:space="preserve">39,6% dos ativos</w:t>
            </w:r>
          </w:p>
        </w:tc>
        <w:tc>
          <w:tcPr/>
          <w:p>
            <w:pPr>
              <w:pStyle w:val="Compact"/>
              <w:jc w:val="center"/>
            </w:pPr>
            <w:r>
              <w:t xml:space="preserve">37,8% dos ativos</w:t>
            </w:r>
          </w:p>
        </w:tc>
      </w:tr>
      <w:tr>
        <w:tc>
          <w:tcPr/>
          <w:p>
            <w:pPr>
              <w:pStyle w:val="Compact"/>
              <w:jc w:val="left"/>
            </w:pPr>
            <w:r>
              <w:t xml:space="preserve">Classe de cotas institucionais</w:t>
            </w:r>
          </w:p>
        </w:tc>
        <w:tc>
          <w:tcPr/>
          <w:p>
            <w:pPr>
              <w:pStyle w:val="Compact"/>
              <w:jc w:val="center"/>
            </w:pPr>
            <w:r>
              <w:t xml:space="preserve">57% dos ativos</w:t>
            </w:r>
          </w:p>
        </w:tc>
        <w:tc>
          <w:tcPr/>
          <w:p>
            <w:pPr>
              <w:pStyle w:val="Compact"/>
              <w:jc w:val="center"/>
            </w:pPr>
            <w:r>
              <w:t xml:space="preserve">54% dos ativos</w:t>
            </w:r>
          </w:p>
        </w:tc>
      </w:tr>
      <w:tr>
        <w:tc>
          <w:tcPr/>
          <w:p>
            <w:pPr>
              <w:pStyle w:val="Compact"/>
              <w:jc w:val="left"/>
            </w:pPr>
            <w:r>
              <w:t xml:space="preserve">Contas de varejo e aposentadoria</w:t>
            </w:r>
          </w:p>
        </w:tc>
        <w:tc>
          <w:tcPr/>
          <w:p>
            <w:pPr>
              <w:pStyle w:val="Compact"/>
              <w:jc w:val="center"/>
            </w:pPr>
            <w:r>
              <w:t xml:space="preserve">43% dos ativos</w:t>
            </w:r>
          </w:p>
        </w:tc>
        <w:tc>
          <w:tcPr/>
          <w:p>
            <w:pPr>
              <w:pStyle w:val="Compact"/>
              <w:jc w:val="center"/>
            </w:pPr>
            <w:r>
              <w:t xml:space="preserve">46% dos ativos</w:t>
            </w:r>
          </w:p>
        </w:tc>
      </w:tr>
      <w:tr>
        <w:tc>
          <w:tcPr/>
          <w:p>
            <w:pPr>
              <w:pStyle w:val="Compact"/>
              <w:jc w:val="left"/>
            </w:pPr>
            <w:r>
              <w:t xml:space="preserve">Retorno em um ano</w:t>
            </w:r>
          </w:p>
        </w:tc>
        <w:tc>
          <w:tcPr/>
          <w:p>
            <w:pPr>
              <w:pStyle w:val="Compact"/>
              <w:jc w:val="center"/>
            </w:pPr>
            <w:r>
              <w:t xml:space="preserve">8,7%</w:t>
            </w:r>
          </w:p>
        </w:tc>
        <w:tc>
          <w:tcPr/>
          <w:p>
            <w:pPr>
              <w:pStyle w:val="Compact"/>
              <w:jc w:val="center"/>
            </w:pPr>
            <w:r>
              <w:t xml:space="preserve">14,9% benchmark</w:t>
            </w:r>
          </w:p>
        </w:tc>
      </w:tr>
    </w:tbl>
    <w:p>
      <w:pPr>
        <w:pStyle w:val="BodyText"/>
      </w:pPr>
      <w:r>
        <w:t xml:space="preserve">Fonte: estimativas internas da Summit Ridge; todos os números específicos do fundo são fictícios.</w:t>
      </w:r>
    </w:p>
    <w:bookmarkEnd w:id="10"/>
    <w:bookmarkEnd w:id="11"/>
    <w:bookmarkStart w:id="13" w:name="dois-tipos-de-investidores"/>
    <w:p>
      <w:pPr>
        <w:pStyle w:val="Heading1"/>
      </w:pPr>
      <w:r>
        <w:t xml:space="preserve">Dois Tipos de Investidores</w:t>
      </w:r>
    </w:p>
    <w:p>
      <w:pPr>
        <w:pStyle w:val="FirstParagraph"/>
      </w:pPr>
      <w:r>
        <w:t xml:space="preserve">O fundo atendia investidores de varejo e institucionais. Compras e resgates de varejo chegavam por meio de planos de aposentadoria, plataformas de corretagem, consultores financeiros e contas diretas. Esses pedidos eram numerosos, mas geralmente pequenos. O agente de transferências frequentemente tinha visibilidade parcial durante o dia, com totais finais disponíveis apenas depois que os intermediários concluíssem seu processamento.</w:t>
      </w:r>
    </w:p>
    <w:p>
      <w:pPr>
        <w:pStyle w:val="BodyText"/>
      </w:pPr>
      <w:r>
        <w:t xml:space="preserve">Investidores institucionais se comportavam de forma diferente. Fundos de pensão, fundos patrimoniais e empresas de consultoria às vezes movimentavam dezenas ou centenas de milhões de dólares de uma só vez. Alguns davam aviso prévio à Summit Ridge, mas outros esperavam até o dia da transação. Uma instituição resgatando $200 milhões poderia alterar materialmente a posição de caixa do fundo, mesmo que milhares de investidores de varejo estivessem comprando cotas ao mesmo tempo.</w:t>
      </w:r>
    </w:p>
    <w:p>
      <w:pPr>
        <w:pStyle w:val="BodyText"/>
      </w:pPr>
      <w:r>
        <w:t xml:space="preserve">Os fluxos não eram independentes dos mercados. Um bom desempenho e mercados em alta frequentemente atraíam compras, permitindo que a equipe de portfólio implantasse novo caixa gradualmente. Quedas de mercado, publicidade adversa ou um período de desempenho abaixo do benchmark poderiam disparar resgates precisamente quando a liquidez era mais cara. Taxas de juros de curto prazo mais altas também poderiam incentivar investidores a mover dinheiro de fundos de ações para fundos do mercado monetário ou fundos de renda fixa.</w:t>
      </w:r>
    </w:p>
    <w:bookmarkStart w:id="12" w:name="Xea80ab64784f8d38506a15fcaa62a95da6375b5"/>
    <w:p>
      <w:pPr>
        <w:pStyle w:val="Heading2"/>
      </w:pPr>
      <w:r>
        <w:t xml:space="preserve">Exhibit 2. Fluxos Diários Recentes de Investidores</w:t>
      </w:r>
    </w:p>
    <w:tbl>
      <w:tblPr>
        <w:tblStyle w:val="Table"/>
        <w:tblW w:type="pct" w:w="4899"/>
        <w:tblLayout w:type="fixed"/>
        <w:tblLook w:firstRow="1" w:lastRow="0" w:firstColumn="0" w:lastColumn="0" w:noHBand="0" w:noVBand="0" w:val="0020"/>
      </w:tblPr>
      <w:tblGrid>
        <w:gridCol w:w="1520"/>
        <w:gridCol w:w="1520"/>
        <w:gridCol w:w="2000"/>
        <w:gridCol w:w="1280"/>
        <w:gridCol w:w="1440"/>
      </w:tblGrid>
      <w:tr>
        <w:trPr>
          <w:tblHeader w:val="on"/>
        </w:trPr>
        <w:tc>
          <w:tcPr/>
          <w:p>
            <w:pPr>
              <w:pStyle w:val="Compact"/>
              <w:jc w:val="left"/>
            </w:pPr>
            <w:r>
              <w:t xml:space="preserve">Dia de negociação</w:t>
            </w:r>
          </w:p>
        </w:tc>
        <w:tc>
          <w:tcPr/>
          <w:p>
            <w:pPr>
              <w:pStyle w:val="Compact"/>
              <w:jc w:val="right"/>
            </w:pPr>
            <w:r>
              <w:t xml:space="preserve">Fluxo líquido var</w:t>
            </w:r>
          </w:p>
        </w:tc>
        <w:tc>
          <w:tcPr/>
          <w:p>
            <w:pPr>
              <w:pStyle w:val="Compact"/>
            </w:pPr>
            <w:r>
              <w:t xml:space="preserve">ejo Fluxo líquido insti</w:t>
            </w:r>
          </w:p>
        </w:tc>
        <w:tc>
          <w:tcPr/>
          <w:p>
            <w:pPr>
              <w:pStyle w:val="Compact"/>
            </w:pPr>
            <w:r>
              <w:t xml:space="preserve">tucional Retor</w:t>
            </w:r>
          </w:p>
        </w:tc>
        <w:tc>
          <w:tcPr/>
          <w:p>
            <w:pPr>
              <w:pStyle w:val="Compact"/>
            </w:pPr>
            <w:r>
              <w:t xml:space="preserve">no de mercado Caixa de fechamento</w:t>
            </w:r>
          </w:p>
        </w:tc>
      </w:tr>
      <w:tr>
        <w:tc>
          <w:tcPr/>
          <w:p>
            <w:pPr>
              <w:pStyle w:val="Compact"/>
              <w:jc w:val="left"/>
            </w:pPr>
            <w:r>
              <w:t xml:space="preserve">Seg., 5 de out.</w:t>
            </w:r>
          </w:p>
        </w:tc>
        <w:tc>
          <w:tcPr/>
          <w:p>
            <w:pPr>
              <w:pStyle w:val="Compact"/>
              <w:jc w:val="right"/>
            </w:pPr>
            <w:r>
              <w:t xml:space="preserve">+$18M</w:t>
            </w:r>
          </w:p>
        </w:tc>
        <w:tc>
          <w:tcPr/>
          <w:p>
            <w:pPr>
              <w:pStyle w:val="Compact"/>
            </w:pPr>
            <w:r>
              <w:t xml:space="preserve">-$22M</w:t>
            </w:r>
          </w:p>
        </w:tc>
        <w:tc>
          <w:tcPr/>
          <w:p>
            <w:pPr>
              <w:pStyle w:val="Compact"/>
            </w:pPr>
            <w:r>
              <w:t xml:space="preserve">+0,6%</w:t>
            </w:r>
          </w:p>
        </w:tc>
        <w:tc>
          <w:tcPr/>
          <w:p>
            <w:pPr>
              <w:pStyle w:val="Compact"/>
            </w:pPr>
            <w:r>
              <w:t xml:space="preserve">$279M</w:t>
            </w:r>
          </w:p>
        </w:tc>
      </w:tr>
      <w:tr>
        <w:tc>
          <w:tcPr/>
          <w:p>
            <w:pPr>
              <w:pStyle w:val="Compact"/>
              <w:jc w:val="left"/>
            </w:pPr>
            <w:r>
              <w:t xml:space="preserve">Ter., 6 de out.</w:t>
            </w:r>
          </w:p>
        </w:tc>
        <w:tc>
          <w:tcPr/>
          <w:p>
            <w:pPr>
              <w:pStyle w:val="Compact"/>
              <w:jc w:val="right"/>
            </w:pPr>
            <w:r>
              <w:t xml:space="preserve">-$11M</w:t>
            </w:r>
          </w:p>
        </w:tc>
        <w:tc>
          <w:tcPr/>
          <w:p>
            <w:pPr>
              <w:pStyle w:val="Compact"/>
            </w:pPr>
            <w:r>
              <w:t xml:space="preserve">+$35M</w:t>
            </w:r>
          </w:p>
        </w:tc>
        <w:tc>
          <w:tcPr/>
          <w:p>
            <w:pPr>
              <w:pStyle w:val="Compact"/>
            </w:pPr>
            <w:r>
              <w:t xml:space="preserve">+0,2%</w:t>
            </w:r>
          </w:p>
        </w:tc>
        <w:tc>
          <w:tcPr/>
          <w:p>
            <w:pPr>
              <w:pStyle w:val="Compact"/>
            </w:pPr>
            <w:r>
              <w:t xml:space="preserve">$301M</w:t>
            </w:r>
          </w:p>
        </w:tc>
      </w:tr>
      <w:tr>
        <w:tc>
          <w:tcPr/>
          <w:p>
            <w:pPr>
              <w:pStyle w:val="Compact"/>
              <w:jc w:val="left"/>
            </w:pPr>
            <w:r>
              <w:t xml:space="preserve">Qua., 7 de out.</w:t>
            </w:r>
          </w:p>
        </w:tc>
        <w:tc>
          <w:tcPr/>
          <w:p>
            <w:pPr>
              <w:pStyle w:val="Compact"/>
              <w:jc w:val="right"/>
            </w:pPr>
            <w:r>
              <w:t xml:space="preserve">-$24M</w:t>
            </w:r>
          </w:p>
        </w:tc>
        <w:tc>
          <w:tcPr/>
          <w:p>
            <w:pPr>
              <w:pStyle w:val="Compact"/>
            </w:pPr>
            <w:r>
              <w:t xml:space="preserve">-$61M</w:t>
            </w:r>
          </w:p>
        </w:tc>
        <w:tc>
          <w:tcPr/>
          <w:p>
            <w:pPr>
              <w:pStyle w:val="Compact"/>
            </w:pPr>
            <w:r>
              <w:t xml:space="preserve">-1,1%</w:t>
            </w:r>
          </w:p>
        </w:tc>
        <w:tc>
          <w:tcPr/>
          <w:p>
            <w:pPr>
              <w:pStyle w:val="Compact"/>
            </w:pPr>
            <w:r>
              <w:t xml:space="preserve">$268M</w:t>
            </w:r>
          </w:p>
        </w:tc>
      </w:tr>
      <w:tr>
        <w:tc>
          <w:tcPr/>
          <w:p>
            <w:pPr>
              <w:pStyle w:val="Compact"/>
              <w:jc w:val="left"/>
            </w:pPr>
            <w:r>
              <w:t xml:space="preserve">Qui., 8 de out.</w:t>
            </w:r>
          </w:p>
        </w:tc>
        <w:tc>
          <w:tcPr/>
          <w:p>
            <w:pPr>
              <w:pStyle w:val="Compact"/>
              <w:jc w:val="right"/>
            </w:pPr>
            <w:r>
              <w:t xml:space="preserve">+$7M</w:t>
            </w:r>
          </w:p>
        </w:tc>
        <w:tc>
          <w:tcPr/>
          <w:p>
            <w:pPr>
              <w:pStyle w:val="Compact"/>
            </w:pPr>
            <w:r>
              <w:t xml:space="preserve">-$14M</w:t>
            </w:r>
          </w:p>
        </w:tc>
        <w:tc>
          <w:tcPr/>
          <w:p>
            <w:pPr>
              <w:pStyle w:val="Compact"/>
            </w:pPr>
            <w:r>
              <w:t xml:space="preserve">+0,4%</w:t>
            </w:r>
          </w:p>
        </w:tc>
        <w:tc>
          <w:tcPr/>
          <w:p>
            <w:pPr>
              <w:pStyle w:val="Compact"/>
            </w:pPr>
            <w:r>
              <w:t xml:space="preserve">$251M</w:t>
            </w:r>
          </w:p>
        </w:tc>
      </w:tr>
      <w:tr>
        <w:tc>
          <w:tcPr/>
          <w:p>
            <w:pPr>
              <w:pStyle w:val="Compact"/>
              <w:jc w:val="left"/>
            </w:pPr>
            <w:r>
              <w:t xml:space="preserve">Sex., 9 de out.</w:t>
            </w:r>
          </w:p>
        </w:tc>
        <w:tc>
          <w:tcPr/>
          <w:p>
            <w:pPr>
              <w:pStyle w:val="Compact"/>
              <w:jc w:val="right"/>
            </w:pPr>
            <w:r>
              <w:t xml:space="preserve">-$16M</w:t>
            </w:r>
          </w:p>
        </w:tc>
        <w:tc>
          <w:tcPr/>
          <w:p>
            <w:pPr>
              <w:pStyle w:val="Compact"/>
            </w:pPr>
            <w:r>
              <w:t xml:space="preserve">+$9M</w:t>
            </w:r>
          </w:p>
        </w:tc>
        <w:tc>
          <w:tcPr/>
          <w:p>
            <w:pPr>
              <w:pStyle w:val="Compact"/>
            </w:pPr>
            <w:r>
              <w:t xml:space="preserve">-0,7%</w:t>
            </w:r>
          </w:p>
        </w:tc>
        <w:tc>
          <w:tcPr/>
          <w:p>
            <w:pPr>
              <w:pStyle w:val="Compact"/>
            </w:pPr>
            <w:r>
              <w:t xml:space="preserve">$246M</w:t>
            </w:r>
          </w:p>
        </w:tc>
      </w:tr>
      <w:tr>
        <w:tc>
          <w:tcPr/>
          <w:p>
            <w:pPr>
              <w:pStyle w:val="Compact"/>
              <w:jc w:val="left"/>
            </w:pPr>
            <w:r>
              <w:t xml:space="preserve">Estimativa do fim d</w:t>
            </w:r>
          </w:p>
        </w:tc>
        <w:tc>
          <w:tcPr/>
          <w:p>
            <w:pPr>
              <w:pStyle w:val="Compact"/>
              <w:jc w:val="right"/>
            </w:pPr>
            <w:r>
              <w:t xml:space="preserve">e semana -$40M</w:t>
            </w:r>
          </w:p>
        </w:tc>
        <w:tc>
          <w:tcPr/>
          <w:p>
            <w:pPr>
              <w:pStyle w:val="Compact"/>
            </w:pPr>
            <w:r>
              <w:t xml:space="preserve">a -$90M -$278M</w:t>
            </w:r>
          </w:p>
        </w:tc>
        <w:tc>
          <w:tcPr/>
          <w:p>
            <w:pPr>
              <w:pStyle w:val="Compact"/>
            </w:pPr>
            <w:r>
              <w:t xml:space="preserve">Futur</w:t>
            </w:r>
          </w:p>
        </w:tc>
        <w:tc>
          <w:tcPr/>
          <w:p>
            <w:pPr>
              <w:pStyle w:val="Compact"/>
            </w:pPr>
            <w:r>
              <w:t xml:space="preserve">os -2,1% Ainda não liquidado</w:t>
            </w:r>
          </w:p>
        </w:tc>
      </w:tr>
    </w:tbl>
    <w:p>
      <w:pPr>
        <w:pStyle w:val="BodyText"/>
      </w:pPr>
      <w:r>
        <w:t xml:space="preserve">Fonte: painel de fluxos da Summit Ridge; fictício.</w:t>
      </w:r>
    </w:p>
    <w:bookmarkEnd w:id="12"/>
    <w:bookmarkEnd w:id="13"/>
    <w:bookmarkStart w:id="15" w:name="o-custo-de-pouco-caixa"/>
    <w:p>
      <w:pPr>
        <w:pStyle w:val="Heading1"/>
      </w:pPr>
      <w:r>
        <w:t xml:space="preserve">O Custo de Pouco Caixa</w:t>
      </w:r>
    </w:p>
    <w:p>
      <w:pPr>
        <w:pStyle w:val="FirstParagraph"/>
      </w:pPr>
      <w:r>
        <w:t xml:space="preserve">Se o caixa disponível do fundo caísse abaixo do valor necessário para os resgates, a mesa de negociação teria que vender valores mobiliários. O custo direto incluía comissões, spreads de compra e venda, impostos em alguns mercados e impacto de mercado. O custo indireto poderia ser maior. Uma venda apressada poderia ocorrer a um preço deprimido, revelar as intenções da Summit Ridge a outros negociadores, ou forçar o portfólio a se afastar das posições preferidas pela equipe de investimentos.</w:t>
      </w:r>
    </w:p>
    <w:p>
      <w:pPr>
        <w:pStyle w:val="BodyText"/>
      </w:pPr>
      <w:r>
        <w:t xml:space="preserve">O gestor de portfólio Victor Hale argumentava que as posições mais líquidas deveriam ser vendidas primeiro, pois poderiam ser convertidas em caixa rapidamente e a baixo custo. Marquez preocupava-se que a venda repetida dos valores mobiliários mais líquidos deixaria o restante do portfólio mais difícil de negociar. Isso também poderia aumentar a concentração em posições ou setores menores que a equipe de investimentos não teria escolhido sobreponderar.</w:t>
      </w:r>
    </w:p>
    <w:p>
      <w:pPr>
        <w:pStyle w:val="BodyText"/>
      </w:pPr>
      <w:r>
        <w:t xml:space="preserve">A mesa poderia, em vez disso, vender posições que os analistas consideravam menos atraentes. Essa abordagem poderia melhorar o portfólio, mas esses valores mobiliários às vezes eram menos líquidos. O julgamento de investimento também poderia estar errado. Uma ação vendida para atender resgates poderia se recuperar no dia seguinte, deixando os acionistas remanescentes com uma perda permanente em relação a uma estratégia que tivesse mantido mais caixa.</w:t>
      </w:r>
    </w:p>
    <w:bookmarkStart w:id="14" w:name="Xcfcdb312ff66dae6f965c426657ce0dd968e85d"/>
    <w:p>
      <w:pPr>
        <w:pStyle w:val="Heading2"/>
      </w:pPr>
      <w:r>
        <w:t xml:space="preserve">Exhibit 3. Fontes Potenciais de $200 Milhões em Caixa Adicional</w:t>
      </w:r>
    </w:p>
    <w:tbl>
      <w:tblPr>
        <w:tblStyle w:val="Table"/>
        <w:tblW w:type="pct" w:w="4923"/>
        <w:tblLayout w:type="fixed"/>
        <w:tblLook w:firstRow="1" w:lastRow="0" w:firstColumn="0" w:lastColumn="0" w:noHBand="0" w:noVBand="0" w:val="0020"/>
      </w:tblPr>
      <w:tblGrid>
        <w:gridCol w:w="2132"/>
        <w:gridCol w:w="1766"/>
        <w:gridCol w:w="2376"/>
        <w:gridCol w:w="1523"/>
      </w:tblGrid>
      <w:tr>
        <w:trPr>
          <w:tblHeader w:val="on"/>
        </w:trPr>
        <w:tc>
          <w:tcPr/>
          <w:p>
            <w:pPr>
              <w:pStyle w:val="Compact"/>
              <w:jc w:val="left"/>
            </w:pPr>
            <w:r>
              <w:t xml:space="preserve">Ação</w:t>
            </w:r>
          </w:p>
        </w:tc>
        <w:tc>
          <w:tcPr/>
          <w:p>
            <w:pPr>
              <w:pStyle w:val="Compact"/>
              <w:jc w:val="right"/>
            </w:pPr>
            <w:r>
              <w:t xml:space="preserve">Custo de negociação estimado</w:t>
            </w:r>
          </w:p>
        </w:tc>
        <w:tc>
          <w:tcPr/>
          <w:p>
            <w:pPr>
              <w:pStyle w:val="Compact"/>
              <w:jc w:val="center"/>
            </w:pPr>
            <w:r>
              <w:t xml:space="preserve">Efeito no portfólio</w:t>
            </w:r>
          </w:p>
        </w:tc>
        <w:tc>
          <w:tcPr/>
          <w:p>
            <w:pPr>
              <w:pStyle w:val="Compact"/>
              <w:jc w:val="center"/>
            </w:pPr>
            <w:r>
              <w:t xml:space="preserve">Disponibilidade</w:t>
            </w:r>
          </w:p>
        </w:tc>
      </w:tr>
      <w:tr>
        <w:tc>
          <w:tcPr/>
          <w:p>
            <w:pPr>
              <w:pStyle w:val="Compact"/>
              <w:jc w:val="left"/>
            </w:pPr>
            <w:r>
              <w:t xml:space="preserve">Vender futuros de índice / usar ove</w:t>
            </w:r>
          </w:p>
        </w:tc>
        <w:tc>
          <w:tcPr/>
          <w:p>
            <w:pPr>
              <w:pStyle w:val="Compact"/>
              <w:jc w:val="right"/>
            </w:pPr>
            <w:r>
              <w:t xml:space="preserve">rlay $0,3M-$0,7M</w:t>
            </w:r>
          </w:p>
        </w:tc>
        <w:tc>
          <w:tcPr/>
          <w:p>
            <w:pPr>
              <w:pStyle w:val="Compact"/>
              <w:jc w:val="center"/>
            </w:pPr>
            <w:r>
              <w:t xml:space="preserve">Reduz exposição ao mercado temporari</w:t>
            </w:r>
          </w:p>
        </w:tc>
        <w:tc>
          <w:tcPr/>
          <w:p>
            <w:pPr>
              <w:pStyle w:val="Compact"/>
              <w:jc w:val="center"/>
            </w:pPr>
            <w:r>
              <w:t xml:space="preserve">amente Mesmo dia</w:t>
            </w:r>
          </w:p>
        </w:tc>
      </w:tr>
      <w:tr>
        <w:tc>
          <w:tcPr/>
          <w:p>
            <w:pPr>
              <w:pStyle w:val="Compact"/>
              <w:jc w:val="left"/>
            </w:pPr>
            <w:r>
              <w:t xml:space="preserve">Vender as 10 maiores posições líqui</w:t>
            </w:r>
          </w:p>
        </w:tc>
        <w:tc>
          <w:tcPr/>
          <w:p>
            <w:pPr>
              <w:pStyle w:val="Compact"/>
              <w:jc w:val="right"/>
            </w:pPr>
            <w:r>
              <w:t xml:space="preserve">das $0,8M-$1,5M</w:t>
            </w:r>
          </w:p>
        </w:tc>
        <w:tc>
          <w:tcPr/>
          <w:p>
            <w:pPr>
              <w:pStyle w:val="Compact"/>
              <w:jc w:val="center"/>
            </w:pPr>
            <w:r>
              <w:t xml:space="preserve">Reduz posições preferenciais princ</w:t>
            </w:r>
          </w:p>
        </w:tc>
        <w:tc>
          <w:tcPr/>
          <w:p>
            <w:pPr>
              <w:pStyle w:val="Compact"/>
              <w:jc w:val="center"/>
            </w:pPr>
            <w:r>
              <w:t xml:space="preserve">ipais Mesmo dia</w:t>
            </w:r>
          </w:p>
        </w:tc>
      </w:tr>
      <w:tr>
        <w:tc>
          <w:tcPr/>
          <w:p>
            <w:pPr>
              <w:pStyle w:val="Compact"/>
              <w:jc w:val="left"/>
            </w:pPr>
            <w:r>
              <w:t xml:space="preserve">Vender posições de menor convicção</w:t>
            </w:r>
          </w:p>
        </w:tc>
        <w:tc>
          <w:tcPr/>
          <w:p>
            <w:pPr>
              <w:pStyle w:val="Compact"/>
              <w:jc w:val="right"/>
            </w:pPr>
            <w:r>
              <w:t xml:space="preserve">$1,6M-$3,2M</w:t>
            </w:r>
          </w:p>
        </w:tc>
        <w:tc>
          <w:tcPr/>
          <w:p>
            <w:pPr>
              <w:pStyle w:val="Compact"/>
              <w:jc w:val="center"/>
            </w:pPr>
            <w:r>
              <w:t xml:space="preserve">Pode melhorar a tese do portfóli</w:t>
            </w:r>
          </w:p>
        </w:tc>
        <w:tc>
          <w:tcPr/>
          <w:p>
            <w:pPr>
              <w:pStyle w:val="Compact"/>
              <w:jc w:val="center"/>
            </w:pPr>
            <w:r>
              <w:t xml:space="preserve">o Um a três dias</w:t>
            </w:r>
          </w:p>
        </w:tc>
      </w:tr>
      <w:tr>
        <w:tc>
          <w:tcPr/>
          <w:p>
            <w:pPr>
              <w:pStyle w:val="Compact"/>
              <w:jc w:val="left"/>
            </w:pPr>
            <w:r>
              <w:t xml:space="preserve">Utilizar linha de crédito bancária</w:t>
            </w:r>
          </w:p>
        </w:tc>
        <w:tc>
          <w:tcPr/>
          <w:p>
            <w:pPr>
              <w:pStyle w:val="Compact"/>
              <w:jc w:val="right"/>
            </w:pPr>
            <w:r>
              <w:t xml:space="preserve">$1,1M equivalente mensal</w:t>
            </w:r>
          </w:p>
        </w:tc>
        <w:tc>
          <w:tcPr/>
          <w:p>
            <w:pPr>
              <w:pStyle w:val="Compact"/>
              <w:jc w:val="center"/>
            </w:pPr>
            <w:r>
              <w:t xml:space="preserve">Preserva posições; adiciona alavanc</w:t>
            </w:r>
          </w:p>
        </w:tc>
        <w:tc>
          <w:tcPr/>
          <w:p>
            <w:pPr>
              <w:pStyle w:val="Compact"/>
              <w:jc w:val="center"/>
            </w:pPr>
            <w:r>
              <w:t xml:space="preserve">agem Mesmo dia, se disponível</w:t>
            </w:r>
          </w:p>
        </w:tc>
      </w:tr>
      <w:tr>
        <w:tc>
          <w:tcPr/>
          <w:p>
            <w:pPr>
              <w:pStyle w:val="Compact"/>
              <w:jc w:val="left"/>
            </w:pPr>
            <w:r>
              <w:t xml:space="preserve">Usar títulos do Tesouro em vencimen</w:t>
            </w:r>
          </w:p>
        </w:tc>
        <w:tc>
          <w:tcPr/>
          <w:p>
            <w:pPr>
              <w:pStyle w:val="Compact"/>
              <w:jc w:val="right"/>
            </w:pPr>
            <w:r>
              <w:t xml:space="preserve">to Mínimo</w:t>
            </w:r>
          </w:p>
        </w:tc>
        <w:tc>
          <w:tcPr/>
          <w:p>
            <w:pPr>
              <w:pStyle w:val="Compact"/>
              <w:jc w:val="center"/>
            </w:pPr>
            <w:r>
              <w:t xml:space="preserve">Reduz o buffer de liquidez</w:t>
            </w:r>
          </w:p>
        </w:tc>
        <w:tc>
          <w:tcPr/>
          <w:p>
            <w:pPr>
              <w:pStyle w:val="Compact"/>
              <w:jc w:val="center"/>
            </w:pPr>
            <w:r>
              <w:t xml:space="preserve">$72M em cinco dias</w:t>
            </w:r>
          </w:p>
        </w:tc>
      </w:tr>
      <w:tr>
        <w:tc>
          <w:tcPr/>
          <w:p>
            <w:pPr>
              <w:pStyle w:val="Compact"/>
              <w:jc w:val="left"/>
            </w:pPr>
            <w:r>
              <w:t xml:space="preserve">Adiar novas compras</w:t>
            </w:r>
          </w:p>
        </w:tc>
        <w:tc>
          <w:tcPr/>
          <w:p>
            <w:pPr>
              <w:pStyle w:val="Compact"/>
              <w:jc w:val="right"/>
            </w:pPr>
            <w:r>
              <w:t xml:space="preserve">Custo de oportunidade incert</w:t>
            </w:r>
          </w:p>
        </w:tc>
        <w:tc>
          <w:tcPr/>
          <w:p>
            <w:pPr>
              <w:pStyle w:val="Compact"/>
              <w:jc w:val="center"/>
            </w:pPr>
            <w:r>
              <w:t xml:space="preserve">o Caixa se recompõe apenas se houver</w:t>
            </w:r>
          </w:p>
        </w:tc>
        <w:tc>
          <w:tcPr/>
          <w:p>
            <w:pPr>
              <w:pStyle w:val="Compact"/>
              <w:jc w:val="center"/>
            </w:pPr>
            <w:r>
              <w:t xml:space="preserve">entradas Gradual</w:t>
            </w:r>
          </w:p>
        </w:tc>
      </w:tr>
    </w:tbl>
    <w:p>
      <w:pPr>
        <w:pStyle w:val="BodyText"/>
      </w:pPr>
      <w:r>
        <w:t xml:space="preserve">Fonte: estimativas de negociação e tesouraria da Summit Ridge; fictício. Os custos variam conforme as condições de mercado.</w:t>
      </w:r>
    </w:p>
    <w:bookmarkEnd w:id="14"/>
    <w:bookmarkEnd w:id="15"/>
    <w:bookmarkStart w:id="17" w:name="o-custo-de-excesso-de-caixa"/>
    <w:p>
      <w:pPr>
        <w:pStyle w:val="Heading1"/>
      </w:pPr>
      <w:r>
        <w:t xml:space="preserve">O Custo de Excesso de Caixa</w:t>
      </w:r>
    </w:p>
    <w:p>
      <w:pPr>
        <w:pStyle w:val="FirstParagraph"/>
      </w:pPr>
      <w:r>
        <w:t xml:space="preserve">Caixa não era gratuito. Durante períodos de taxas de juros de curto prazo elevadas, títulos do Tesouro e instrumentos do mercado monetário geravam renda significativa. Mas o Select Equity Fund era comercializado como uma estratégia de ações, e seu benchmark era quase totalmente investido. Se as ações subissem mais rápido que o caixa, uma posição de caixa persistente criaria um arrasto no desempenho. Uma posição de caixa de três pontos percentuais reduziria o retorno anual em aproximadamente 0,30 pontos percentuais quando as ações superassem o caixa em 10 pontos percentuais.</w:t>
      </w:r>
    </w:p>
    <w:p>
      <w:pPr>
        <w:pStyle w:val="BodyText"/>
      </w:pPr>
      <w:r>
        <w:t xml:space="preserve">O efeito parecia pequeno até ser comparado com concorrentes. Consultores de investimento frequentemente classificavam gestores por diferenças de desempenho relativamente estreitas. Um adicional de 0,30 pontos percentuais poderia afetar classificações, buscas institucionais, recomendações de consultores, bônus de funcionários e futuras entradas de recursos. Ironicamente, manter caixa para proteger contra resgates poderia contribuir para um desempenho inferior que causasse a saída de mais investidores.</w:t>
      </w:r>
    </w:p>
    <w:p>
      <w:pPr>
        <w:pStyle w:val="BodyText"/>
      </w:pPr>
      <w:r>
        <w:t xml:space="preserve">A equipe de portfólio também enfrentava o problema oposto após grandes entradas de recursos. Comprar rápido demais poderia empurrar os preços para cima ou forçar compras antes que os analistas tivessem concluído seu trabalho. Investir devagar demais deixava o fundo com caixa indesejado. A equipe tinha que decidir quais valores mobiliários comprar, com que rapidez negociar e se deveria usar futuros de índice como exposição temporária enquanto a pesquisa e a execução se atualizavam.</w:t>
      </w:r>
    </w:p>
    <w:bookmarkStart w:id="16" w:name="Xa1a918ffdd31b8a4bac292ce4ab89853529f19b"/>
    <w:p>
      <w:pPr>
        <w:pStyle w:val="Heading2"/>
      </w:pPr>
      <w:r>
        <w:t xml:space="preserve">Exhibit 4. Efeito Anual Ilustrativo de Níveis Alternativos de Caixa</w:t>
      </w:r>
    </w:p>
    <w:tbl>
      <w:tblPr>
        <w:tblStyle w:val="Table"/>
        <w:tblW w:type="pct" w:w="4912"/>
        <w:tblLayout w:type="fixed"/>
        <w:tblLook w:firstRow="1" w:lastRow="0" w:firstColumn="0" w:lastColumn="0" w:noHBand="0" w:noVBand="0" w:val="0020"/>
      </w:tblPr>
      <w:tblGrid>
        <w:gridCol w:w="1458"/>
        <w:gridCol w:w="2362"/>
        <w:gridCol w:w="1736"/>
        <w:gridCol w:w="2223"/>
      </w:tblGrid>
      <w:tr>
        <w:trPr>
          <w:tblHeader w:val="on"/>
        </w:trPr>
        <w:tc>
          <w:tcPr/>
          <w:p>
            <w:pPr>
              <w:pStyle w:val="Compact"/>
            </w:pPr>
            <w:r>
              <w:t xml:space="preserve">Nível médio de caixa</w:t>
            </w:r>
          </w:p>
        </w:tc>
        <w:tc>
          <w:tcPr/>
          <w:p>
            <w:pPr>
              <w:pStyle w:val="Compact"/>
              <w:jc w:val="right"/>
            </w:pPr>
            <w:r>
              <w:t xml:space="preserve">Desempenho superior das ações s</w:t>
            </w:r>
          </w:p>
        </w:tc>
        <w:tc>
          <w:tcPr/>
          <w:p>
            <w:pPr>
              <w:pStyle w:val="Compact"/>
            </w:pPr>
            <w:r>
              <w:t xml:space="preserve">obre o caixa Arrasto de</w:t>
            </w:r>
          </w:p>
        </w:tc>
        <w:tc>
          <w:tcPr/>
          <w:p>
            <w:pPr>
              <w:pStyle w:val="Compact"/>
              <w:jc w:val="right"/>
            </w:pPr>
            <w:r>
              <w:t xml:space="preserve">retorno estimado Caixa disponível em fundo de $8,5B</w:t>
            </w:r>
          </w:p>
        </w:tc>
      </w:tr>
      <w:tr>
        <w:tc>
          <w:tcPr/>
          <w:p>
            <w:pPr>
              <w:pStyle w:val="Compact"/>
            </w:pPr>
            <w:r>
              <w:t xml:space="preserve">2%</w:t>
            </w:r>
          </w:p>
        </w:tc>
        <w:tc>
          <w:tcPr/>
          <w:p>
            <w:pPr>
              <w:pStyle w:val="Compact"/>
              <w:jc w:val="right"/>
            </w:pPr>
            <w:r>
              <w:t xml:space="preserve">4 pontos percentuais</w:t>
            </w:r>
          </w:p>
        </w:tc>
        <w:tc>
          <w:tcPr/>
          <w:p>
            <w:pPr>
              <w:pStyle w:val="Compact"/>
            </w:pPr>
            <w:r>
              <w:t xml:space="preserve">0,08 pontos percentuais</w:t>
            </w:r>
          </w:p>
        </w:tc>
        <w:tc>
          <w:tcPr/>
          <w:p>
            <w:pPr>
              <w:pStyle w:val="Compact"/>
              <w:jc w:val="right"/>
            </w:pPr>
            <w:r>
              <w:t xml:space="preserve">$170M</w:t>
            </w:r>
          </w:p>
        </w:tc>
      </w:tr>
      <w:tr>
        <w:tc>
          <w:tcPr/>
          <w:p>
            <w:pPr>
              <w:pStyle w:val="Compact"/>
            </w:pPr>
            <w:r>
              <w:t xml:space="preserve">3%</w:t>
            </w:r>
          </w:p>
        </w:tc>
        <w:tc>
          <w:tcPr/>
          <w:p>
            <w:pPr>
              <w:pStyle w:val="Compact"/>
              <w:jc w:val="right"/>
            </w:pPr>
            <w:r>
              <w:t xml:space="preserve">6 pontos percentuais</w:t>
            </w:r>
          </w:p>
        </w:tc>
        <w:tc>
          <w:tcPr/>
          <w:p>
            <w:pPr>
              <w:pStyle w:val="Compact"/>
            </w:pPr>
            <w:r>
              <w:t xml:space="preserve">0,18 pontos percentuais</w:t>
            </w:r>
          </w:p>
        </w:tc>
        <w:tc>
          <w:tcPr/>
          <w:p>
            <w:pPr>
              <w:pStyle w:val="Compact"/>
              <w:jc w:val="right"/>
            </w:pPr>
            <w:r>
              <w:t xml:space="preserve">$255M</w:t>
            </w:r>
          </w:p>
        </w:tc>
      </w:tr>
      <w:tr>
        <w:tc>
          <w:tcPr/>
          <w:p>
            <w:pPr>
              <w:pStyle w:val="Compact"/>
            </w:pPr>
            <w:r>
              <w:t xml:space="preserve">4%</w:t>
            </w:r>
          </w:p>
        </w:tc>
        <w:tc>
          <w:tcPr/>
          <w:p>
            <w:pPr>
              <w:pStyle w:val="Compact"/>
              <w:jc w:val="right"/>
            </w:pPr>
            <w:r>
              <w:t xml:space="preserve">8 pontos percentuais</w:t>
            </w:r>
          </w:p>
        </w:tc>
        <w:tc>
          <w:tcPr/>
          <w:p>
            <w:pPr>
              <w:pStyle w:val="Compact"/>
            </w:pPr>
            <w:r>
              <w:t xml:space="preserve">0,32 pontos percentuais</w:t>
            </w:r>
          </w:p>
        </w:tc>
        <w:tc>
          <w:tcPr/>
          <w:p>
            <w:pPr>
              <w:pStyle w:val="Compact"/>
              <w:jc w:val="right"/>
            </w:pPr>
            <w:r>
              <w:t xml:space="preserve">$340M</w:t>
            </w:r>
          </w:p>
        </w:tc>
      </w:tr>
      <w:tr>
        <w:tc>
          <w:tcPr/>
          <w:p>
            <w:pPr>
              <w:pStyle w:val="Compact"/>
            </w:pPr>
            <w:r>
              <w:t xml:space="preserve">5%</w:t>
            </w:r>
          </w:p>
        </w:tc>
        <w:tc>
          <w:tcPr/>
          <w:p>
            <w:pPr>
              <w:pStyle w:val="Compact"/>
              <w:jc w:val="right"/>
            </w:pPr>
            <w:r>
              <w:t xml:space="preserve">10 pontos percentuais</w:t>
            </w:r>
          </w:p>
        </w:tc>
        <w:tc>
          <w:tcPr/>
          <w:p>
            <w:pPr>
              <w:pStyle w:val="Compact"/>
            </w:pPr>
            <w:r>
              <w:t xml:space="preserve">0,50 pontos percentuais</w:t>
            </w:r>
          </w:p>
        </w:tc>
        <w:tc>
          <w:tcPr/>
          <w:p>
            <w:pPr>
              <w:pStyle w:val="Compact"/>
              <w:jc w:val="right"/>
            </w:pPr>
            <w:r>
              <w:t xml:space="preserve">$425M</w:t>
            </w:r>
          </w:p>
        </w:tc>
      </w:tr>
      <w:tr>
        <w:tc>
          <w:tcPr/>
          <w:p>
            <w:pPr>
              <w:pStyle w:val="Compact"/>
            </w:pPr>
            <w:r>
              <w:t xml:space="preserve">7%</w:t>
            </w:r>
          </w:p>
        </w:tc>
        <w:tc>
          <w:tcPr/>
          <w:p>
            <w:pPr>
              <w:pStyle w:val="Compact"/>
              <w:jc w:val="right"/>
            </w:pPr>
            <w:r>
              <w:t xml:space="preserve">12 pontos percentuais</w:t>
            </w:r>
          </w:p>
        </w:tc>
        <w:tc>
          <w:tcPr/>
          <w:p>
            <w:pPr>
              <w:pStyle w:val="Compact"/>
            </w:pPr>
            <w:r>
              <w:t xml:space="preserve">0,84 pontos percentuais</w:t>
            </w:r>
          </w:p>
        </w:tc>
        <w:tc>
          <w:tcPr/>
          <w:p>
            <w:pPr>
              <w:pStyle w:val="Compact"/>
              <w:jc w:val="right"/>
            </w:pPr>
            <w:r>
              <w:t xml:space="preserve">$595M</w:t>
            </w:r>
          </w:p>
        </w:tc>
      </w:tr>
    </w:tbl>
    <w:p>
      <w:pPr>
        <w:pStyle w:val="BodyText"/>
      </w:pPr>
      <w:r>
        <w:t xml:space="preserve">Fonte: cálculos ilustrativos. Os resultados reais dependem dos retornos de mercado, taxas de juros e momento.</w:t>
      </w:r>
    </w:p>
    <w:bookmarkEnd w:id="16"/>
    <w:bookmarkEnd w:id="17"/>
    <w:bookmarkStart w:id="19" w:name="previsões-e-alertas-antecipados"/>
    <w:p>
      <w:pPr>
        <w:pStyle w:val="Heading1"/>
      </w:pPr>
      <w:r>
        <w:t xml:space="preserve">Previsões e Alertas Antecipados</w:t>
      </w:r>
    </w:p>
    <w:p>
      <w:pPr>
        <w:pStyle w:val="FirstParagraph"/>
      </w:pPr>
      <w:r>
        <w:t xml:space="preserve">A equipe de tesouraria da Summit Ridge produzia previsões diárias de fluxo usando comportamento histórico de investidores, relatórios de intermediários, contribuições de aposentadoria de final de mês, datas fiscais, movimentos de mercado e atividade institucional conhecida. O modelo tinha desempenho razoável em mercados normais, mas seus maiores erros ocorriam nos períodos em que o caixa era mais valioso. Uma previsão desenhada em torno do comportamento médio diário não conseguia antecipar de forma confiável um fundo de pensão trocando de gestores ou um consultor colocando o fundo em uma lista de observação.</w:t>
      </w:r>
    </w:p>
    <w:p>
      <w:pPr>
        <w:pStyle w:val="BodyText"/>
      </w:pPr>
      <w:r>
        <w:t xml:space="preserve">A diretora de dados Nina Shah propôs obter informações mais oportunas de plataformas de distribuição e pedir aos clientes institucionais indicações antecipadas não vinculantes de grandes movimentações. Algumas plataformas poderiam fornecer estimativas intradiárias, mas cobravam taxas e cobriam apenas parte do fundo. As instituições eram relutantes em revelar intenções que pudessem afetar como suas negociações seriam tratadas. A equipe de compliance alertou contra dar a clientes favorecidos informações ou tratamento que pudessem prejudicar outros acionistas.</w:t>
      </w:r>
    </w:p>
    <w:p>
      <w:pPr>
        <w:pStyle w:val="BodyText"/>
      </w:pPr>
      <w:r>
        <w:t xml:space="preserve">O diretor financeiro Aaron Bell propôs uma reserva de liquidez formal vinculada à volatilidade recente de fluxo e à liquidez do portfólio. Hale objetou que uma regra fixa manteria caixa excessivo em mercados calmos e ainda seria inadequada durante uma corrida genuína. Ele preferia o julgamento do gestor, apoiado por análise de cenários e uma linha de crédito. Os diretores independentes do fundo queriam um processo que pudessem compreender, supervisionar e defender posteriormente.</w:t>
      </w:r>
    </w:p>
    <w:bookmarkStart w:id="18" w:name="exhibit-5.-alternativas-de-gestão"/>
    <w:p>
      <w:pPr>
        <w:pStyle w:val="Heading2"/>
      </w:pPr>
      <w:r>
        <w:t xml:space="preserve">Exhibit 5. Alternativas de Gestão</w:t>
      </w:r>
    </w:p>
    <w:tbl>
      <w:tblPr>
        <w:tblStyle w:val="Table"/>
        <w:tblW w:type="pct" w:w="4925"/>
        <w:tblLayout w:type="fixed"/>
        <w:tblLook w:firstRow="1" w:lastRow="0" w:firstColumn="0" w:lastColumn="0" w:noHBand="0" w:noVBand="0" w:val="0020"/>
      </w:tblPr>
      <w:tblGrid>
        <w:gridCol w:w="2381"/>
        <w:gridCol w:w="2560"/>
        <w:gridCol w:w="2858"/>
      </w:tblGrid>
      <w:tr>
        <w:trPr>
          <w:tblHeader w:val="on"/>
        </w:trPr>
        <w:tc>
          <w:tcPr/>
          <w:p>
            <w:pPr>
              <w:pStyle w:val="Compact"/>
              <w:jc w:val="left"/>
            </w:pPr>
            <w:r>
              <w:t xml:space="preserve">Alternativa</w:t>
            </w:r>
          </w:p>
        </w:tc>
        <w:tc>
          <w:tcPr/>
          <w:p>
            <w:pPr>
              <w:pStyle w:val="Compact"/>
              <w:jc w:val="center"/>
            </w:pPr>
            <w:r>
              <w:t xml:space="preserve">Vantagem potencial</w:t>
            </w:r>
          </w:p>
        </w:tc>
        <w:tc>
          <w:tcPr/>
          <w:p>
            <w:pPr>
              <w:pStyle w:val="Compact"/>
              <w:jc w:val="center"/>
            </w:pPr>
            <w:r>
              <w:t xml:space="preserve">Risco principal ou tradeoff</w:t>
            </w:r>
          </w:p>
        </w:tc>
      </w:tr>
      <w:tr>
        <w:tc>
          <w:tcPr/>
          <w:p>
            <w:pPr>
              <w:pStyle w:val="Compact"/>
              <w:jc w:val="left"/>
            </w:pPr>
            <w:r>
              <w:t xml:space="preserve">Elevar o caixa-alvo de 3% para 5%</w:t>
            </w:r>
          </w:p>
        </w:tc>
        <w:tc>
          <w:tcPr/>
          <w:p>
            <w:pPr>
              <w:pStyle w:val="Compact"/>
              <w:jc w:val="center"/>
            </w:pPr>
            <w:r>
              <w:t xml:space="preserve">Mais proteção contra retiradas súbitas</w:t>
            </w:r>
          </w:p>
        </w:tc>
        <w:tc>
          <w:tcPr/>
          <w:p>
            <w:pPr>
              <w:pStyle w:val="Compact"/>
              <w:jc w:val="center"/>
            </w:pPr>
            <w:r>
              <w:t xml:space="preserve">Arrasto persistente no desempenho</w:t>
            </w:r>
          </w:p>
        </w:tc>
      </w:tr>
      <w:tr>
        <w:tc>
          <w:tcPr/>
          <w:p>
            <w:pPr>
              <w:pStyle w:val="Compact"/>
              <w:jc w:val="left"/>
            </w:pPr>
            <w:r>
              <w:t xml:space="preserve">Manter 3% de caixa mais linha de crédito</w:t>
            </w:r>
          </w:p>
        </w:tc>
        <w:tc>
          <w:tcPr/>
          <w:p>
            <w:pPr>
              <w:pStyle w:val="Compact"/>
              <w:jc w:val="center"/>
            </w:pPr>
            <w:r>
              <w:t xml:space="preserve">Liquidez sem caixa permanente</w:t>
            </w:r>
          </w:p>
        </w:tc>
        <w:tc>
          <w:tcPr/>
          <w:p>
            <w:pPr>
              <w:pStyle w:val="Compact"/>
              <w:jc w:val="center"/>
            </w:pPr>
            <w:r>
              <w:t xml:space="preserve">Custo de empréstimo e disponibilidade em estresse de mercado</w:t>
            </w:r>
          </w:p>
        </w:tc>
      </w:tr>
      <w:tr>
        <w:tc>
          <w:tcPr/>
          <w:p>
            <w:pPr>
              <w:pStyle w:val="Compact"/>
              <w:jc w:val="left"/>
            </w:pPr>
            <w:r>
              <w:t xml:space="preserve">Usar caixa-alvo dinâmico</w:t>
            </w:r>
          </w:p>
        </w:tc>
        <w:tc>
          <w:tcPr/>
          <w:p>
            <w:pPr>
              <w:pStyle w:val="Compact"/>
              <w:jc w:val="center"/>
            </w:pPr>
            <w:r>
              <w:t xml:space="preserve">Responde a fluxos e condições de mercado</w:t>
            </w:r>
          </w:p>
        </w:tc>
        <w:tc>
          <w:tcPr/>
          <w:p>
            <w:pPr>
              <w:pStyle w:val="Compact"/>
              <w:jc w:val="center"/>
            </w:pPr>
            <w:r>
              <w:t xml:space="preserve">Erro de modelo e negociação frequente</w:t>
            </w:r>
          </w:p>
        </w:tc>
      </w:tr>
      <w:tr>
        <w:tc>
          <w:tcPr/>
          <w:p>
            <w:pPr>
              <w:pStyle w:val="Compact"/>
              <w:jc w:val="left"/>
            </w:pPr>
            <w:r>
              <w:t xml:space="preserve">Manter escada maior de títulos do Tesour</w:t>
            </w:r>
          </w:p>
        </w:tc>
        <w:tc>
          <w:tcPr/>
          <w:p>
            <w:pPr>
              <w:pStyle w:val="Compact"/>
              <w:jc w:val="center"/>
            </w:pPr>
            <w:r>
              <w:t xml:space="preserve">o Vencimentos e renda previsívei</w:t>
            </w:r>
          </w:p>
        </w:tc>
        <w:tc>
          <w:tcPr/>
          <w:p>
            <w:pPr>
              <w:pStyle w:val="Compact"/>
              <w:jc w:val="center"/>
            </w:pPr>
            <w:r>
              <w:t xml:space="preserve">s Pode não corresponder a resgates no mesmo dia</w:t>
            </w:r>
          </w:p>
        </w:tc>
      </w:tr>
      <w:tr>
        <w:tc>
          <w:tcPr/>
          <w:p>
            <w:pPr>
              <w:pStyle w:val="Compact"/>
              <w:jc w:val="left"/>
            </w:pPr>
            <w:r>
              <w:t xml:space="preserve">Aumentar o uso de futuros de índice</w:t>
            </w:r>
          </w:p>
        </w:tc>
        <w:tc>
          <w:tcPr/>
          <w:p>
            <w:pPr>
              <w:pStyle w:val="Compact"/>
              <w:jc w:val="center"/>
            </w:pPr>
            <w:r>
              <w:t xml:space="preserve">Mantém exposição ao mercado enquanto</w:t>
            </w:r>
          </w:p>
        </w:tc>
        <w:tc>
          <w:tcPr/>
          <w:p>
            <w:pPr>
              <w:pStyle w:val="Compact"/>
              <w:jc w:val="center"/>
            </w:pPr>
            <w:r>
              <w:t xml:space="preserve">mantém caixa Riscos de base, margem e contraparte</w:t>
            </w:r>
          </w:p>
        </w:tc>
      </w:tr>
      <w:tr>
        <w:tc>
          <w:tcPr/>
          <w:p>
            <w:pPr>
              <w:pStyle w:val="Compact"/>
              <w:jc w:val="left"/>
            </w:pPr>
            <w:r>
              <w:t xml:space="preserve">Buscar melhor informação de fluxo de inv</w:t>
            </w:r>
          </w:p>
        </w:tc>
        <w:tc>
          <w:tcPr/>
          <w:p>
            <w:pPr>
              <w:pStyle w:val="Compact"/>
              <w:jc w:val="center"/>
            </w:pPr>
            <w:r>
              <w:t xml:space="preserve">estidores Pode reduzir erro de pr</w:t>
            </w:r>
          </w:p>
        </w:tc>
        <w:tc>
          <w:tcPr/>
          <w:p>
            <w:pPr>
              <w:pStyle w:val="Compact"/>
              <w:jc w:val="center"/>
            </w:pPr>
            <w:r>
              <w:t xml:space="preserve">evisão Custo, cobertura incompleta, resistência de clientes</w:t>
            </w:r>
          </w:p>
        </w:tc>
      </w:tr>
      <w:tr>
        <w:tc>
          <w:tcPr/>
          <w:p>
            <w:pPr>
              <w:pStyle w:val="Compact"/>
              <w:jc w:val="left"/>
            </w:pPr>
            <w:r>
              <w:t xml:space="preserve">Redesenhar o portfólio em direção à liqu</w:t>
            </w:r>
          </w:p>
        </w:tc>
        <w:tc>
          <w:tcPr/>
          <w:p>
            <w:pPr>
              <w:pStyle w:val="Compact"/>
              <w:jc w:val="center"/>
            </w:pPr>
            <w:r>
              <w:t xml:space="preserve">idez Menor custo de vendas forç</w:t>
            </w:r>
          </w:p>
        </w:tc>
        <w:tc>
          <w:tcPr/>
          <w:p>
            <w:pPr>
              <w:pStyle w:val="Compact"/>
              <w:jc w:val="center"/>
            </w:pPr>
            <w:r>
              <w:t xml:space="preserve">adas Pode restringir a estratégia de investimento</w:t>
            </w:r>
          </w:p>
        </w:tc>
      </w:tr>
    </w:tbl>
    <w:p>
      <w:pPr>
        <w:pStyle w:val="BodyText"/>
      </w:pPr>
      <w:r>
        <w:t xml:space="preserve">Fonte: propostas de gestão da Summit Ridge; fictício.</w:t>
      </w:r>
    </w:p>
    <w:bookmarkEnd w:id="18"/>
    <w:bookmarkEnd w:id="19"/>
    <w:bookmarkStart w:id="20" w:name="segunda-feira-às-8h30"/>
    <w:p>
      <w:pPr>
        <w:pStyle w:val="Heading1"/>
      </w:pPr>
      <w:r>
        <w:t xml:space="preserve">Segunda-feira às 8h30</w:t>
      </w:r>
    </w:p>
    <w:p>
      <w:pPr>
        <w:pStyle w:val="FirstParagraph"/>
      </w:pPr>
      <w:r>
        <w:t xml:space="preserve">Às 8h20, o agente de transferências elevou o total estimado de resgates para $347 milhões. Um cliente institucional havia confirmado uma retirada de $178 milhões. Um segundo havia solicitado informações de liquidação, mas não havia formalmente submetido seu pedido. Os fluxos de varejo eram negativos, embora a estimativa ainda estivesse instável. O banco do fundo confirmou que uma linha de crédito comprometida de $250 milhões permanecia disponível, sujeita a custos de empréstimo e requisitos de garantia.</w:t>
      </w:r>
    </w:p>
    <w:p>
      <w:pPr>
        <w:pStyle w:val="BodyText"/>
      </w:pPr>
      <w:r>
        <w:t xml:space="preserve">Marquez tinha que autorizar o plano de abertura antes que os mercados começassem a negociar. Ela poderia usar a maior parte do caixa do fundo, começar a vender posições líquidas principais, vender posições de menor convicção, tomar emprestado contra a linha de crédito, ou combinar essas ações. Ela também tinha que decidir se deveria levantar caixa adicional além dos resgates conhecidos em antecipação a mais retiradas. Cada escolha dependia de eventos que se desenrolariam após a decisão ser tomada.</w:t>
      </w:r>
    </w:p>
    <w:p>
      <w:pPr>
        <w:pStyle w:val="BodyText"/>
      </w:pPr>
      <w:r>
        <w:t xml:space="preserve">A questão maior permaneceria depois de segunda-feira. A Summit Ridge precisava de um processo repetível para entradas ordinárias, resgates institucionais inesperados, choques de mercado e períodos de retiradas sustentadas. No entanto, um processo que protegesse o fundo durante uma crise poderia enfraquecer o desempenho em mercados normais, alterar a estratégia de investimento ou deslocar custos de negociação entre acionistas que entravam e saíam em momentos diferentes.</w:t>
      </w:r>
    </w:p>
    <w:p>
      <w:pPr>
        <w:pStyle w:val="BodyText"/>
      </w:pPr>
      <w:r>
        <w:t xml:space="preserve">Às 8h28, os futuros caíram mais meio ponto percentual. Marquez olhou para o painel de caixa, a lista de negociação e a mensagem da segunda instituição. O mercado abriria em dois minutos.</w:t>
      </w:r>
    </w:p>
    <w:bookmarkEnd w:id="20"/>
    <w:bookmarkStart w:id="21" w:name="questões-de-discussão"/>
    <w:p>
      <w:pPr>
        <w:pStyle w:val="Heading1"/>
      </w:pPr>
      <w:r>
        <w:t xml:space="preserve">Questões de Discussão</w:t>
      </w:r>
    </w:p>
    <w:p>
      <w:pPr>
        <w:numPr>
          <w:ilvl w:val="0"/>
          <w:numId w:val="1001"/>
        </w:numPr>
      </w:pPr>
      <w:r>
        <w:t xml:space="preserve">Qual é o problema central que Marquez enfrenta na segunda-feira de manhã?</w:t>
      </w:r>
    </w:p>
    <w:p>
      <w:pPr>
        <w:numPr>
          <w:ilvl w:val="0"/>
          <w:numId w:val="1001"/>
        </w:numPr>
      </w:pPr>
      <w:r>
        <w:t xml:space="preserve">Qual peso a Summit Ridge deve dar aos resgates conhecidos versus possíveis retiradas adicionais?</w:t>
      </w:r>
    </w:p>
    <w:p>
      <w:pPr>
        <w:numPr>
          <w:ilvl w:val="0"/>
          <w:numId w:val="1001"/>
        </w:numPr>
      </w:pPr>
      <w:r>
        <w:t xml:space="preserve">Quais são as consequências de manter pouco caixa? Quais são as consequências de manter caixa em excesso?</w:t>
      </w:r>
    </w:p>
    <w:p>
      <w:pPr>
        <w:numPr>
          <w:ilvl w:val="0"/>
          <w:numId w:val="1001"/>
        </w:numPr>
      </w:pPr>
      <w:r>
        <w:t xml:space="preserve">Quais valores mobiliários o fundo deve vender primeiro quando precisa levantar caixa?</w:t>
      </w:r>
    </w:p>
    <w:p>
      <w:pPr>
        <w:numPr>
          <w:ilvl w:val="0"/>
          <w:numId w:val="1001"/>
        </w:numPr>
      </w:pPr>
      <w:r>
        <w:t xml:space="preserve">Quando, se em algum momento, o fundo deve usar sua linha de crédito em vez de vender posições do portfólio?</w:t>
      </w:r>
    </w:p>
    <w:p>
      <w:pPr>
        <w:numPr>
          <w:ilvl w:val="0"/>
          <w:numId w:val="1001"/>
        </w:numPr>
      </w:pPr>
      <w:r>
        <w:t xml:space="preserve">Como as diferenças entre investidores de varejo e institucionais devem influenciar o planejamento de caixa?</w:t>
      </w:r>
    </w:p>
    <w:p>
      <w:pPr>
        <w:numPr>
          <w:ilvl w:val="0"/>
          <w:numId w:val="1001"/>
        </w:numPr>
      </w:pPr>
      <w:r>
        <w:t xml:space="preserve">Que informação melhoraria mais a capacidade da Summit Ridge de antecipar fluxos de investidores?</w:t>
      </w:r>
    </w:p>
    <w:p>
      <w:pPr>
        <w:numPr>
          <w:ilvl w:val="0"/>
          <w:numId w:val="1001"/>
        </w:numPr>
      </w:pPr>
      <w:r>
        <w:t xml:space="preserve">Um alvo de caixa fixo, uma regra dinâmica, ou o julgamento do gestor forneceria o processo mais forte?</w:t>
      </w:r>
    </w:p>
    <w:p>
      <w:pPr>
        <w:numPr>
          <w:ilvl w:val="0"/>
          <w:numId w:val="1001"/>
        </w:numPr>
      </w:pPr>
      <w:r>
        <w:t xml:space="preserve">Como o fundo deve levar em conta as condições de mercado e as taxas de juros ao definir sua posição de liquidez?</w:t>
      </w:r>
    </w:p>
    <w:p>
      <w:pPr>
        <w:numPr>
          <w:ilvl w:val="0"/>
          <w:numId w:val="1001"/>
        </w:numPr>
      </w:pPr>
      <w:r>
        <w:t xml:space="preserve">Como a Summit Ridge deve avaliar se seu processo de gestão de caixa está protegendo os acionistas remanescentes de forma justa?</w:t>
      </w:r>
    </w:p>
    <w:bookmarkEnd w:id="21"/>
    <w:bookmarkStart w:id="27" w:name="questões-de-enquadramento-de-decisão"/>
    <w:p>
      <w:pPr>
        <w:pStyle w:val="Heading1"/>
      </w:pPr>
      <w:r>
        <w:t xml:space="preserve">Questões de Enquadramento de Decisão</w:t>
      </w:r>
    </w:p>
    <w:p>
      <w:pPr>
        <w:numPr>
          <w:ilvl w:val="0"/>
          <w:numId w:val="1002"/>
        </w:numPr>
      </w:pPr>
      <w:r>
        <w:t xml:space="preserve">Identifique e descreva as responsabilidades do tomador de decisão. Isso deve definir o escopo do problema.</w:t>
      </w:r>
    </w:p>
    <w:p>
      <w:pPr>
        <w:numPr>
          <w:ilvl w:val="0"/>
          <w:numId w:val="1002"/>
        </w:numPr>
      </w:pPr>
      <w:r>
        <w:t xml:space="preserve">Use a</w:t>
      </w:r>
      <w:r>
        <w:t xml:space="preserve"> </w:t>
      </w:r>
      <w:hyperlink r:id="rId22">
        <w:r>
          <w:rPr>
            <w:rStyle w:val="Hyperlink"/>
          </w:rPr>
          <w:t xml:space="preserve">ferramenta de pirâmide de métricas</w:t>
        </w:r>
      </w:hyperlink>
      <w:r>
        <w:t xml:space="preserve"> </w:t>
      </w:r>
      <w:r>
        <w:t xml:space="preserve">para identificar e priorizar as diferentes métricas de desempenho. Clique na oval que contém a métrica para identificar se ela é uma métrica a ser maximizada (verde), minimizada (vermelho), uma meta que é um piso (verde claro) ou um teto (vermelho claro), ou finalmente uma meta (roxo).</w:t>
      </w:r>
    </w:p>
    <w:p>
      <w:pPr>
        <w:numPr>
          <w:ilvl w:val="0"/>
          <w:numId w:val="1002"/>
        </w:numPr>
      </w:pPr>
      <w:r>
        <w:t xml:space="preserve">Use a</w:t>
      </w:r>
      <w:r>
        <w:t xml:space="preserve"> </w:t>
      </w:r>
      <w:hyperlink r:id="rId23">
        <w:r>
          <w:rPr>
            <w:rStyle w:val="Hyperlink"/>
          </w:rPr>
          <w:t xml:space="preserve">ferramenta de priorização de decisões</w:t>
        </w:r>
      </w:hyperlink>
      <w:r>
        <w:t xml:space="preserve"> </w:t>
      </w:r>
      <w:r>
        <w:t xml:space="preserve">para primeiro listar os diferentes tipos de decisões (use os</w:t>
      </w:r>
      <w:r>
        <w:t xml:space="preserve"> </w:t>
      </w:r>
      <w:hyperlink r:id="rId24">
        <w:r>
          <w:rPr>
            <w:rStyle w:val="Hyperlink"/>
          </w:rPr>
          <w:t xml:space="preserve">tipos de decisões</w:t>
        </w:r>
      </w:hyperlink>
      <w:r>
        <w:t xml:space="preserve"> </w:t>
      </w:r>
      <w:r>
        <w:t xml:space="preserve">como guia). Essas irão então preencher as linhas da matriz à direita, onde as colunas são as métricas de desempenho ordenadas da esquerda para a direita conforme a prioridade na pirâmide acima. Clique em cada célula para indicar se o impacto da decisão em cada métrica é alto (vermelho), médio (laranja), baixo (amarelo) ou nenhum (branco).</w:t>
      </w:r>
    </w:p>
    <w:p>
      <w:pPr>
        <w:numPr>
          <w:ilvl w:val="0"/>
          <w:numId w:val="1002"/>
        </w:numPr>
      </w:pPr>
      <w:r>
        <w:t xml:space="preserve">Você pode segurar a alça (três barras) mais à esquerda em cada linha para movê-la para cima ou para baixo. Ordene as linhas de modo que as decisões com maior impacto nas métricas mais importantes fiquem no topo. As células no canto superior esquerdo devem ter a maior concentração de células vermelhas e laranjas. Neste ponto, identifique as decisões que devem receber mais atenção em seu estudo. Se você não tiver decisões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25">
        <w:r>
          <w:rPr>
            <w:rStyle w:val="Hyperlink"/>
          </w:rPr>
          <w:t xml:space="preserve">ferramenta de priorização de incertezas</w:t>
        </w:r>
      </w:hyperlink>
      <w:r>
        <w:t xml:space="preserve">. Use as</w:t>
      </w:r>
      <w:r>
        <w:t xml:space="preserve"> </w:t>
      </w:r>
      <w:hyperlink r:id="rId26">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decisão única que parece ter o maior impacto na métrica mais importante.</w:t>
      </w:r>
    </w:p>
    <w:p>
      <w:pPr>
        <w:numPr>
          <w:ilvl w:val="1"/>
          <w:numId w:val="1004"/>
        </w:numPr>
      </w:pPr>
      <w:r>
        <w:t xml:space="preserve">Qual abordagem você acha que usaria para tomar essa decisão?</w:t>
      </w:r>
    </w:p>
    <w:p>
      <w:pPr>
        <w:numPr>
          <w:ilvl w:val="1"/>
          <w:numId w:val="1004"/>
        </w:numPr>
      </w:pPr>
      <w:r>
        <w:t xml:space="preserve">Quais dados parecem ser necessários para tomar essa decisão, incluindo o cálculo de quaisquer métricas de desempenho em que a decisão teria um impacto alto ou médio.</w:t>
      </w:r>
    </w:p>
    <w:p>
      <w:pPr>
        <w:numPr>
          <w:ilvl w:val="0"/>
          <w:numId w:val="1002"/>
        </w:numPr>
      </w:pPr>
      <w:r>
        <w:t xml:space="preserve">Usando a mesma decisão que você identificou em (7), identifique as pessoas, departamentos, grupos ou organizações com os quais você precisaria trabalhar para implementar a decisão.</w:t>
      </w:r>
    </w:p>
    <w:bookmarkEnd w:id="27"/>
    <w:bookmarkStart w:id="30" w:name="notas-do-chatgpt"/>
    <w:p>
      <w:pPr>
        <w:pStyle w:val="Heading1"/>
      </w:pPr>
      <w:r>
        <w:t xml:space="preserve">Notas do ChatGPT</w:t>
      </w:r>
    </w:p>
    <w:bookmarkStart w:id="28" w:name="prompt"/>
    <w:p>
      <w:pPr>
        <w:pStyle w:val="Heading2"/>
      </w:pPr>
      <w:r>
        <w:t xml:space="preserve">Prompt</w:t>
      </w:r>
    </w:p>
    <w:p>
      <w:pPr>
        <w:pStyle w:val="FirstParagraph"/>
      </w:pPr>
      <w:r>
        <w:t xml:space="preserve">Escreva um estudo de caso de 4 a 6 páginas baseado no material na seção em https://warrenpowell.org/bridging-vol1/chapter-2/#mutual-fund-cash-management. Crie um contexto baseado nas métricas, decisões e incertezas na seção, mas sem chamar atenção explicitamente para elas. Motive seu problema de caso com dados.</w:t>
      </w:r>
    </w:p>
    <w:bookmarkEnd w:id="28"/>
    <w:bookmarkStart w:id="29" w:name="resumo"/>
    <w:p>
      <w:pPr>
        <w:pStyle w:val="Heading2"/>
      </w:pPr>
      <w:r>
        <w:t xml:space="preserve">Resumo</w:t>
      </w:r>
    </w:p>
    <w:p>
      <w:pPr>
        <w:pStyle w:val="FirstParagraph"/>
      </w:pPr>
      <w:r>
        <w:t xml:space="preserve">O caso apresenta um fundo mútuo de ações fictício enfrentando um grande resgate institucional após um choque de mercado no fim de semana. A gestão deve decidir quanto caixa reter, se deve tomar empréstimo ou vender valores mobiliários, quais posições negociar, e como se preparar para retiradas adicionais sem criar um arrasto persistente no desempenho do investimento.</w:t>
      </w:r>
    </w:p>
    <w:p>
      <w:pPr>
        <w:pStyle w:val="BodyText"/>
      </w:pPr>
      <w:r>
        <w:t xml:space="preserve">O cenário se baseia na seção especificada sobre gestão de caixa de fundos mútuos, incluindo a tensão entre manter caixa excedente e ser forçado a liquidar investimentos quando chegam resgates. É motivado por dados do setor mostrando aproximadamente</w:t>
      </w:r>
      <w:r>
        <w:t xml:space="preserve"> </w:t>
      </w:r>
      <w:r>
        <w:rPr>
          <w:b/>
          <w:bCs/>
        </w:rPr>
        <w:t xml:space="preserve">$25,3 trilhões</w:t>
      </w:r>
      <w:r>
        <w:t xml:space="preserve"> </w:t>
      </w:r>
      <w:r>
        <w:t xml:space="preserve">em ativos de fundos mútuos de longo prazo nos EUA em maio de 2026, saídas semanais estimadas de fundos mútuos de</w:t>
      </w:r>
      <w:r>
        <w:t xml:space="preserve"> </w:t>
      </w:r>
      <w:r>
        <w:rPr>
          <w:b/>
          <w:bCs/>
        </w:rPr>
        <w:t xml:space="preserve">$15,43 bilhões</w:t>
      </w:r>
      <w:r>
        <w:t xml:space="preserve"> </w:t>
      </w:r>
      <w:r>
        <w:t xml:space="preserve">em julho de 2026, e ativos do mercado monetário ultrapassando</w:t>
      </w:r>
      <w:r>
        <w:t xml:space="preserve"> </w:t>
      </w:r>
      <w:r>
        <w:rPr>
          <w:b/>
          <w:bCs/>
        </w:rPr>
        <w:t xml:space="preserve">$7 trilhões</w:t>
      </w:r>
      <w:r>
        <w:t xml:space="preserve"> </w:t>
      </w:r>
      <w:r>
        <w:t xml:space="preserve">em março de 2025.</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2026-09-11T16:57:23Z</dcterms:created>
  <dcterms:modified xsi:type="dcterms:W3CDTF">2026-09-11T16:57:23Z</dcterms:modified>
</cp:coreProperties>
</file>

<file path=docProps/custom.xml><?xml version="1.0" encoding="utf-8"?>
<Properties xmlns="http://schemas.openxmlformats.org/officeDocument/2006/custom-properties" xmlns:vt="http://schemas.openxmlformats.org/officeDocument/2006/docPropsVTypes"/>
</file>