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阿斯特里安治疗公司</w:t>
      </w:r>
    </w:p>
    <w:p>
      <w:pPr>
        <w:pStyle w:val="BodyText"/>
      </w:pPr>
      <w:r>
        <w:rPr>
          <w:rFonts w:hint="eastAsia"/>
        </w:rPr>
        <w:t xml:space="preserve">招募时钟</w:t>
      </w:r>
    </w:p>
    <w:p>
      <w:pPr>
        <w:pStyle w:val="BodyText"/>
      </w:pPr>
      <w:r>
        <w:rPr>
          <w:rFonts w:hint="eastAsia"/>
        </w:rPr>
        <w:t xml:space="preserve">一个关于证据、招募、安全性和等待成本的临床开发案例</w:t>
      </w:r>
    </w:p>
    <w:p>
      <w:pPr>
        <w:pStyle w:val="BodyText"/>
      </w:pPr>
      <w:r>
        <w:rPr>
          <w:rFonts w:hint="eastAsia"/>
        </w:rPr>
        <w:t xml:space="preserve">本案例纯属虚构,旨在用于教学讨论。姓名、事件、产品和公司数据均为虚构;公开统计数据在资料来源说明中注明。</w:t>
      </w:r>
    </w:p>
    <w:bookmarkStart w:id="10" w:name="一款窗口期狭窄的前景疗法"/>
    <w:p>
      <w:pPr>
        <w:pStyle w:val="Heading1"/>
      </w:pPr>
      <w:r>
        <w:rPr>
          <w:rFonts w:hint="eastAsia"/>
        </w:rPr>
        <w:t xml:space="preserve">一款窗口期狭窄的前景疗法</w:t>
      </w:r>
    </w:p>
    <w:p>
      <w:pPr>
        <w:pStyle w:val="FirstParagraph"/>
      </w:pPr>
      <w:r>
        <w:rPr>
          <w:rFonts w:hint="eastAsia"/>
        </w:rPr>
        <w:t xml:space="preserve">2027年3月的一个星期二早晨7点15分,阿斯特里安治疗公司首席开发官玛雅·陈打开了AST-417的中期报告,这是一种用于治疗进行性肺纤维化的注射疗法。公司已经花费了六年时间和2.14亿美元,将该化合物从实验室工作推进到两项早期临床研究。阿斯特里安现在已有足够的证据相信该疗法可以减缓肺功能的丧失,但还没有足够的证据判断这种益处是否具有临床说服力、是否持久,或是否广泛到足以支持获批。</w:t>
      </w:r>
    </w:p>
    <w:p>
      <w:pPr>
        <w:pStyle w:val="BodyText"/>
      </w:pPr>
      <w:r>
        <w:rPr>
          <w:rFonts w:hint="eastAsia"/>
        </w:rPr>
        <w:t xml:space="preserve">这一决策无法与时间分开。阿斯特里安按当前支出速度还有31个月的现金储备,但一项完整的关键性试验项目可能会耗尽大部分这一资金跑道。专利保护已经开始削弱,一家更大的竞争对手已宣布了一项相关试验,而公司的合同制造商需要在六周内获得产能承诺。推迟决策会产生更多信息,但也会耗费资金、患者、生产选项,或许还有市场地位。</w:t>
      </w:r>
    </w:p>
    <w:bookmarkStart w:id="9" w:name="展示材料1.-ast-417开发现状"/>
    <w:p>
      <w:pPr>
        <w:pStyle w:val="Heading2"/>
      </w:pPr>
      <w:r>
        <w:rPr>
          <w:rFonts w:hint="eastAsia"/>
        </w:rPr>
        <w:t xml:space="preserve">展示材料1.</w:t>
      </w:r>
      <w:r>
        <w:t xml:space="preserve"> </w:t>
      </w:r>
      <w:r>
        <w:rPr>
          <w:rFonts w:hint="eastAsia"/>
        </w:rPr>
        <w:t xml:space="preserve">AST-417开发现状</w:t>
      </w:r>
    </w:p>
    <w:tbl>
      <w:tblPr>
        <w:tblStyle w:val="Table"/>
        <w:tblW w:type="pct" w:w="4919"/>
        <w:tblLayout w:type="fixed"/>
        <w:tblLook w:firstRow="1" w:lastRow="0" w:firstColumn="0" w:lastColumn="0" w:noHBand="0" w:noVBand="0" w:val="0020"/>
      </w:tblPr>
      <w:tblGrid>
        <w:gridCol w:w="1674"/>
        <w:gridCol w:w="2124"/>
        <w:gridCol w:w="3992"/>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当前状况</w:t>
            </w:r>
          </w:p>
        </w:tc>
        <w:tc>
          <w:tcPr/>
          <w:p>
            <w:pPr>
              <w:pStyle w:val="Compact"/>
              <w:jc w:val="left"/>
            </w:pPr>
            <w:r>
              <w:rPr>
                <w:rFonts w:hint="eastAsia"/>
              </w:rPr>
              <w:t xml:space="preserve">管理层关注点</w:t>
            </w:r>
          </w:p>
        </w:tc>
      </w:tr>
      <w:tr>
        <w:tc>
          <w:tcPr/>
          <w:p>
            <w:pPr>
              <w:pStyle w:val="Compact"/>
              <w:jc w:val="left"/>
            </w:pPr>
            <w:r>
              <w:rPr>
                <w:rFonts w:hint="eastAsia"/>
              </w:rPr>
              <w:t xml:space="preserve">开发阶段</w:t>
            </w:r>
          </w:p>
        </w:tc>
        <w:tc>
          <w:tcPr/>
          <w:p>
            <w:pPr>
              <w:pStyle w:val="Compact"/>
              <w:jc w:val="left"/>
            </w:pPr>
            <w:r>
              <w:rPr>
                <w:rFonts w:hint="eastAsia"/>
              </w:rPr>
              <w:t xml:space="preserve">IIb期中期审查</w:t>
            </w:r>
          </w:p>
        </w:tc>
        <w:tc>
          <w:tcPr/>
          <w:p>
            <w:pPr>
              <w:pStyle w:val="Compact"/>
              <w:jc w:val="left"/>
            </w:pPr>
            <w:r>
              <w:rPr>
                <w:rFonts w:hint="eastAsia"/>
              </w:rPr>
              <w:t xml:space="preserve">证据是否足够充分,能够支撑设计一项关键性研究</w:t>
            </w:r>
          </w:p>
        </w:tc>
      </w:tr>
      <w:tr>
        <w:tc>
          <w:tcPr/>
          <w:p>
            <w:pPr>
              <w:pStyle w:val="Compact"/>
              <w:jc w:val="left"/>
            </w:pPr>
            <w:r>
              <w:rPr>
                <w:rFonts w:hint="eastAsia"/>
              </w:rPr>
              <w:t xml:space="preserve">已随机化患者数</w:t>
            </w:r>
          </w:p>
        </w:tc>
        <w:tc>
          <w:tcPr/>
          <w:p>
            <w:pPr>
              <w:pStyle w:val="Compact"/>
              <w:jc w:val="left"/>
            </w:pPr>
            <w:r>
              <w:rPr>
                <w:rFonts w:hint="eastAsia"/>
              </w:rPr>
              <w:t xml:space="preserve">计划240人中的186人</w:t>
            </w:r>
          </w:p>
        </w:tc>
        <w:tc>
          <w:tcPr/>
          <w:p>
            <w:pPr>
              <w:pStyle w:val="Compact"/>
              <w:jc w:val="left"/>
            </w:pPr>
            <w:r>
              <w:rPr>
                <w:rFonts w:hint="eastAsia"/>
              </w:rPr>
              <w:t xml:space="preserve">招募进度落后计划7个月</w:t>
            </w:r>
          </w:p>
        </w:tc>
      </w:tr>
      <w:tr>
        <w:tc>
          <w:tcPr/>
          <w:p>
            <w:pPr>
              <w:pStyle w:val="Compact"/>
              <w:jc w:val="left"/>
            </w:pPr>
            <w:r>
              <w:rPr>
                <w:rFonts w:hint="eastAsia"/>
              </w:rPr>
              <w:t xml:space="preserve">治疗组</w:t>
            </w:r>
          </w:p>
        </w:tc>
        <w:tc>
          <w:tcPr/>
          <w:p>
            <w:pPr>
              <w:pStyle w:val="Compact"/>
              <w:jc w:val="left"/>
            </w:pPr>
            <w:r>
              <w:rPr>
                <w:rFonts w:hint="eastAsia"/>
              </w:rPr>
              <w:t xml:space="preserve">高剂量、低剂量、安慰剂</w:t>
            </w:r>
          </w:p>
        </w:tc>
        <w:tc>
          <w:tcPr/>
          <w:p>
            <w:pPr>
              <w:pStyle w:val="Compact"/>
              <w:jc w:val="left"/>
            </w:pPr>
            <w:r>
              <w:rPr>
                <w:rFonts w:hint="eastAsia"/>
              </w:rPr>
              <w:t xml:space="preserve">剂量-反应模式尚不明确</w:t>
            </w:r>
          </w:p>
        </w:tc>
      </w:tr>
      <w:tr>
        <w:tc>
          <w:tcPr/>
          <w:p>
            <w:pPr>
              <w:pStyle w:val="Compact"/>
              <w:jc w:val="left"/>
            </w:pPr>
            <w:r>
              <w:rPr>
                <w:rFonts w:hint="eastAsia"/>
              </w:rPr>
              <w:t xml:space="preserve">现金及投资</w:t>
            </w:r>
          </w:p>
        </w:tc>
        <w:tc>
          <w:tcPr/>
          <w:p>
            <w:pPr>
              <w:pStyle w:val="Compact"/>
              <w:jc w:val="left"/>
            </w:pPr>
            <w:r>
              <w:rPr>
                <w:rFonts w:hint="eastAsia"/>
              </w:rPr>
              <w:t xml:space="preserve">3.18亿美元</w:t>
            </w:r>
          </w:p>
        </w:tc>
        <w:tc>
          <w:tcPr/>
          <w:p>
            <w:pPr>
              <w:pStyle w:val="Compact"/>
              <w:jc w:val="left"/>
            </w:pPr>
            <w:r>
              <w:rPr>
                <w:rFonts w:hint="eastAsia"/>
              </w:rPr>
              <w:t xml:space="preserve">多种试验设计可能需要额外融资</w:t>
            </w:r>
          </w:p>
        </w:tc>
      </w:tr>
      <w:tr>
        <w:tc>
          <w:tcPr/>
          <w:p>
            <w:pPr>
              <w:pStyle w:val="Compact"/>
              <w:jc w:val="left"/>
            </w:pPr>
            <w:r>
              <w:rPr>
                <w:rFonts w:hint="eastAsia"/>
              </w:rPr>
              <w:t xml:space="preserve">预计专利到期时间</w:t>
            </w:r>
          </w:p>
        </w:tc>
        <w:tc>
          <w:tcPr/>
          <w:p>
            <w:pPr>
              <w:pStyle w:val="Compact"/>
              <w:jc w:val="left"/>
            </w:pPr>
            <w:r>
              <w:rPr>
                <w:rFonts w:hint="eastAsia"/>
              </w:rPr>
              <w:t xml:space="preserve">2034年</w:t>
            </w:r>
          </w:p>
        </w:tc>
        <w:tc>
          <w:tcPr/>
          <w:p>
            <w:pPr>
              <w:pStyle w:val="Compact"/>
              <w:jc w:val="left"/>
            </w:pPr>
            <w:r>
              <w:rPr>
                <w:rFonts w:hint="eastAsia"/>
              </w:rPr>
              <w:t xml:space="preserve">商业寿命随每次延迟而缩短</w:t>
            </w:r>
          </w:p>
        </w:tc>
      </w:tr>
      <w:tr>
        <w:tc>
          <w:tcPr/>
          <w:p>
            <w:pPr>
              <w:pStyle w:val="Compact"/>
              <w:jc w:val="left"/>
            </w:pPr>
            <w:r>
              <w:rPr>
                <w:rFonts w:hint="eastAsia"/>
              </w:rPr>
              <w:t xml:space="preserve">竞争项目</w:t>
            </w:r>
          </w:p>
        </w:tc>
        <w:tc>
          <w:tcPr/>
          <w:p>
            <w:pPr>
              <w:pStyle w:val="Compact"/>
              <w:jc w:val="left"/>
            </w:pPr>
            <w:r>
              <w:rPr>
                <w:rFonts w:hint="eastAsia"/>
              </w:rPr>
              <w:t xml:space="preserve">三项,其中一项处于III期</w:t>
            </w:r>
          </w:p>
        </w:tc>
        <w:tc>
          <w:tcPr/>
          <w:p>
            <w:pPr>
              <w:pStyle w:val="Compact"/>
              <w:jc w:val="left"/>
            </w:pPr>
            <w:r>
              <w:rPr>
                <w:rFonts w:hint="eastAsia"/>
              </w:rPr>
              <w:t xml:space="preserve">医生和研究者的关注可能转移</w:t>
            </w:r>
          </w:p>
        </w:tc>
      </w:tr>
    </w:tbl>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阿斯特里安不仅要决定AST-417是否应继续推进,还要决定接下来应收集哪些证据、在哪里收集、招募多少患者,以及在得出答案之前应将公司置于多大的风险之中。</w:t>
            </w:r>
          </w:p>
        </w:tc>
      </w:tr>
    </w:tbl>
    <w:p>
      <w:r>
        <w:pict>
          <v:rect style="width:0;height:1.5pt" o:hralign="center" o:hrstd="t" o:hr="t"/>
        </w:pict>
      </w:r>
    </w:p>
    <w:bookmarkEnd w:id="9"/>
    <w:bookmarkEnd w:id="10"/>
    <w:bookmarkStart w:id="12" w:name="中期证据"/>
    <w:p>
      <w:pPr>
        <w:pStyle w:val="Heading1"/>
      </w:pPr>
      <w:r>
        <w:rPr>
          <w:rFonts w:hint="eastAsia"/>
        </w:rPr>
        <w:t xml:space="preserve">中期证据</w:t>
      </w:r>
    </w:p>
    <w:p>
      <w:pPr>
        <w:pStyle w:val="FirstParagraph"/>
      </w:pPr>
      <w:r>
        <w:rPr>
          <w:rFonts w:hint="eastAsia"/>
        </w:rPr>
        <w:t xml:space="preserve">AST-417旨在用于尽管接受了现有疗法、病情仍持续进展的患者。IIb期方案在24周后测量用力肺活量的变化,同时测量运动耐量、患者自报的呼吸困难程度、住院情况、实验室指标和不良事件。研究者原本预期高剂量组会显示出最明确的益处。然而,结果却是低剂量组产生了最强的平均效果,而高剂量组中既有反应显著的患者,也有若干因故停药的患者。</w:t>
      </w:r>
    </w:p>
    <w:p>
      <w:pPr>
        <w:pStyle w:val="BodyText"/>
      </w:pPr>
      <w:r>
        <w:rPr>
          <w:rFonts w:hint="eastAsia"/>
        </w:rPr>
        <w:t xml:space="preserve">平均值掩盖了重要的差异。在过去两年内确诊的患者似乎比病情较重的患者改善更多。结果也因地区不同以及患者是否继续接受背景疗法而有所差异。这些亚组发现在科学上是合理的,但该试验并非为验证这些发现而设计。将下一项研究的对象缩小到明显有反应的人群,可能会提高获得阳性结果的概率,但也可能缩小潜在市场,并增加招募难度。</w:t>
      </w:r>
    </w:p>
    <w:bookmarkStart w:id="11" w:name="展示材料2.-第24周中期结果"/>
    <w:p>
      <w:pPr>
        <w:pStyle w:val="Heading2"/>
      </w:pPr>
      <w:r>
        <w:rPr>
          <w:rFonts w:hint="eastAsia"/>
        </w:rPr>
        <w:t xml:space="preserve">展示材料2.</w:t>
      </w:r>
      <w:r>
        <w:t xml:space="preserve"> </w:t>
      </w:r>
      <w:r>
        <w:rPr>
          <w:rFonts w:hint="eastAsia"/>
        </w:rPr>
        <w:t xml:space="preserve">第24周中期结果</w:t>
      </w:r>
    </w:p>
    <w:tbl>
      <w:tblPr>
        <w:tblStyle w:val="Table"/>
        <w:tblW w:type="pct" w:w="4890"/>
        <w:tblLayout w:type="fixed"/>
        <w:tblLook w:firstRow="1" w:lastRow="0" w:firstColumn="0" w:lastColumn="0" w:noHBand="0" w:noVBand="0" w:val="0020"/>
      </w:tblPr>
      <w:tblGrid>
        <w:gridCol w:w="4351"/>
        <w:gridCol w:w="1131"/>
        <w:gridCol w:w="1131"/>
        <w:gridCol w:w="1131"/>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安慰剂</w:t>
            </w:r>
          </w:p>
        </w:tc>
        <w:tc>
          <w:tcPr/>
          <w:p>
            <w:pPr>
              <w:pStyle w:val="Compact"/>
              <w:jc w:val="center"/>
            </w:pPr>
            <w:r>
              <w:rPr>
                <w:rFonts w:hint="eastAsia"/>
              </w:rPr>
              <w:t xml:space="preserve">低剂量</w:t>
            </w:r>
          </w:p>
        </w:tc>
        <w:tc>
          <w:tcPr/>
          <w:p>
            <w:pPr>
              <w:pStyle w:val="Compact"/>
              <w:jc w:val="center"/>
            </w:pPr>
            <w:r>
              <w:rPr>
                <w:rFonts w:hint="eastAsia"/>
              </w:rPr>
              <w:t xml:space="preserve">高剂量</w:t>
            </w:r>
          </w:p>
        </w:tc>
      </w:tr>
      <w:tr>
        <w:tc>
          <w:tcPr/>
          <w:p>
            <w:pPr>
              <w:pStyle w:val="Compact"/>
              <w:jc w:val="left"/>
            </w:pPr>
            <w:r>
              <w:rPr>
                <w:rFonts w:hint="eastAsia"/>
              </w:rPr>
              <w:t xml:space="preserve">肺功能指标平均变化</w:t>
            </w:r>
          </w:p>
        </w:tc>
        <w:tc>
          <w:tcPr/>
          <w:p>
            <w:pPr>
              <w:pStyle w:val="Compact"/>
              <w:jc w:val="center"/>
            </w:pPr>
            <w:r>
              <w:rPr>
                <w:rFonts w:hint="eastAsia"/>
              </w:rPr>
              <w:t xml:space="preserve">-126毫升</w:t>
            </w:r>
          </w:p>
        </w:tc>
        <w:tc>
          <w:tcPr/>
          <w:p>
            <w:pPr>
              <w:pStyle w:val="Compact"/>
              <w:jc w:val="center"/>
            </w:pPr>
            <w:r>
              <w:rPr>
                <w:rFonts w:hint="eastAsia"/>
              </w:rPr>
              <w:t xml:space="preserve">-71毫升</w:t>
            </w:r>
          </w:p>
        </w:tc>
        <w:tc>
          <w:tcPr/>
          <w:p>
            <w:pPr>
              <w:pStyle w:val="Compact"/>
              <w:jc w:val="center"/>
            </w:pPr>
            <w:r>
              <w:rPr>
                <w:rFonts w:hint="eastAsia"/>
              </w:rPr>
              <w:t xml:space="preserve">-82毫升</w:t>
            </w:r>
          </w:p>
        </w:tc>
      </w:tr>
      <w:tr>
        <w:tc>
          <w:tcPr/>
          <w:p>
            <w:pPr>
              <w:pStyle w:val="Compact"/>
              <w:jc w:val="left"/>
            </w:pPr>
            <w:r>
              <w:rPr>
                <w:rFonts w:hint="eastAsia"/>
              </w:rPr>
              <w:t xml:space="preserve">出现临床意义改善的患者比例</w:t>
            </w:r>
          </w:p>
        </w:tc>
        <w:tc>
          <w:tcPr/>
          <w:p>
            <w:pPr>
              <w:pStyle w:val="Compact"/>
              <w:jc w:val="center"/>
            </w:pPr>
            <w:r>
              <w:t xml:space="preserve">14%</w:t>
            </w:r>
          </w:p>
        </w:tc>
        <w:tc>
          <w:tcPr/>
          <w:p>
            <w:pPr>
              <w:pStyle w:val="Compact"/>
              <w:jc w:val="center"/>
            </w:pPr>
            <w:r>
              <w:t xml:space="preserve">28%</w:t>
            </w:r>
          </w:p>
        </w:tc>
        <w:tc>
          <w:tcPr/>
          <w:p>
            <w:pPr>
              <w:pStyle w:val="Compact"/>
              <w:jc w:val="center"/>
            </w:pPr>
            <w:r>
              <w:t xml:space="preserve">25%</w:t>
            </w:r>
          </w:p>
        </w:tc>
      </w:tr>
      <w:tr>
        <w:tc>
          <w:tcPr/>
          <w:p>
            <w:pPr>
              <w:pStyle w:val="Compact"/>
              <w:jc w:val="left"/>
            </w:pPr>
            <w:r>
              <w:rPr>
                <w:rFonts w:hint="eastAsia"/>
              </w:rPr>
              <w:t xml:space="preserve">停止研究治疗的比例</w:t>
            </w:r>
          </w:p>
        </w:tc>
        <w:tc>
          <w:tcPr/>
          <w:p>
            <w:pPr>
              <w:pStyle w:val="Compact"/>
              <w:jc w:val="center"/>
            </w:pPr>
            <w:r>
              <w:t xml:space="preserve">8%</w:t>
            </w:r>
          </w:p>
        </w:tc>
        <w:tc>
          <w:tcPr/>
          <w:p>
            <w:pPr>
              <w:pStyle w:val="Compact"/>
              <w:jc w:val="center"/>
            </w:pPr>
            <w:r>
              <w:t xml:space="preserve">11%</w:t>
            </w:r>
          </w:p>
        </w:tc>
        <w:tc>
          <w:tcPr/>
          <w:p>
            <w:pPr>
              <w:pStyle w:val="Compact"/>
              <w:jc w:val="center"/>
            </w:pPr>
            <w:r>
              <w:t xml:space="preserve">19%</w:t>
            </w:r>
          </w:p>
        </w:tc>
      </w:tr>
      <w:tr>
        <w:tc>
          <w:tcPr/>
          <w:p>
            <w:pPr>
              <w:pStyle w:val="Compact"/>
              <w:jc w:val="left"/>
            </w:pPr>
            <w:r>
              <w:rPr>
                <w:rFonts w:hint="eastAsia"/>
              </w:rPr>
              <w:t xml:space="preserve">严重不良事件比例</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12%</w:t>
            </w:r>
          </w:p>
        </w:tc>
      </w:tr>
      <w:tr>
        <w:tc>
          <w:tcPr/>
          <w:p>
            <w:pPr>
              <w:pStyle w:val="Compact"/>
              <w:jc w:val="left"/>
            </w:pPr>
            <w:r>
              <w:rPr>
                <w:rFonts w:hint="eastAsia"/>
              </w:rPr>
              <w:t xml:space="preserve">平均输注时间</w:t>
            </w:r>
          </w:p>
        </w:tc>
        <w:tc>
          <w:tcPr/>
          <w:p>
            <w:pPr>
              <w:pStyle w:val="Compact"/>
              <w:jc w:val="center"/>
            </w:pPr>
            <w:r>
              <w:t xml:space="preserve">—</w:t>
            </w:r>
          </w:p>
        </w:tc>
        <w:tc>
          <w:tcPr/>
          <w:p>
            <w:pPr>
              <w:pStyle w:val="Compact"/>
              <w:jc w:val="center"/>
            </w:pPr>
            <w:r>
              <w:rPr>
                <w:rFonts w:hint="eastAsia"/>
              </w:rPr>
              <w:t xml:space="preserve">52分钟</w:t>
            </w:r>
          </w:p>
        </w:tc>
        <w:tc>
          <w:tcPr/>
          <w:p>
            <w:pPr>
              <w:pStyle w:val="Compact"/>
              <w:jc w:val="center"/>
            </w:pPr>
            <w:r>
              <w:rPr>
                <w:rFonts w:hint="eastAsia"/>
              </w:rPr>
              <w:t xml:space="preserve">54分钟</w:t>
            </w:r>
          </w:p>
        </w:tc>
      </w:tr>
    </w:tbl>
    <w:p>
      <w:pPr>
        <w:pStyle w:val="BodyText"/>
      </w:pPr>
      <w:r>
        <w:rPr>
          <w:rFonts w:hint="eastAsia"/>
        </w:rPr>
        <w:t xml:space="preserve">独立安全委员会并未建议终止该研究。不过,该委员会确实要求对肝酶和输注反应进行更密切的监测。七名高剂量患者出现了暂时性的实验室异常,其中两人因严重反应而住院。研究者们对这些事件究竟反映的是药物本身、患者的基础疾病,还是与其他药物的相互作用存在分歧。</w:t>
      </w:r>
    </w:p>
    <w:bookmarkEnd w:id="11"/>
    <w:bookmarkEnd w:id="12"/>
    <w:bookmarkStart w:id="14" w:name="招募难题"/>
    <w:p>
      <w:pPr>
        <w:pStyle w:val="Heading1"/>
      </w:pPr>
      <w:r>
        <w:rPr>
          <w:rFonts w:hint="eastAsia"/>
        </w:rPr>
        <w:t xml:space="preserve">招募难题</w:t>
      </w:r>
    </w:p>
    <w:p>
      <w:pPr>
        <w:pStyle w:val="FirstParagraph"/>
      </w:pPr>
      <w:r>
        <w:rPr>
          <w:rFonts w:hint="eastAsia"/>
        </w:rPr>
        <w:t xml:space="preserve">最初的计划假设每个活跃研究中心每月招募0.55名患者。实际招募率为0.31。一些医院筛查了大量患者,但真正入组的却很少,原因是入选标准排除了患有肾病、近期感染、背景用药不稳定,或病情过轻或过重的人群。社区肺科医生不愿将患者转诊至学术中心,担心会因此失去长期的医患关系。患者则要面对反复的往返奔波、侵入性检测,以及三分之一的概率被分配到安慰剂组。</w:t>
      </w:r>
    </w:p>
    <w:p>
      <w:pPr>
        <w:pStyle w:val="BodyText"/>
      </w:pPr>
      <w:r>
        <w:rPr>
          <w:rFonts w:hint="eastAsia"/>
        </w:rPr>
        <w:t xml:space="preserve">阿斯特里安的临床运营团队提议新增28家医院研究中心,以及8家设于租赁门诊场所的专门研究中心。医学团队则倾向于减少研究中心数量,但提高其经验水平。一个患者倡导团体则主张提供家庭护理、交通协助和远程评估。每种方案都会改变预期的招募速度、数据的一致性,以及研究的成本。</w:t>
      </w:r>
    </w:p>
    <w:bookmarkStart w:id="13" w:name="展示材料3.-招募漏斗与研究中心表现"/>
    <w:p>
      <w:pPr>
        <w:pStyle w:val="Heading2"/>
      </w:pPr>
      <w:r>
        <w:rPr>
          <w:rFonts w:hint="eastAsia"/>
        </w:rPr>
        <w:t xml:space="preserve">展示材料3.</w:t>
      </w:r>
      <w:r>
        <w:t xml:space="preserve"> </w:t>
      </w:r>
      <w:r>
        <w:rPr>
          <w:rFonts w:hint="eastAsia"/>
        </w:rPr>
        <w:t xml:space="preserve">招募漏斗与研究中心表现</w:t>
      </w:r>
    </w:p>
    <w:tbl>
      <w:tblPr>
        <w:tblStyle w:val="Table"/>
        <w:tblW w:type="pct" w:w="4882"/>
        <w:tblLayout w:type="fixed"/>
        <w:tblLook w:firstRow="1" w:lastRow="0" w:firstColumn="0" w:lastColumn="0" w:noHBand="0" w:noVBand="0" w:val="0020"/>
      </w:tblPr>
      <w:tblGrid>
        <w:gridCol w:w="4006"/>
        <w:gridCol w:w="1490"/>
        <w:gridCol w:w="2236"/>
      </w:tblGrid>
      <w:tr>
        <w:trPr>
          <w:tblHeader w:val="on"/>
        </w:trPr>
        <w:tc>
          <w:tcPr/>
          <w:p>
            <w:pPr>
              <w:pStyle w:val="Compact"/>
              <w:jc w:val="left"/>
            </w:pPr>
            <w:r>
              <w:rPr>
                <w:rFonts w:hint="eastAsia"/>
              </w:rPr>
              <w:t xml:space="preserve">活动</w:t>
            </w:r>
          </w:p>
        </w:tc>
        <w:tc>
          <w:tcPr/>
          <w:p>
            <w:pPr>
              <w:pStyle w:val="Compact"/>
              <w:jc w:val="right"/>
            </w:pPr>
            <w:r>
              <w:rPr>
                <w:rFonts w:hint="eastAsia"/>
              </w:rPr>
              <w:t xml:space="preserve">自启动以来累计</w:t>
            </w:r>
          </w:p>
        </w:tc>
        <w:tc>
          <w:tcPr/>
          <w:p>
            <w:pPr>
              <w:pStyle w:val="Compact"/>
              <w:jc w:val="center"/>
            </w:pPr>
            <w:r>
              <w:rPr>
                <w:rFonts w:hint="eastAsia"/>
              </w:rPr>
              <w:t xml:space="preserve">占上一环节的百分比</w:t>
            </w:r>
          </w:p>
        </w:tc>
      </w:tr>
      <w:tr>
        <w:tc>
          <w:tcPr/>
          <w:p>
            <w:pPr>
              <w:pStyle w:val="Compact"/>
              <w:jc w:val="left"/>
            </w:pPr>
            <w:r>
              <w:rPr>
                <w:rFonts w:hint="eastAsia"/>
              </w:rPr>
              <w:t xml:space="preserve">初步识别的患者档案</w:t>
            </w:r>
          </w:p>
        </w:tc>
        <w:tc>
          <w:tcPr/>
          <w:p>
            <w:pPr>
              <w:pStyle w:val="Compact"/>
              <w:jc w:val="right"/>
            </w:pPr>
            <w:r>
              <w:t xml:space="preserve">4,860</w:t>
            </w:r>
          </w:p>
        </w:tc>
        <w:tc>
          <w:tcPr/>
          <w:p>
            <w:pPr>
              <w:pStyle w:val="Compact"/>
              <w:jc w:val="center"/>
            </w:pPr>
            <w:r>
              <w:t xml:space="preserve">—</w:t>
            </w:r>
          </w:p>
        </w:tc>
      </w:tr>
      <w:tr>
        <w:tc>
          <w:tcPr/>
          <w:p>
            <w:pPr>
              <w:pStyle w:val="Compact"/>
              <w:jc w:val="left"/>
            </w:pPr>
            <w:r>
              <w:rPr>
                <w:rFonts w:hint="eastAsia"/>
              </w:rPr>
              <w:t xml:space="preserve">已联系或转诊的患者</w:t>
            </w:r>
          </w:p>
        </w:tc>
        <w:tc>
          <w:tcPr/>
          <w:p>
            <w:pPr>
              <w:pStyle w:val="Compact"/>
              <w:jc w:val="right"/>
            </w:pPr>
            <w:r>
              <w:t xml:space="preserve">1,940</w:t>
            </w:r>
          </w:p>
        </w:tc>
        <w:tc>
          <w:tcPr/>
          <w:p>
            <w:pPr>
              <w:pStyle w:val="Compact"/>
              <w:jc w:val="center"/>
            </w:pPr>
            <w:r>
              <w:t xml:space="preserve">40%</w:t>
            </w:r>
          </w:p>
        </w:tc>
      </w:tr>
      <w:tr>
        <w:tc>
          <w:tcPr/>
          <w:p>
            <w:pPr>
              <w:pStyle w:val="Compact"/>
              <w:jc w:val="left"/>
            </w:pPr>
            <w:r>
              <w:rPr>
                <w:rFonts w:hint="eastAsia"/>
              </w:rPr>
              <w:t xml:space="preserve">同意接受筛查的患者</w:t>
            </w:r>
          </w:p>
        </w:tc>
        <w:tc>
          <w:tcPr/>
          <w:p>
            <w:pPr>
              <w:pStyle w:val="Compact"/>
              <w:jc w:val="right"/>
            </w:pPr>
            <w:r>
              <w:t xml:space="preserve">612</w:t>
            </w:r>
          </w:p>
        </w:tc>
        <w:tc>
          <w:tcPr/>
          <w:p>
            <w:pPr>
              <w:pStyle w:val="Compact"/>
              <w:jc w:val="center"/>
            </w:pPr>
            <w:r>
              <w:t xml:space="preserve">32%</w:t>
            </w:r>
          </w:p>
        </w:tc>
      </w:tr>
      <w:tr>
        <w:tc>
          <w:tcPr/>
          <w:p>
            <w:pPr>
              <w:pStyle w:val="Compact"/>
              <w:jc w:val="left"/>
            </w:pPr>
            <w:r>
              <w:rPr>
                <w:rFonts w:hint="eastAsia"/>
              </w:rPr>
              <w:t xml:space="preserve">符合入选标准的患者</w:t>
            </w:r>
          </w:p>
        </w:tc>
        <w:tc>
          <w:tcPr/>
          <w:p>
            <w:pPr>
              <w:pStyle w:val="Compact"/>
              <w:jc w:val="right"/>
            </w:pPr>
            <w:r>
              <w:t xml:space="preserve">274</w:t>
            </w:r>
          </w:p>
        </w:tc>
        <w:tc>
          <w:tcPr/>
          <w:p>
            <w:pPr>
              <w:pStyle w:val="Compact"/>
              <w:jc w:val="center"/>
            </w:pPr>
            <w:r>
              <w:t xml:space="preserve">45%</w:t>
            </w:r>
          </w:p>
        </w:tc>
      </w:tr>
      <w:tr>
        <w:tc>
          <w:tcPr/>
          <w:p>
            <w:pPr>
              <w:pStyle w:val="Compact"/>
              <w:jc w:val="left"/>
            </w:pPr>
            <w:r>
              <w:rPr>
                <w:rFonts w:hint="eastAsia"/>
              </w:rPr>
              <w:t xml:space="preserve">已随机化的患者</w:t>
            </w:r>
          </w:p>
        </w:tc>
        <w:tc>
          <w:tcPr/>
          <w:p>
            <w:pPr>
              <w:pStyle w:val="Compact"/>
              <w:jc w:val="right"/>
            </w:pPr>
            <w:r>
              <w:t xml:space="preserve">186</w:t>
            </w:r>
          </w:p>
        </w:tc>
        <w:tc>
          <w:tcPr/>
          <w:p>
            <w:pPr>
              <w:pStyle w:val="Compact"/>
              <w:jc w:val="center"/>
            </w:pPr>
            <w:r>
              <w:t xml:space="preserve">68%</w:t>
            </w:r>
          </w:p>
        </w:tc>
      </w:tr>
      <w:tr>
        <w:tc>
          <w:tcPr/>
          <w:p>
            <w:pPr>
              <w:pStyle w:val="Compact"/>
              <w:jc w:val="left"/>
            </w:pPr>
            <w:r>
              <w:rPr>
                <w:rFonts w:hint="eastAsia"/>
              </w:rPr>
              <w:t xml:space="preserve">完成24周的患者</w:t>
            </w:r>
          </w:p>
        </w:tc>
        <w:tc>
          <w:tcPr/>
          <w:p>
            <w:pPr>
              <w:pStyle w:val="Compact"/>
              <w:jc w:val="right"/>
            </w:pPr>
            <w:r>
              <w:t xml:space="preserve">151</w:t>
            </w:r>
          </w:p>
        </w:tc>
        <w:tc>
          <w:tcPr/>
          <w:p>
            <w:pPr>
              <w:pStyle w:val="Compact"/>
              <w:jc w:val="center"/>
            </w:pPr>
            <w:r>
              <w:rPr>
                <w:rFonts w:hint="eastAsia"/>
              </w:rPr>
              <w:t xml:space="preserve">随机化患者的81%</w:t>
            </w:r>
          </w:p>
        </w:tc>
      </w:tr>
    </w:tbl>
    <w:p>
      <w:pPr>
        <w:pStyle w:val="BodyText"/>
      </w:pPr>
      <w:r>
        <w:rPr>
          <w:rFonts w:hint="eastAsia"/>
        </w:rPr>
        <w:t xml:space="preserve">公司的研究中心层面数据同样参差不齐。有六家研究中心一名患者也未招募到,而四家大型中心却贡献了整个试验38%的患者。扩大研究网络可以提高可及性,但新的研究中心在首名患者入组之前,需要经过合同签署、伦理审查、培训、药物运输和实验室认证等一系列流程,还需要接受监测。</w:t>
      </w:r>
    </w:p>
    <w:bookmarkEnd w:id="13"/>
    <w:bookmarkEnd w:id="14"/>
    <w:bookmarkStart w:id="16" w:name="四条前行路径"/>
    <w:p>
      <w:pPr>
        <w:pStyle w:val="Heading1"/>
      </w:pPr>
      <w:r>
        <w:rPr>
          <w:rFonts w:hint="eastAsia"/>
        </w:rPr>
        <w:t xml:space="preserve">四条前行路径</w:t>
      </w:r>
    </w:p>
    <w:p>
      <w:pPr>
        <w:pStyle w:val="FirstParagraph"/>
      </w:pPr>
      <w:r>
        <w:rPr>
          <w:rFonts w:hint="eastAsia"/>
        </w:rPr>
        <w:t xml:space="preserve">陈的团队提出了四条大致的路径。第一条是在不做重大改动的情况下完成现有的IIb期研究,利用剩余患者来厘清剂量和安全性模式。这是近期成本最低的选择,但会将关键性决策推迟约九个月。</w:t>
      </w:r>
    </w:p>
    <w:p>
      <w:pPr>
        <w:pStyle w:val="BodyText"/>
      </w:pPr>
      <w:r>
        <w:rPr>
          <w:rFonts w:hint="eastAsia"/>
        </w:rPr>
        <w:t xml:space="preserve">第二条路径是立即启动一项大规模的III期项目,采用低剂量并覆盖广泛的患者人群。速度可以保住专利寿命和生产能力,但阿斯特里安将在最终的IIb期结果出炉之前就投入大量资金。</w:t>
      </w:r>
    </w:p>
    <w:p>
      <w:pPr>
        <w:pStyle w:val="BodyText"/>
      </w:pPr>
      <w:r>
        <w:rPr>
          <w:rFonts w:hint="eastAsia"/>
        </w:rPr>
        <w:t xml:space="preserve">第三条路径是一项适应性关键性试验,可以在中期审查后调整预先设定的患者组别之间的招募分配。这种设计可以在推进过程中不断学习,但向研究者、监管机构和投资者解释起来会更复杂。统计误差或操作上的不一致可能会削弱这种灵活性所带来的价值。</w:t>
      </w:r>
    </w:p>
    <w:p>
      <w:pPr>
        <w:pStyle w:val="BodyText"/>
      </w:pPr>
      <w:r>
        <w:rPr>
          <w:rFonts w:hint="eastAsia"/>
        </w:rPr>
        <w:t xml:space="preserve">第四条路径是针对近期确诊患者开展一项规模较小的验证性研究,同时寻找制药合作伙伴。这可以降低阿斯特里安的财务风险敞口,但合作伙伴可能会要求控制权、在尽职调查期间拖延项目,或者在看到高剂量组模糊不清的安全性数据后对该资产的估值降低。</w:t>
      </w:r>
    </w:p>
    <w:bookmarkStart w:id="15" w:name="展示材料4.-提交给董事会的开发方案"/>
    <w:p>
      <w:pPr>
        <w:pStyle w:val="Heading2"/>
      </w:pPr>
      <w:r>
        <w:rPr>
          <w:rFonts w:hint="eastAsia"/>
        </w:rPr>
        <w:t xml:space="preserve">展示材料4.</w:t>
      </w:r>
      <w:r>
        <w:t xml:space="preserve"> </w:t>
      </w:r>
      <w:r>
        <w:rPr>
          <w:rFonts w:hint="eastAsia"/>
        </w:rPr>
        <w:t xml:space="preserve">提交给董事会的开发方案</w:t>
      </w:r>
    </w:p>
    <w:tbl>
      <w:tblPr>
        <w:tblStyle w:val="Table"/>
        <w:tblW w:type="pct" w:w="4936"/>
        <w:tblLayout w:type="fixed"/>
        <w:tblLook w:firstRow="1" w:lastRow="0" w:firstColumn="0" w:lastColumn="0" w:noHBand="0" w:noVBand="0" w:val="0020"/>
      </w:tblPr>
      <w:tblGrid>
        <w:gridCol w:w="1816"/>
        <w:gridCol w:w="2270"/>
        <w:gridCol w:w="1513"/>
        <w:gridCol w:w="2219"/>
      </w:tblGrid>
      <w:tr>
        <w:trPr>
          <w:tblHeader w:val="on"/>
        </w:trPr>
        <w:tc>
          <w:tcPr/>
          <w:p>
            <w:pPr>
              <w:pStyle w:val="Compact"/>
              <w:jc w:val="left"/>
            </w:pPr>
            <w:r>
              <w:rPr>
                <w:rFonts w:hint="eastAsia"/>
              </w:rPr>
              <w:t xml:space="preserve">方案</w:t>
            </w:r>
          </w:p>
        </w:tc>
        <w:tc>
          <w:tcPr/>
          <w:p>
            <w:pPr>
              <w:pStyle w:val="Compact"/>
              <w:jc w:val="center"/>
            </w:pPr>
            <w:r>
              <w:rPr>
                <w:rFonts w:hint="eastAsia"/>
              </w:rPr>
              <w:t xml:space="preserve">下一次重大决策前的额外成本</w:t>
            </w:r>
          </w:p>
        </w:tc>
        <w:tc>
          <w:tcPr/>
          <w:p>
            <w:pPr>
              <w:pStyle w:val="Compact"/>
              <w:jc w:val="center"/>
            </w:pPr>
            <w:r>
              <w:rPr>
                <w:rFonts w:hint="eastAsia"/>
              </w:rPr>
              <w:t xml:space="preserve">距下一次重大决策的时间</w:t>
            </w:r>
          </w:p>
        </w:tc>
        <w:tc>
          <w:tcPr/>
          <w:p>
            <w:pPr>
              <w:pStyle w:val="Compact"/>
              <w:jc w:val="center"/>
            </w:pPr>
            <w:r>
              <w:rPr>
                <w:rFonts w:hint="eastAsia"/>
              </w:rPr>
              <w:t xml:space="preserve">所选风险敞口</w:t>
            </w:r>
          </w:p>
        </w:tc>
      </w:tr>
      <w:tr>
        <w:tc>
          <w:tcPr/>
          <w:p>
            <w:pPr>
              <w:pStyle w:val="Compact"/>
              <w:jc w:val="left"/>
            </w:pPr>
            <w:r>
              <w:rPr>
                <w:rFonts w:hint="eastAsia"/>
              </w:rPr>
              <w:t xml:space="preserve">按计划完成IIb期</w:t>
            </w:r>
          </w:p>
        </w:tc>
        <w:tc>
          <w:tcPr/>
          <w:p>
            <w:pPr>
              <w:pStyle w:val="Compact"/>
              <w:jc w:val="center"/>
            </w:pPr>
            <w:r>
              <w:rPr>
                <w:rFonts w:hint="eastAsia"/>
              </w:rPr>
              <w:t xml:space="preserve">3,800万美元</w:t>
            </w:r>
          </w:p>
        </w:tc>
        <w:tc>
          <w:tcPr/>
          <w:p>
            <w:pPr>
              <w:pStyle w:val="Compact"/>
              <w:jc w:val="center"/>
            </w:pPr>
            <w:r>
              <w:rPr>
                <w:rFonts w:hint="eastAsia"/>
              </w:rPr>
              <w:t xml:space="preserve">9个月</w:t>
            </w:r>
          </w:p>
        </w:tc>
        <w:tc>
          <w:tcPr/>
          <w:p>
            <w:pPr>
              <w:pStyle w:val="Compact"/>
              <w:jc w:val="center"/>
            </w:pPr>
            <w:r>
              <w:rPr>
                <w:rFonts w:hint="eastAsia"/>
              </w:rPr>
              <w:t xml:space="preserve">竞争对手压力和专利延迟</w:t>
            </w:r>
          </w:p>
        </w:tc>
      </w:tr>
      <w:tr>
        <w:tc>
          <w:tcPr/>
          <w:p>
            <w:pPr>
              <w:pStyle w:val="Compact"/>
              <w:jc w:val="left"/>
            </w:pPr>
            <w:r>
              <w:rPr>
                <w:rFonts w:hint="eastAsia"/>
              </w:rPr>
              <w:t xml:space="preserve">启动广泛III期</w:t>
            </w:r>
          </w:p>
        </w:tc>
        <w:tc>
          <w:tcPr/>
          <w:p>
            <w:pPr>
              <w:pStyle w:val="Compact"/>
              <w:jc w:val="center"/>
            </w:pPr>
            <w:r>
              <w:rPr>
                <w:rFonts w:hint="eastAsia"/>
              </w:rPr>
              <w:t xml:space="preserve">2.86亿美元</w:t>
            </w:r>
          </w:p>
        </w:tc>
        <w:tc>
          <w:tcPr/>
          <w:p>
            <w:pPr>
              <w:pStyle w:val="Compact"/>
              <w:jc w:val="center"/>
            </w:pPr>
            <w:r>
              <w:rPr>
                <w:rFonts w:hint="eastAsia"/>
              </w:rPr>
              <w:t xml:space="preserve">30–38个月</w:t>
            </w:r>
          </w:p>
        </w:tc>
        <w:tc>
          <w:tcPr/>
          <w:p>
            <w:pPr>
              <w:pStyle w:val="Compact"/>
              <w:jc w:val="center"/>
            </w:pPr>
            <w:r>
              <w:rPr>
                <w:rFonts w:hint="eastAsia"/>
              </w:rPr>
              <w:t xml:space="preserve">在证据不完整的情况下做出重大投入承诺</w:t>
            </w:r>
          </w:p>
        </w:tc>
      </w:tr>
      <w:tr>
        <w:tc>
          <w:tcPr/>
          <w:p>
            <w:pPr>
              <w:pStyle w:val="Compact"/>
              <w:jc w:val="left"/>
            </w:pPr>
            <w:r>
              <w:rPr>
                <w:rFonts w:hint="eastAsia"/>
              </w:rPr>
              <w:t xml:space="preserve">适应性关键性项目</w:t>
            </w:r>
          </w:p>
        </w:tc>
        <w:tc>
          <w:tcPr/>
          <w:p>
            <w:pPr>
              <w:pStyle w:val="Compact"/>
              <w:jc w:val="center"/>
            </w:pPr>
            <w:r>
              <w:rPr>
                <w:rFonts w:hint="eastAsia"/>
              </w:rPr>
              <w:t xml:space="preserve">2.44亿美元</w:t>
            </w:r>
          </w:p>
        </w:tc>
        <w:tc>
          <w:tcPr/>
          <w:p>
            <w:pPr>
              <w:pStyle w:val="Compact"/>
              <w:jc w:val="center"/>
            </w:pPr>
            <w:r>
              <w:rPr>
                <w:rFonts w:hint="eastAsia"/>
              </w:rPr>
              <w:t xml:space="preserve">24–34个月</w:t>
            </w:r>
          </w:p>
        </w:tc>
        <w:tc>
          <w:tcPr/>
          <w:p>
            <w:pPr>
              <w:pStyle w:val="Compact"/>
              <w:jc w:val="center"/>
            </w:pPr>
            <w:r>
              <w:rPr>
                <w:rFonts w:hint="eastAsia"/>
              </w:rPr>
              <w:t xml:space="preserve">设计与监管复杂性</w:t>
            </w:r>
          </w:p>
        </w:tc>
      </w:tr>
      <w:tr>
        <w:tc>
          <w:tcPr/>
          <w:p>
            <w:pPr>
              <w:pStyle w:val="Compact"/>
              <w:jc w:val="left"/>
            </w:pPr>
            <w:r>
              <w:rPr>
                <w:rFonts w:hint="eastAsia"/>
              </w:rPr>
              <w:t xml:space="preserve">聚焦研究加寻找合作伙伴</w:t>
            </w:r>
          </w:p>
        </w:tc>
        <w:tc>
          <w:tcPr/>
          <w:p>
            <w:pPr>
              <w:pStyle w:val="Compact"/>
              <w:jc w:val="center"/>
            </w:pPr>
            <w:r>
              <w:rPr>
                <w:rFonts w:hint="eastAsia"/>
              </w:rPr>
              <w:t xml:space="preserve">7,400万美元</w:t>
            </w:r>
          </w:p>
        </w:tc>
        <w:tc>
          <w:tcPr/>
          <w:p>
            <w:pPr>
              <w:pStyle w:val="Compact"/>
              <w:jc w:val="center"/>
            </w:pPr>
            <w:r>
              <w:rPr>
                <w:rFonts w:hint="eastAsia"/>
              </w:rPr>
              <w:t xml:space="preserve">12–18个月</w:t>
            </w:r>
          </w:p>
        </w:tc>
        <w:tc>
          <w:tcPr/>
          <w:p>
            <w:pPr>
              <w:pStyle w:val="Compact"/>
              <w:jc w:val="center"/>
            </w:pPr>
            <w:r>
              <w:rPr>
                <w:rFonts w:hint="eastAsia"/>
              </w:rPr>
              <w:t xml:space="preserve">市场规模较小;失去控制权</w:t>
            </w:r>
          </w:p>
        </w:tc>
      </w:tr>
    </w:tbl>
    <w:bookmarkEnd w:id="15"/>
    <w:bookmarkEnd w:id="16"/>
    <w:bookmarkStart w:id="18" w:name="商业问题"/>
    <w:p>
      <w:pPr>
        <w:pStyle w:val="Heading1"/>
      </w:pPr>
      <w:r>
        <w:rPr>
          <w:rFonts w:hint="eastAsia"/>
        </w:rPr>
        <w:t xml:space="preserve">商业问题</w:t>
      </w:r>
    </w:p>
    <w:p>
      <w:pPr>
        <w:pStyle w:val="FirstParagraph"/>
      </w:pPr>
      <w:r>
        <w:rPr>
          <w:rFonts w:hint="eastAsia"/>
        </w:rPr>
        <w:t xml:space="preserve">即使试验成功,也无法解决商业问题。现有疗法为口服给药,而AST-417则需要每四周输注一次,并需要冷链配送。阿斯特里安估计,在扣除销售、返利、患者援助和上市后研究费用之前,制造、包装、冷链配送和给药支持每年每位接受治疗患者的成本约为14,600美元。公司访谈的医生对减缓疾病进展的可能性表示欢迎,但许多人表示,他们只会将输注疗法留给那些其他简单疗法已经失败的患者。</w:t>
      </w:r>
    </w:p>
    <w:p>
      <w:pPr>
        <w:pStyle w:val="BodyText"/>
      </w:pPr>
      <w:r>
        <w:rPr>
          <w:rFonts w:hint="eastAsia"/>
        </w:rPr>
        <w:t xml:space="preserve">商业预测的范围从保守情形下年销售峰值4.2亿美元,到超过18亿美元不等。这一范围取决于获批的患者人群、定价、医生接受度、保险公司的限制、竞争对手的结果,以及该疗法是减少住院率还是仅仅改善某项实验室指标。阿斯特里安的财务负责人警告称,公司可能会花费数亿美元去证明一种具有统计学显著性的效果,而市场却未必会对此给予高度重视。</w:t>
      </w:r>
    </w:p>
    <w:bookmarkStart w:id="17" w:name="展示材料5.-商业价值的部分来源"/>
    <w:p>
      <w:pPr>
        <w:pStyle w:val="Heading2"/>
      </w:pPr>
      <w:r>
        <w:rPr>
          <w:rFonts w:hint="eastAsia"/>
        </w:rPr>
        <w:t xml:space="preserve">展示材料5.</w:t>
      </w:r>
      <w:r>
        <w:t xml:space="preserve"> </w:t>
      </w:r>
      <w:r>
        <w:rPr>
          <w:rFonts w:hint="eastAsia"/>
        </w:rPr>
        <w:t xml:space="preserve">商业价值的部分来源</w:t>
      </w:r>
    </w:p>
    <w:tbl>
      <w:tblPr>
        <w:tblStyle w:val="Table"/>
        <w:tblW w:type="pct" w:w="4875"/>
        <w:tblLayout w:type="fixed"/>
        <w:tblLook w:firstRow="1" w:lastRow="0" w:firstColumn="0" w:lastColumn="0" w:noHBand="0" w:noVBand="0" w:val="0020"/>
      </w:tblPr>
      <w:tblGrid>
        <w:gridCol w:w="3762"/>
        <w:gridCol w:w="1980"/>
        <w:gridCol w:w="1980"/>
      </w:tblGrid>
      <w:tr>
        <w:trPr>
          <w:tblHeader w:val="on"/>
        </w:trPr>
        <w:tc>
          <w:tcPr/>
          <w:p>
            <w:pPr>
              <w:pStyle w:val="Compact"/>
              <w:jc w:val="left"/>
            </w:pPr>
            <w:r>
              <w:rPr>
                <w:rFonts w:hint="eastAsia"/>
              </w:rPr>
              <w:t xml:space="preserve">假设条件</w:t>
            </w:r>
          </w:p>
        </w:tc>
        <w:tc>
          <w:tcPr/>
          <w:p>
            <w:pPr>
              <w:pStyle w:val="Compact"/>
              <w:jc w:val="center"/>
            </w:pPr>
            <w:r>
              <w:rPr>
                <w:rFonts w:hint="eastAsia"/>
              </w:rPr>
              <w:t xml:space="preserve">保守情形</w:t>
            </w:r>
          </w:p>
        </w:tc>
        <w:tc>
          <w:tcPr/>
          <w:p>
            <w:pPr>
              <w:pStyle w:val="Compact"/>
              <w:jc w:val="center"/>
            </w:pPr>
            <w:r>
              <w:rPr>
                <w:rFonts w:hint="eastAsia"/>
              </w:rPr>
              <w:t xml:space="preserve">乐观情形</w:t>
            </w:r>
          </w:p>
        </w:tc>
      </w:tr>
      <w:tr>
        <w:tc>
          <w:tcPr/>
          <w:p>
            <w:pPr>
              <w:pStyle w:val="Compact"/>
              <w:jc w:val="left"/>
            </w:pPr>
            <w:r>
              <w:rPr>
                <w:rFonts w:hint="eastAsia"/>
              </w:rPr>
              <w:t xml:space="preserve">美国可触达患者人数</w:t>
            </w:r>
          </w:p>
        </w:tc>
        <w:tc>
          <w:tcPr/>
          <w:p>
            <w:pPr>
              <w:pStyle w:val="Compact"/>
              <w:jc w:val="center"/>
            </w:pPr>
            <w:r>
              <w:t xml:space="preserve">24,000</w:t>
            </w:r>
          </w:p>
        </w:tc>
        <w:tc>
          <w:tcPr/>
          <w:p>
            <w:pPr>
              <w:pStyle w:val="Compact"/>
              <w:jc w:val="center"/>
            </w:pPr>
            <w:r>
              <w:t xml:space="preserve">68,000</w:t>
            </w:r>
          </w:p>
        </w:tc>
      </w:tr>
      <w:tr>
        <w:tc>
          <w:tcPr/>
          <w:p>
            <w:pPr>
              <w:pStyle w:val="Compact"/>
              <w:jc w:val="left"/>
            </w:pPr>
            <w:r>
              <w:rPr>
                <w:rFonts w:hint="eastAsia"/>
              </w:rPr>
              <w:t xml:space="preserve">峰值时接受治疗的比例</w:t>
            </w:r>
          </w:p>
        </w:tc>
        <w:tc>
          <w:tcPr/>
          <w:p>
            <w:pPr>
              <w:pStyle w:val="Compact"/>
              <w:jc w:val="center"/>
            </w:pPr>
            <w:r>
              <w:t xml:space="preserve">12%</w:t>
            </w:r>
          </w:p>
        </w:tc>
        <w:tc>
          <w:tcPr/>
          <w:p>
            <w:pPr>
              <w:pStyle w:val="Compact"/>
              <w:jc w:val="center"/>
            </w:pPr>
            <w:r>
              <w:t xml:space="preserve">28%</w:t>
            </w:r>
          </w:p>
        </w:tc>
      </w:tr>
      <w:tr>
        <w:tc>
          <w:tcPr/>
          <w:p>
            <w:pPr>
              <w:pStyle w:val="Compact"/>
              <w:jc w:val="left"/>
            </w:pPr>
            <w:r>
              <w:rPr>
                <w:rFonts w:hint="eastAsia"/>
              </w:rPr>
              <w:t xml:space="preserve">每位患者年净收入</w:t>
            </w:r>
          </w:p>
        </w:tc>
        <w:tc>
          <w:tcPr/>
          <w:p>
            <w:pPr>
              <w:pStyle w:val="Compact"/>
              <w:jc w:val="center"/>
            </w:pPr>
            <w:r>
              <w:rPr>
                <w:rFonts w:hint="eastAsia"/>
              </w:rPr>
              <w:t xml:space="preserve">72,000美元</w:t>
            </w:r>
          </w:p>
        </w:tc>
        <w:tc>
          <w:tcPr/>
          <w:p>
            <w:pPr>
              <w:pStyle w:val="Compact"/>
              <w:jc w:val="center"/>
            </w:pPr>
            <w:r>
              <w:rPr>
                <w:rFonts w:hint="eastAsia"/>
              </w:rPr>
              <w:t xml:space="preserve">94,000美元</w:t>
            </w:r>
          </w:p>
        </w:tc>
      </w:tr>
      <w:tr>
        <w:tc>
          <w:tcPr/>
          <w:p>
            <w:pPr>
              <w:pStyle w:val="Compact"/>
              <w:jc w:val="left"/>
            </w:pPr>
            <w:r>
              <w:rPr>
                <w:rFonts w:hint="eastAsia"/>
              </w:rPr>
              <w:t xml:space="preserve">上市后年停药率</w:t>
            </w:r>
          </w:p>
        </w:tc>
        <w:tc>
          <w:tcPr/>
          <w:p>
            <w:pPr>
              <w:pStyle w:val="Compact"/>
              <w:jc w:val="center"/>
            </w:pPr>
            <w:r>
              <w:t xml:space="preserve">29%</w:t>
            </w:r>
          </w:p>
        </w:tc>
        <w:tc>
          <w:tcPr/>
          <w:p>
            <w:pPr>
              <w:pStyle w:val="Compact"/>
              <w:jc w:val="center"/>
            </w:pPr>
            <w:r>
              <w:t xml:space="preserve">14%</w:t>
            </w:r>
          </w:p>
        </w:tc>
      </w:tr>
      <w:tr>
        <w:tc>
          <w:tcPr/>
          <w:p>
            <w:pPr>
              <w:pStyle w:val="Compact"/>
              <w:jc w:val="left"/>
            </w:pPr>
            <w:r>
              <w:rPr>
                <w:rFonts w:hint="eastAsia"/>
              </w:rPr>
              <w:t xml:space="preserve">从关键性试验启动到获批的时间</w:t>
            </w:r>
          </w:p>
        </w:tc>
        <w:tc>
          <w:tcPr/>
          <w:p>
            <w:pPr>
              <w:pStyle w:val="Compact"/>
              <w:jc w:val="center"/>
            </w:pPr>
            <w:r>
              <w:rPr>
                <w:rFonts w:hint="eastAsia"/>
              </w:rPr>
              <w:t xml:space="preserve">5.0年</w:t>
            </w:r>
          </w:p>
        </w:tc>
        <w:tc>
          <w:tcPr/>
          <w:p>
            <w:pPr>
              <w:pStyle w:val="Compact"/>
              <w:jc w:val="center"/>
            </w:pPr>
            <w:r>
              <w:rPr>
                <w:rFonts w:hint="eastAsia"/>
              </w:rPr>
              <w:t xml:space="preserve">3.6年</w:t>
            </w:r>
          </w:p>
        </w:tc>
      </w:tr>
      <w:tr>
        <w:tc>
          <w:tcPr/>
          <w:p>
            <w:pPr>
              <w:pStyle w:val="Compact"/>
              <w:jc w:val="left"/>
            </w:pPr>
            <w:r>
              <w:rPr>
                <w:rFonts w:hint="eastAsia"/>
              </w:rPr>
              <w:t xml:space="preserve">峰值年销售额估计</w:t>
            </w:r>
          </w:p>
        </w:tc>
        <w:tc>
          <w:tcPr/>
          <w:p>
            <w:pPr>
              <w:pStyle w:val="Compact"/>
              <w:jc w:val="center"/>
            </w:pPr>
            <w:r>
              <w:rPr>
                <w:rFonts w:hint="eastAsia"/>
              </w:rPr>
              <w:t xml:space="preserve">4.2亿美元</w:t>
            </w:r>
          </w:p>
        </w:tc>
        <w:tc>
          <w:tcPr/>
          <w:p>
            <w:pPr>
              <w:pStyle w:val="Compact"/>
              <w:jc w:val="center"/>
            </w:pPr>
            <w:r>
              <w:rPr>
                <w:rFonts w:hint="eastAsia"/>
              </w:rPr>
              <w:t xml:space="preserve">18亿美元</w:t>
            </w:r>
          </w:p>
        </w:tc>
      </w:tr>
    </w:tbl>
    <w:bookmarkEnd w:id="17"/>
    <w:bookmarkEnd w:id="18"/>
    <w:bookmarkStart w:id="19" w:name="星期四的董事会会议"/>
    <w:p>
      <w:pPr>
        <w:pStyle w:val="Heading1"/>
      </w:pPr>
      <w:r>
        <w:rPr>
          <w:rFonts w:hint="eastAsia"/>
        </w:rPr>
        <w:t xml:space="preserve">星期四的董事会会议</w:t>
      </w:r>
    </w:p>
    <w:p>
      <w:pPr>
        <w:pStyle w:val="FirstParagraph"/>
      </w:pPr>
      <w:r>
        <w:rPr>
          <w:rFonts w:hint="eastAsia"/>
        </w:rPr>
        <w:t xml:space="preserve">董事会材料需在星期四提交。陈必须提出一条开发路径、一个目标患者人群、一个剂量方案、一项研究中心策略,以及一种融资态度的建议。她还必须明确,在未来的审查中,什么样的证据将促使阿斯特里安停止、继续、缩小,或加速该项目。多位董事希望得到一个明确的答案。陈认为,现有证据可以支持几种站得住脚的答案,但每一种都会使公司暴露于不同形式的失败风险之中。</w:t>
      </w:r>
    </w:p>
    <w:p>
      <w:pPr>
        <w:pStyle w:val="BodyText"/>
      </w:pPr>
      <w:r>
        <w:rPr>
          <w:rFonts w:hint="eastAsia"/>
        </w:rPr>
        <w:t xml:space="preserve">完成当前试验可以换来信息,但会消耗时间。启动III期可以换来速度,但会占用资金。缩小患者人群或许能改善观察到的治疗效果,但会降低可及性并缩小市场规模。增开更多研究中心或许能改善招募情况,但会增加不一致性。寻求合作伙伴或许能保护资产负债表,但会让出大部分潜在收益。到星期三晚上,陈仍未决定阿斯特里安最能够承受哪一种不确定性。</w:t>
      </w:r>
    </w:p>
    <w:bookmarkEnd w:id="19"/>
    <w:bookmarkStart w:id="20" w:name="讨论题"/>
    <w:p>
      <w:pPr>
        <w:pStyle w:val="Heading1"/>
      </w:pPr>
      <w:r>
        <w:rPr>
          <w:rFonts w:hint="eastAsia"/>
        </w:rPr>
        <w:t xml:space="preserve">讨论题</w:t>
      </w:r>
    </w:p>
    <w:p>
      <w:pPr>
        <w:numPr>
          <w:ilvl w:val="0"/>
          <w:numId w:val="1001"/>
        </w:numPr>
      </w:pPr>
      <w:r>
        <w:rPr>
          <w:rFonts w:hint="eastAsia"/>
        </w:rPr>
        <w:t xml:space="preserve">陈在星期四的董事会会议上应当提出怎样的建议?</w:t>
      </w:r>
    </w:p>
    <w:p>
      <w:pPr>
        <w:numPr>
          <w:ilvl w:val="0"/>
          <w:numId w:val="1001"/>
        </w:numPr>
      </w:pPr>
      <w:r>
        <w:rPr>
          <w:rFonts w:hint="eastAsia"/>
        </w:rPr>
        <w:t xml:space="preserve">阿斯特里安应当如何解读较强的低剂量结果和参差不齐的高剂量反应?</w:t>
      </w:r>
    </w:p>
    <w:p>
      <w:pPr>
        <w:numPr>
          <w:ilvl w:val="0"/>
          <w:numId w:val="1001"/>
        </w:numPr>
      </w:pPr>
      <w:r>
        <w:rPr>
          <w:rFonts w:hint="eastAsia"/>
        </w:rPr>
        <w:t xml:space="preserve">下一项研究应当采用广泛的患者人群,还是聚焦于近期确诊的患者?</w:t>
      </w:r>
    </w:p>
    <w:p>
      <w:pPr>
        <w:numPr>
          <w:ilvl w:val="0"/>
          <w:numId w:val="1001"/>
        </w:numPr>
      </w:pPr>
      <w:r>
        <w:rPr>
          <w:rFonts w:hint="eastAsia"/>
        </w:rPr>
        <w:t xml:space="preserve">公司应当如何在招募速度与研究中心质量及数据一致性之间取得平衡?</w:t>
      </w:r>
    </w:p>
    <w:p>
      <w:pPr>
        <w:numPr>
          <w:ilvl w:val="0"/>
          <w:numId w:val="1001"/>
        </w:numPr>
      </w:pPr>
      <w:r>
        <w:rPr>
          <w:rFonts w:hint="eastAsia"/>
        </w:rPr>
        <w:t xml:space="preserve">在拟议的招募投资中,哪些最有可能产生有用的信息,而不仅仅是更多的活动量?</w:t>
      </w:r>
    </w:p>
    <w:p>
      <w:pPr>
        <w:numPr>
          <w:ilvl w:val="0"/>
          <w:numId w:val="1001"/>
        </w:numPr>
      </w:pPr>
      <w:r>
        <w:rPr>
          <w:rFonts w:hint="eastAsia"/>
        </w:rPr>
        <w:t xml:space="preserve">什么样的证据应当触发继续、扩大、重新设计、寻求合作或终止项目?</w:t>
      </w:r>
    </w:p>
    <w:p>
      <w:pPr>
        <w:numPr>
          <w:ilvl w:val="0"/>
          <w:numId w:val="1001"/>
        </w:numPr>
      </w:pPr>
      <w:r>
        <w:rPr>
          <w:rFonts w:hint="eastAsia"/>
        </w:rPr>
        <w:t xml:space="preserve">在独立委员会尚未建议停止研究的情况下,应当如何纳入安全信号的考量?</w:t>
      </w:r>
    </w:p>
    <w:p>
      <w:pPr>
        <w:numPr>
          <w:ilvl w:val="0"/>
          <w:numId w:val="1001"/>
        </w:numPr>
      </w:pPr>
      <w:r>
        <w:rPr>
          <w:rFonts w:hint="eastAsia"/>
        </w:rPr>
        <w:t xml:space="preserve">商业预测应在多大程度上影响临床项目的设计和是否继续?</w:t>
      </w:r>
    </w:p>
    <w:p>
      <w:pPr>
        <w:numPr>
          <w:ilvl w:val="0"/>
          <w:numId w:val="1001"/>
        </w:numPr>
      </w:pPr>
      <w:r>
        <w:rPr>
          <w:rFonts w:hint="eastAsia"/>
        </w:rPr>
        <w:t xml:space="preserve">在阿斯特里安承诺开展关键性试验之前,哪些信息将具有最大的价值?</w:t>
      </w:r>
    </w:p>
    <w:p>
      <w:pPr>
        <w:numPr>
          <w:ilvl w:val="0"/>
          <w:numId w:val="1001"/>
        </w:numPr>
      </w:pPr>
      <w:r>
        <w:rPr>
          <w:rFonts w:hint="eastAsia"/>
        </w:rPr>
        <w:t xml:space="preserve">管理层应当如何向患者、研究者、员工和投资者传达一个模棱两可的决策?</w:t>
      </w:r>
    </w:p>
    <w:bookmarkEnd w:id="20"/>
    <w:bookmarkStart w:id="27"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识别并描述决策者的职责。这应当界定问题的范围。</w:t>
      </w:r>
    </w:p>
    <w:p>
      <w:pPr>
        <w:numPr>
          <w:ilvl w:val="0"/>
          <w:numId w:val="1002"/>
        </w:numPr>
      </w:pPr>
      <w:r>
        <w:rPr>
          <w:rFonts w:hint="eastAsia"/>
        </w:rPr>
        <w:t xml:space="preserve">使用</w:t>
      </w:r>
      <w:hyperlink r:id="rId21">
        <w:r>
          <w:rPr>
            <w:rStyle w:val="Hyperlink"/>
            <w:rFonts w:hint="eastAsia"/>
          </w:rPr>
          <w:t xml:space="preserve">指标金字塔工具</w:t>
        </w:r>
      </w:hyperlink>
      <w:r>
        <w:rPr>
          <w:rFonts w:hint="eastAsia"/>
        </w:rPr>
        <w:t xml:space="preserve">来识别并排列不同绩效指标的优先级。点击承载该指标的椭圆形,以标明它是需要最大化的指标(绿色)、需要最小化的指标(红色)、作为下限的目标(浅绿色)、作为上限的目标(浅红色),还是最后一种目标(紫色)。</w:t>
      </w:r>
    </w:p>
    <w:p>
      <w:pPr>
        <w:numPr>
          <w:ilvl w:val="0"/>
          <w:numId w:val="1002"/>
        </w:numPr>
      </w:pPr>
      <w:r>
        <w:rPr>
          <w:rFonts w:hint="eastAsia"/>
        </w:rPr>
        <w:t xml:space="preserve">使用</w:t>
      </w:r>
      <w:hyperlink r:id="rId22">
        <w:r>
          <w:rPr>
            <w:rStyle w:val="Hyperlink"/>
            <w:rFonts w:hint="eastAsia"/>
          </w:rPr>
          <w:t xml:space="preserve">决策优先级排序工具</w:t>
        </w:r>
      </w:hyperlink>
      <w:r>
        <w:rPr>
          <w:rFonts w:hint="eastAsia"/>
        </w:rPr>
        <w:t xml:space="preserve">,首先列出不同类型的决策(可参考</w:t>
      </w:r>
      <w:hyperlink r:id="rId23">
        <w:r>
          <w:rPr>
            <w:rStyle w:val="Hyperlink"/>
            <w:rFonts w:hint="eastAsia"/>
          </w:rPr>
          <w:t xml:space="preserve">决策类型</w:t>
        </w:r>
      </w:hyperlink>
      <w:r>
        <w:rPr>
          <w:rFonts w:hint="eastAsia"/>
        </w:rPr>
        <w:t xml:space="preserve">作为指导)。这些决策随后将填入右侧矩阵的行,而矩阵的列则是根据上方金字塔中的优先级从左到右排列的绩效指标。点击每个单元格,标明该决策对每项指标的影响程度是高(红色)、中(橙色)、低(黄色)还是无(白色)。</w:t>
      </w:r>
    </w:p>
    <w:p>
      <w:pPr>
        <w:numPr>
          <w:ilvl w:val="0"/>
          <w:numId w:val="1002"/>
        </w:numPr>
      </w:pPr>
      <w:r>
        <w:rPr>
          <w:rFonts w:hint="eastAsia"/>
        </w:rPr>
        <w:t xml:space="preserve">你可以抓住每行最左侧的手柄(三条横线)将其上移或下移。对各行进行排序,使对最重要指标影响最大的决策位于顶部。左上角的单元格应当集中最多的红色和橙色单元格。此时,识别出在你的研究中应给予最多关注的决策。如果在最重要的指标上没有任何决策显示出中等或高等影响,请重新审视你的决策清单。</w:t>
      </w:r>
    </w:p>
    <w:p>
      <w:pPr>
        <w:numPr>
          <w:ilvl w:val="0"/>
          <w:numId w:val="1002"/>
        </w:numPr>
      </w:pPr>
      <w:r>
        <w:rPr>
          <w:rFonts w:hint="eastAsia"/>
        </w:rPr>
        <w:t xml:space="preserve">使用</w:t>
      </w:r>
      <w:hyperlink r:id="rId24">
        <w:r>
          <w:rPr>
            <w:rStyle w:val="Hyperlink"/>
            <w:rFonts w:hint="eastAsia"/>
          </w:rPr>
          <w:t xml:space="preserve">不确定性优先级排序工具</w:t>
        </w:r>
      </w:hyperlink>
      <w:r>
        <w:rPr>
          <w:rFonts w:hint="eastAsia"/>
        </w:rPr>
        <w:t xml:space="preserve">重复上述过程,列出并排列不确定性的优先级。使用</w:t>
      </w:r>
      <w:hyperlink r:id="rId25">
        <w:r>
          <w:rPr>
            <w:rStyle w:val="Hyperlink"/>
            <w:rFonts w:hint="eastAsia"/>
          </w:rPr>
          <w:t xml:space="preserve">不确定性的类别</w:t>
        </w:r>
      </w:hyperlink>
      <w:r>
        <w:rPr>
          <w:rFonts w:hint="eastAsia"/>
        </w:rPr>
        <w:t xml:space="preserve">来帮助你识别这些不确定性。</w:t>
      </w:r>
    </w:p>
    <w:p>
      <w:pPr>
        <w:numPr>
          <w:ilvl w:val="0"/>
          <w:numId w:val="1002"/>
        </w:numPr>
      </w:pPr>
      <w:r>
        <w:rPr>
          <w:rFonts w:hint="eastAsia"/>
        </w:rPr>
        <w:t xml:space="preserve">区分那些可以按平均表现来评估的不确定性,与那些属于风险事件的不确定性,这一点非常重要:</w:t>
      </w:r>
    </w:p>
    <w:p>
      <w:pPr>
        <w:numPr>
          <w:ilvl w:val="1"/>
          <w:numId w:val="1003"/>
        </w:numPr>
      </w:pPr>
      <w:r>
        <w:rPr>
          <w:rFonts w:hint="eastAsia"/>
        </w:rPr>
        <w:t xml:space="preserve">哪些不确定性来源适合用一段时间内的平均表现来衡量?</w:t>
      </w:r>
    </w:p>
    <w:p>
      <w:pPr>
        <w:numPr>
          <w:ilvl w:val="1"/>
          <w:numId w:val="1003"/>
        </w:numPr>
      </w:pPr>
      <w:r>
        <w:rPr>
          <w:rFonts w:hint="eastAsia"/>
        </w:rPr>
        <w:t xml:space="preserve">哪些不确定性来源代表了无法用平均值恰当衡量的风险形式?</w:t>
      </w:r>
    </w:p>
    <w:p>
      <w:pPr>
        <w:numPr>
          <w:ilvl w:val="0"/>
          <w:numId w:val="1002"/>
        </w:numPr>
      </w:pPr>
      <w:r>
        <w:rPr>
          <w:rFonts w:hint="eastAsia"/>
        </w:rPr>
        <w:t xml:space="preserve">选择一个看起来对最重要指标影响最大的单一决策。</w:t>
      </w:r>
    </w:p>
    <w:p>
      <w:pPr>
        <w:numPr>
          <w:ilvl w:val="1"/>
          <w:numId w:val="1004"/>
        </w:numPr>
      </w:pPr>
      <w:r>
        <w:rPr>
          <w:rFonts w:hint="eastAsia"/>
        </w:rPr>
        <w:t xml:space="preserve">你认为应当使用什么方法来做出这个决策?</w:t>
      </w:r>
    </w:p>
    <w:p>
      <w:pPr>
        <w:numPr>
          <w:ilvl w:val="1"/>
          <w:numId w:val="1004"/>
        </w:numPr>
      </w:pPr>
      <w:r>
        <w:rPr>
          <w:rFonts w:hint="eastAsia"/>
        </w:rPr>
        <w:t xml:space="preserve">做出这个决策似乎需要哪些数据,包括计算该决策具有高或中等影响的任何绩效指标所需的数据。</w:t>
      </w:r>
    </w:p>
    <w:p>
      <w:pPr>
        <w:numPr>
          <w:ilvl w:val="0"/>
          <w:numId w:val="1002"/>
        </w:numPr>
      </w:pPr>
      <w:r>
        <w:rPr>
          <w:rFonts w:hint="eastAsia"/>
        </w:rPr>
        <w:t xml:space="preserve">针对你在第(7)题中确定的同一个决策,识别为了实施该决策,你需要与之合作的人员、部门、团体或组织。</w:t>
      </w:r>
    </w:p>
    <w:bookmarkStart w:id="26" w:name="资料来源说明"/>
    <w:p>
      <w:pPr>
        <w:pStyle w:val="Heading2"/>
      </w:pPr>
      <w:r>
        <w:rPr>
          <w:rFonts w:hint="eastAsia"/>
        </w:rPr>
        <w:t xml:space="preserve">资料来源说明</w:t>
      </w:r>
    </w:p>
    <w:p>
      <w:pPr>
        <w:pStyle w:val="FirstParagraph"/>
      </w:pPr>
      <w:r>
        <w:rPr>
          <w:rFonts w:hint="eastAsia"/>
        </w:rPr>
        <w:t xml:space="preserve">公开背景资料:截至2026年7月,ClinicalTrials.gov报告注册研究达595,847项。美国食品药品监督管理局(FDA)指出,III期研究通常招募300至3,000名参与者,持续时间为一到四年。一项针对随机外科试验的已发表分析发现,在完成时间延迟的试验中,完成延迟的中位数为12.2个月,而多项研究均指出,招募不足是试验被终止或未能回答其主要问题的主要原因之一。概念基础:沃伦·B·鲍威尔,《架起决策问题的桥梁》第一卷,第2章,</w:t>
      </w:r>
      <w:r>
        <w:rPr>
          <w:rFonts w:hint="eastAsia"/>
        </w:rPr>
        <w:t xml:space="preserve">“用于药物测试的临床试验开展”</w:t>
      </w:r>
      <w:r>
        <w:rPr>
          <w:rFonts w:hint="eastAsia"/>
        </w:rPr>
        <w:t xml:space="preserve">一节。资料来源访问日期为2026年7月30日:ClinicalTrials.gov,《注册研究趋势与图表》;美国食品药品监督管理局,《第三步:临床研究》;Shadbolt等,《美国医学会杂志·网络公开版》(2023年);Briel等,《临床流行病学杂志》(2017年)。</w:t>
      </w:r>
    </w:p>
    <w:bookmarkEnd w:id="26"/>
    <w:bookmarkEnd w:id="27"/>
    <w:bookmarkStart w:id="29" w:name="chatgpt摘要"/>
    <w:p>
      <w:pPr>
        <w:pStyle w:val="Heading1"/>
      </w:pPr>
      <w:r>
        <w:rPr>
          <w:rFonts w:hint="eastAsia"/>
        </w:rPr>
        <w:t xml:space="preserve">ChatGPT摘要</w:t>
      </w:r>
    </w:p>
    <w:bookmarkStart w:id="28" w:name="提示词"/>
    <w:p>
      <w:pPr>
        <w:pStyle w:val="Heading2"/>
      </w:pPr>
      <w:r>
        <w:rPr>
          <w:rFonts w:hint="eastAsia"/>
        </w:rPr>
        <w:t xml:space="preserve">提示词</w:t>
      </w:r>
    </w:p>
    <w:p>
      <w:pPr>
        <w:pStyle w:val="FirstParagraph"/>
      </w:pPr>
      <w:r>
        <w:rPr>
          <w:rFonts w:hint="eastAsia"/>
        </w:rPr>
        <w:t xml:space="preserve">根据https://warrenpowell.org/bridging-vol1/chapter-2/#clinicaltrials</w:t>
      </w:r>
      <w:r>
        <w:t xml:space="preserve"> </w:t>
      </w:r>
      <w:r>
        <w:rPr>
          <w:rFonts w:hint="eastAsia"/>
        </w:rPr>
        <w:t xml:space="preserve">该章节中的内容,撰写一篇4-6页的案例研究。基于该章节中的指标、决策和不确定性构建情境,但不要明确指出这些内容。用数据来支撑你的案例问题。</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2026-09-11T16:58:37Z</dcterms:created>
  <dcterms:modified xsi:type="dcterms:W3CDTF">2026-09-11T16:58:37Z</dcterms:modified>
</cp:coreProperties>
</file>

<file path=docProps/custom.xml><?xml version="1.0" encoding="utf-8"?>
<Properties xmlns="http://schemas.openxmlformats.org/officeDocument/2006/custom-properties" xmlns:vt="http://schemas.openxmlformats.org/officeDocument/2006/docPropsVTypes"/>
</file>