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极光汽车</w:t>
      </w:r>
    </w:p>
    <w:p>
      <w:pPr>
        <w:pStyle w:val="BodyText"/>
      </w:pPr>
      <w:r>
        <w:rPr>
          <w:rFonts w:hint="eastAsia"/>
        </w:rPr>
        <w:t xml:space="preserve">流程协调困境</w:t>
      </w:r>
    </w:p>
    <w:p>
      <w:pPr>
        <w:pStyle w:val="BodyText"/>
      </w:pPr>
      <w:r>
        <w:rPr>
          <w:rFonts w:hint="eastAsia"/>
        </w:rPr>
        <w:t xml:space="preserve">一个关于全球零部件、生产与客户交付同步化的虚构教学案例</w:t>
      </w:r>
    </w:p>
    <w:tbl>
      <w:tblPr>
        <w:tblStyle w:val="Table"/>
        <w:tblW w:type="pct" w:w="5023"/>
        <w:tblLayout w:type="fixed"/>
        <w:tblLook w:firstRow="1" w:lastRow="0" w:firstColumn="0" w:lastColumn="0" w:noHBand="0" w:noVBand="0" w:val="0020"/>
      </w:tblPr>
      <w:tblGrid>
        <w:gridCol w:w="7956"/>
      </w:tblGrid>
      <w:tr>
        <w:trPr>
          <w:tblHeader w:val="on"/>
        </w:trPr>
        <w:tc>
          <w:tcPr/>
          <w:p>
            <w:pPr>
              <w:pStyle w:val="FirstParagraph"/>
            </w:pPr>
            <w:r>
              <w:rPr>
                <w:rFonts w:hint="eastAsia"/>
              </w:rPr>
              <w:t xml:space="preserve">决策</w:t>
            </w:r>
            <w:r>
              <w:t xml:space="preserve"> |</w:t>
            </w:r>
          </w:p>
          <w:p>
            <w:pPr>
              <w:pStyle w:val="BodyText"/>
            </w:pPr>
            <w:r>
              <w:rPr>
                <w:rFonts w:hint="eastAsia"/>
              </w:rPr>
              <w:t xml:space="preserve">当关税、联邦激励措施、汽油价格和买家偏好的变化速度可能快于其供应链时，极光汽车应如何协调不确定的入厂供应与生产及客户交付？</w:t>
            </w:r>
            <w:r>
              <w:t xml:space="preserve"> |</w:t>
            </w:r>
          </w:p>
        </w:tc>
      </w:tr>
    </w:tbl>
    <w:p>
      <w:pPr>
        <w:pStyle w:val="BodyText"/>
      </w:pPr>
      <w:r>
        <w:rPr>
          <w:rFonts w:hint="eastAsia"/>
        </w:rPr>
        <w:t xml:space="preserve">2025年10月6日星期一，极光汽车首席运营官玛雅·陈（Maya</w:t>
      </w:r>
      <w:r>
        <w:t xml:space="preserve"> </w:t>
      </w:r>
      <w:r>
        <w:rPr>
          <w:rFonts w:hint="eastAsia"/>
        </w:rPr>
        <w:t xml:space="preserve">Chen）带着三份互不一致的预测走进了一场高管规划会议。采购团队预计进口零部件成本将上升。销售部门预计，随着汽油价格再度上涨，极光混合动力运动型多用途车的需求将加速增长。财务部门警告称，联邦清洁车辆税收抵免政策已对2025年9月30日之后购置的车辆终止，取消了一些经销商已纳入客户付款估算中的优惠。与此同时，有3,800份已完成的客户订单正在等待排产日期。</w:t>
      </w:r>
    </w:p>
    <w:p>
      <w:pPr>
        <w:pStyle w:val="BodyText"/>
      </w:pPr>
      <w:r>
        <w:rPr>
          <w:rFonts w:hint="eastAsia"/>
        </w:rPr>
        <w:t xml:space="preserve">极光在美国的一家工厂组装混合动力电动汽车。其最重要的车型——极光Crosswind，结合了汽油发动机、电动机、电力电子设备和一个1.8千瓦时的电池组。尽管最终组装在国内完成，该车型仍依赖来自亚洲的电池电芯和半导体模块、来自欧洲的专用逆变器，以及来自北美的发动机、车身面板和座椅。一个缺失的价值180美元的控制模块，可能导致一辆价值42,000美元的汽车延迟发货。</w:t>
      </w:r>
    </w:p>
    <w:bookmarkStart w:id="9" w:name="一家围绕协调流程构建起来的公司"/>
    <w:p>
      <w:pPr>
        <w:pStyle w:val="Heading1"/>
      </w:pPr>
      <w:r>
        <w:rPr>
          <w:rFonts w:hint="eastAsia"/>
        </w:rPr>
        <w:t xml:space="preserve">一家围绕协调流程构建起来的公司</w:t>
      </w:r>
    </w:p>
    <w:p>
      <w:pPr>
        <w:pStyle w:val="FirstParagraph"/>
      </w:pPr>
      <w:r>
        <w:rPr>
          <w:rFonts w:hint="eastAsia"/>
        </w:rPr>
        <w:t xml:space="preserve">极光通过向经销商承诺可靠的八周订单到交付周期实现了增长。其运营系统将经销商订单转化为一份为期12周的生产计划，然后据此下达采购订单、海运订舱、铁路运力预订和成品车交付预约。当预测和交货期保持稳定时，该系统运转良好。但当商业政策和能源市场发生剧烈变动时，该系统就会陷入困境。</w:t>
      </w:r>
    </w:p>
    <w:p>
      <w:pPr>
        <w:pStyle w:val="BodyText"/>
      </w:pPr>
      <w:r>
        <w:rPr>
          <w:rFonts w:hint="eastAsia"/>
        </w:rPr>
        <w:t xml:space="preserve">该制造工厂在两班制下每周可生产1,150辆汽车。混合动力总成生产线是瓶颈环节，但其他环节的短缺经常导致该生产线无法满负荷运转。极光可以替换某些零部件、调整车型生产顺序、暂缓完成接近完工的车辆、或使用空运。每种应对方式都会将成本和延误转移到系统的不同部分。</w:t>
      </w:r>
    </w:p>
    <w:tbl>
      <w:tblPr>
        <w:tblStyle w:val="Table"/>
        <w:tblW w:type="pct" w:w="4921"/>
        <w:tblLayout w:type="fixed"/>
        <w:tblLook w:firstRow="1" w:lastRow="0" w:firstColumn="0" w:lastColumn="0" w:noHBand="0" w:noVBand="0" w:val="0020"/>
      </w:tblPr>
      <w:tblGrid>
        <w:gridCol w:w="1508"/>
        <w:gridCol w:w="1445"/>
        <w:gridCol w:w="1194"/>
        <w:gridCol w:w="1005"/>
        <w:gridCol w:w="2640"/>
      </w:tblGrid>
      <w:tr>
        <w:trPr>
          <w:tblHeader w:val="on"/>
        </w:trPr>
        <w:tc>
          <w:tcPr/>
          <w:p>
            <w:pPr>
              <w:pStyle w:val="Compact"/>
            </w:pPr>
            <w:r>
              <w:rPr>
                <w:rFonts w:hint="eastAsia"/>
              </w:rPr>
              <w:t xml:space="preserve">进厂物料</w:t>
            </w:r>
            <w:r>
              <w:t xml:space="preserve"> </w:t>
            </w:r>
            <w:r>
              <w:rPr>
                <w:rFonts w:hint="eastAsia"/>
              </w:rPr>
              <w:t xml:space="preserve">主要</w:t>
            </w:r>
          </w:p>
        </w:tc>
        <w:tc>
          <w:tcPr/>
          <w:p>
            <w:pPr>
              <w:pStyle w:val="Compact"/>
            </w:pPr>
            <w:r>
              <w:rPr>
                <w:rFonts w:hint="eastAsia"/>
              </w:rPr>
              <w:t xml:space="preserve">来源</w:t>
            </w:r>
            <w:r>
              <w:t xml:space="preserve"> </w:t>
            </w:r>
            <w:r>
              <w:rPr>
                <w:rFonts w:hint="eastAsia"/>
              </w:rPr>
              <w:t xml:space="preserve">正常交货期</w:t>
            </w:r>
          </w:p>
        </w:tc>
        <w:tc>
          <w:tcPr/>
          <w:p>
            <w:pPr>
              <w:pStyle w:val="Compact"/>
              <w:jc w:val="right"/>
            </w:pPr>
            <w:r>
              <w:rPr>
                <w:rFonts w:hint="eastAsia"/>
              </w:rPr>
              <w:t xml:space="preserve">现有库存</w:t>
            </w:r>
            <w:r>
              <w:t xml:space="preserve"> </w:t>
            </w:r>
            <w:r>
              <w:rPr>
                <w:rFonts w:hint="eastAsia"/>
              </w:rPr>
              <w:t xml:space="preserve">风险敞</w:t>
            </w:r>
          </w:p>
        </w:tc>
        <w:tc>
          <w:tcPr/>
          <w:p>
            <w:pPr>
              <w:pStyle w:val="Compact"/>
              <w:jc w:val="left"/>
            </w:pPr>
            <w:r>
              <w:rPr>
                <w:rFonts w:hint="eastAsia"/>
              </w:rPr>
              <w:t xml:space="preserve">口</w:t>
            </w:r>
          </w:p>
        </w:tc>
        <w:tc>
          <w:tcPr/>
          <w:p>
            <w:pPr>
              <w:pStyle w:val="Compact"/>
            </w:pPr>
          </w:p>
        </w:tc>
      </w:tr>
      <w:tr>
        <w:tc>
          <w:tcPr/>
          <w:p>
            <w:pPr>
              <w:pStyle w:val="Compact"/>
            </w:pPr>
            <w:r>
              <w:rPr>
                <w:rFonts w:hint="eastAsia"/>
              </w:rPr>
              <w:t xml:space="preserve">电池电芯</w:t>
            </w:r>
            <w:r>
              <w:t xml:space="preserve"> </w:t>
            </w:r>
            <w:r>
              <w:rPr>
                <w:rFonts w:hint="eastAsia"/>
              </w:rPr>
              <w:t xml:space="preserve">东亚</w:t>
            </w:r>
          </w:p>
        </w:tc>
        <w:tc>
          <w:tcPr/>
          <w:p>
            <w:pPr>
              <w:pStyle w:val="Compact"/>
            </w:pPr>
            <w:r>
              <w:rPr>
                <w:rFonts w:hint="eastAsia"/>
              </w:rPr>
              <w:t xml:space="preserve">11周</w:t>
            </w:r>
          </w:p>
        </w:tc>
        <w:tc>
          <w:tcPr/>
          <w:p>
            <w:pPr>
              <w:pStyle w:val="Compact"/>
              <w:jc w:val="right"/>
            </w:pPr>
            <w:r>
              <w:rPr>
                <w:rFonts w:hint="eastAsia"/>
              </w:rPr>
              <w:t xml:space="preserve">5.2周</w:t>
            </w:r>
            <w:r>
              <w:t xml:space="preserve"> </w:t>
            </w:r>
            <w:r>
              <w:rPr>
                <w:rFonts w:hint="eastAsia"/>
              </w:rPr>
              <w:t xml:space="preserve">关税、海</w:t>
            </w:r>
          </w:p>
        </w:tc>
        <w:tc>
          <w:tcPr/>
          <w:p>
            <w:pPr>
              <w:pStyle w:val="Compact"/>
              <w:jc w:val="left"/>
            </w:pPr>
            <w:r>
              <w:rPr>
                <w:rFonts w:hint="eastAsia"/>
              </w:rPr>
              <w:t xml:space="preserve">运延误、质量放行</w:t>
            </w:r>
          </w:p>
        </w:tc>
        <w:tc>
          <w:tcPr/>
          <w:p>
            <w:pPr>
              <w:pStyle w:val="Compact"/>
            </w:pPr>
          </w:p>
        </w:tc>
      </w:tr>
      <w:tr>
        <w:tc>
          <w:tcPr/>
          <w:p>
            <w:pPr>
              <w:pStyle w:val="Compact"/>
            </w:pPr>
            <w:r>
              <w:rPr>
                <w:rFonts w:hint="eastAsia"/>
              </w:rPr>
              <w:t xml:space="preserve">电力控制模块</w:t>
            </w:r>
            <w:r>
              <w:t xml:space="preserve"> </w:t>
            </w:r>
            <w:r>
              <w:rPr>
                <w:rFonts w:hint="eastAsia"/>
              </w:rPr>
              <w:t xml:space="preserve">东亚</w:t>
            </w:r>
          </w:p>
        </w:tc>
        <w:tc>
          <w:tcPr/>
          <w:p>
            <w:pPr>
              <w:pStyle w:val="Compact"/>
            </w:pPr>
            <w:r>
              <w:rPr>
                <w:rFonts w:hint="eastAsia"/>
              </w:rPr>
              <w:t xml:space="preserve">8周</w:t>
            </w:r>
            <w:r>
              <w:t xml:space="preserve"> 2</w:t>
            </w:r>
          </w:p>
        </w:tc>
        <w:tc>
          <w:tcPr/>
          <w:p>
            <w:pPr>
              <w:pStyle w:val="Compact"/>
              <w:jc w:val="right"/>
            </w:pPr>
            <w:r>
              <w:rPr>
                <w:rFonts w:hint="eastAsia"/>
              </w:rPr>
              <w:t xml:space="preserve">.6周</w:t>
            </w:r>
            <w:r>
              <w:t xml:space="preserve"> </w:t>
            </w:r>
            <w:r>
              <w:rPr>
                <w:rFonts w:hint="eastAsia"/>
              </w:rPr>
              <w:t xml:space="preserve">关税、半</w:t>
            </w:r>
          </w:p>
        </w:tc>
        <w:tc>
          <w:tcPr/>
          <w:p>
            <w:pPr>
              <w:pStyle w:val="Compact"/>
              <w:jc w:val="left"/>
            </w:pPr>
            <w:r>
              <w:rPr>
                <w:rFonts w:hint="eastAsia"/>
              </w:rPr>
              <w:t xml:space="preserve">导体分配</w:t>
            </w:r>
          </w:p>
        </w:tc>
        <w:tc>
          <w:tcPr/>
          <w:p>
            <w:pPr>
              <w:pStyle w:val="Compact"/>
            </w:pPr>
          </w:p>
        </w:tc>
      </w:tr>
      <w:tr>
        <w:tc>
          <w:tcPr/>
          <w:p>
            <w:pPr>
              <w:pStyle w:val="Compact"/>
            </w:pPr>
            <w:r>
              <w:rPr>
                <w:rFonts w:hint="eastAsia"/>
              </w:rPr>
              <w:t xml:space="preserve">逆变器</w:t>
            </w:r>
            <w:r>
              <w:t xml:space="preserve"> </w:t>
            </w:r>
            <w:r>
              <w:rPr>
                <w:rFonts w:hint="eastAsia"/>
              </w:rPr>
              <w:t xml:space="preserve">欧盟</w:t>
            </w:r>
          </w:p>
        </w:tc>
        <w:tc>
          <w:tcPr/>
          <w:p>
            <w:pPr>
              <w:pStyle w:val="Compact"/>
            </w:pPr>
            <w:r>
              <w:rPr>
                <w:rFonts w:hint="eastAsia"/>
              </w:rPr>
              <w:t xml:space="preserve">7周</w:t>
            </w:r>
          </w:p>
        </w:tc>
        <w:tc>
          <w:tcPr/>
          <w:p>
            <w:pPr>
              <w:pStyle w:val="Compact"/>
              <w:jc w:val="right"/>
            </w:pPr>
            <w:r>
              <w:rPr>
                <w:rFonts w:hint="eastAsia"/>
              </w:rPr>
              <w:t xml:space="preserve">3.1周</w:t>
            </w:r>
            <w:r>
              <w:t xml:space="preserve"> </w:t>
            </w:r>
            <w:r>
              <w:rPr>
                <w:rFonts w:hint="eastAsia"/>
              </w:rPr>
              <w:t xml:space="preserve">汽车零</w:t>
            </w:r>
          </w:p>
        </w:tc>
        <w:tc>
          <w:tcPr/>
          <w:p>
            <w:pPr>
              <w:pStyle w:val="Compact"/>
              <w:jc w:val="left"/>
            </w:pPr>
            <w:r>
              <w:rPr>
                <w:rFonts w:hint="eastAsia"/>
              </w:rPr>
              <w:t xml:space="preserve">部件关税、港口拥</w:t>
            </w:r>
          </w:p>
        </w:tc>
        <w:tc>
          <w:tcPr/>
          <w:p>
            <w:pPr>
              <w:pStyle w:val="Compact"/>
            </w:pPr>
            <w:r>
              <w:rPr>
                <w:rFonts w:hint="eastAsia"/>
              </w:rPr>
              <w:t xml:space="preserve">堵</w:t>
            </w:r>
          </w:p>
        </w:tc>
      </w:tr>
      <w:tr>
        <w:tc>
          <w:tcPr/>
          <w:p>
            <w:pPr>
              <w:pStyle w:val="Compact"/>
            </w:pPr>
            <w:r>
              <w:rPr>
                <w:rFonts w:hint="eastAsia"/>
              </w:rPr>
              <w:t xml:space="preserve">汽油发动机</w:t>
            </w:r>
            <w:r>
              <w:t xml:space="preserve"> </w:t>
            </w:r>
            <w:r>
              <w:rPr>
                <w:rFonts w:hint="eastAsia"/>
              </w:rPr>
              <w:t xml:space="preserve">美国/墨</w:t>
            </w:r>
          </w:p>
        </w:tc>
        <w:tc>
          <w:tcPr/>
          <w:p>
            <w:pPr>
              <w:pStyle w:val="Compact"/>
            </w:pPr>
            <w:r>
              <w:rPr>
                <w:rFonts w:hint="eastAsia"/>
              </w:rPr>
              <w:t xml:space="preserve">西哥</w:t>
            </w:r>
            <w:r>
              <w:t xml:space="preserve"> </w:t>
            </w:r>
            <w:r>
              <w:rPr>
                <w:rFonts w:hint="eastAsia"/>
              </w:rPr>
              <w:t xml:space="preserve">3周</w:t>
            </w:r>
            <w:r>
              <w:t xml:space="preserve"> 1</w:t>
            </w:r>
          </w:p>
        </w:tc>
        <w:tc>
          <w:tcPr/>
          <w:p>
            <w:pPr>
              <w:pStyle w:val="Compact"/>
              <w:jc w:val="right"/>
            </w:pPr>
            <w:r>
              <w:rPr>
                <w:rFonts w:hint="eastAsia"/>
              </w:rPr>
              <w:t xml:space="preserve">.8周</w:t>
            </w:r>
            <w:r>
              <w:t xml:space="preserve"> </w:t>
            </w:r>
            <w:r>
              <w:rPr>
                <w:rFonts w:hint="eastAsia"/>
              </w:rPr>
              <w:t xml:space="preserve">车型结构</w:t>
            </w:r>
          </w:p>
        </w:tc>
        <w:tc>
          <w:tcPr/>
          <w:p>
            <w:pPr>
              <w:pStyle w:val="Compact"/>
              <w:jc w:val="left"/>
            </w:pPr>
            <w:r>
              <w:rPr>
                <w:rFonts w:hint="eastAsia"/>
              </w:rPr>
              <w:t xml:space="preserve">变化</w:t>
            </w:r>
          </w:p>
        </w:tc>
        <w:tc>
          <w:tcPr/>
          <w:p>
            <w:pPr>
              <w:pStyle w:val="Compact"/>
            </w:pPr>
          </w:p>
        </w:tc>
      </w:tr>
      <w:tr>
        <w:tc>
          <w:tcPr/>
          <w:p>
            <w:pPr>
              <w:pStyle w:val="Compact"/>
            </w:pPr>
            <w:r>
              <w:rPr>
                <w:rFonts w:hint="eastAsia"/>
              </w:rPr>
              <w:t xml:space="preserve">座椅及内饰件</w:t>
            </w:r>
            <w:r>
              <w:t xml:space="preserve"> </w:t>
            </w:r>
            <w:r>
              <w:rPr>
                <w:rFonts w:hint="eastAsia"/>
              </w:rPr>
              <w:t xml:space="preserve">美国</w:t>
            </w:r>
          </w:p>
        </w:tc>
        <w:tc>
          <w:tcPr/>
          <w:p>
            <w:pPr>
              <w:pStyle w:val="Compact"/>
            </w:pPr>
            <w:r>
              <w:rPr>
                <w:rFonts w:hint="eastAsia"/>
              </w:rPr>
              <w:t xml:space="preserve">2周</w:t>
            </w:r>
            <w:r>
              <w:t xml:space="preserve"> 1</w:t>
            </w:r>
          </w:p>
        </w:tc>
        <w:tc>
          <w:tcPr/>
          <w:p>
            <w:pPr>
              <w:pStyle w:val="Compact"/>
              <w:jc w:val="right"/>
            </w:pPr>
            <w:r>
              <w:rPr>
                <w:rFonts w:hint="eastAsia"/>
              </w:rPr>
              <w:t xml:space="preserve">.3周</w:t>
            </w:r>
            <w:r>
              <w:t xml:space="preserve"> </w:t>
            </w:r>
            <w:r>
              <w:rPr>
                <w:rFonts w:hint="eastAsia"/>
              </w:rPr>
              <w:t xml:space="preserve">特定顺序</w:t>
            </w:r>
          </w:p>
        </w:tc>
        <w:tc>
          <w:tcPr/>
          <w:p>
            <w:pPr>
              <w:pStyle w:val="Compact"/>
              <w:jc w:val="left"/>
            </w:pPr>
            <w:r>
              <w:rPr>
                <w:rFonts w:hint="eastAsia"/>
              </w:rPr>
              <w:t xml:space="preserve">，低可替代性</w:t>
            </w:r>
          </w:p>
        </w:tc>
        <w:tc>
          <w:tcPr/>
          <w:p>
            <w:pPr>
              <w:pStyle w:val="Compact"/>
            </w:pPr>
          </w:p>
        </w:tc>
      </w:tr>
    </w:tbl>
    <w:bookmarkEnd w:id="9"/>
    <w:bookmarkStart w:id="10" w:name="未同步变化的外部信号"/>
    <w:p>
      <w:pPr>
        <w:pStyle w:val="Heading1"/>
      </w:pPr>
      <w:r>
        <w:rPr>
          <w:rFonts w:hint="eastAsia"/>
        </w:rPr>
        <w:t xml:space="preserve">未同步变化的外部信号</w:t>
      </w:r>
    </w:p>
    <w:p>
      <w:pPr>
        <w:pStyle w:val="FirstParagraph"/>
      </w:pPr>
      <w:r>
        <w:rPr>
          <w:rFonts w:hint="eastAsia"/>
        </w:rPr>
        <w:t xml:space="preserve">电池经济性表明，电动化车辆的生产应会持续变得更加容易。美国能源部的估计显示，轻型电动汽车电池组成本从2008年的每可用千瓦时1,415美元降至2023年的139美元，以不变美元计算下降了约90%。但极光小型混合动力电池组仅占动力总成总成本的一部分，且关税待遇取决于化学成分、原产地和分类。2024年，美国将对来自中国的锂离子电动汽车电池征收的第301条关税提高至25%。2025年，另一项行动对指定的进口汽车及关键汽车零部件征收25%的关税，不过随后的国家间协议产生了不同的实际税率，包括针对欧盟涵盖的汽车产品制定的合计15%税率框架。</w:t>
      </w:r>
    </w:p>
    <w:p>
      <w:pPr>
        <w:pStyle w:val="BodyText"/>
      </w:pPr>
      <w:r>
        <w:rPr>
          <w:rFonts w:hint="eastAsia"/>
        </w:rPr>
        <w:t xml:space="preserve">能源价格带来了另一种不确定性。WTI原油年度均价在2020年约为每桶39美元，2021年为68美元，2022年为95美元，2023年为78美元，2024年为77美元。这一价格序列提醒高管们，战争、制裁、产量决策和航运中断可能迅速改变客户对燃油经济性的重视程度。然而，在极光收到为应对高油价而订购的零部件之前，油价可能已经回落。</w:t>
      </w:r>
    </w:p>
    <w:tbl>
      <w:tblPr>
        <w:tblStyle w:val="Table"/>
        <w:tblW w:type="pct" w:w="4928"/>
        <w:tblLayout w:type="fixed"/>
        <w:tblLook w:firstRow="1" w:lastRow="0" w:firstColumn="0" w:lastColumn="0" w:noHBand="0" w:noVBand="0" w:val="0020"/>
      </w:tblPr>
      <w:tblGrid>
        <w:gridCol w:w="401"/>
        <w:gridCol w:w="1606"/>
        <w:gridCol w:w="2295"/>
        <w:gridCol w:w="3500"/>
      </w:tblGrid>
      <w:tr>
        <w:trPr>
          <w:tblHeader w:val="on"/>
        </w:trPr>
        <w:tc>
          <w:tcPr/>
          <w:p>
            <w:pPr>
              <w:pStyle w:val="Compact"/>
              <w:jc w:val="left"/>
            </w:pPr>
            <w:r>
              <w:rPr>
                <w:rFonts w:hint="eastAsia"/>
              </w:rPr>
              <w:t xml:space="preserve">年份</w:t>
            </w:r>
          </w:p>
        </w:tc>
        <w:tc>
          <w:tcPr/>
          <w:p>
            <w:pPr>
              <w:pStyle w:val="Compact"/>
            </w:pPr>
            <w:r>
              <w:rPr>
                <w:rFonts w:hint="eastAsia"/>
              </w:rPr>
              <w:t xml:space="preserve">WTI原油（美元/桶）</w:t>
            </w:r>
            <w:r>
              <w:t xml:space="preserve"> </w:t>
            </w:r>
            <w:r>
              <w:rPr>
                <w:rFonts w:hint="eastAsia"/>
              </w:rPr>
              <w:t xml:space="preserve">能源部电</w:t>
            </w:r>
          </w:p>
        </w:tc>
        <w:tc>
          <w:tcPr/>
          <w:p>
            <w:pPr>
              <w:pStyle w:val="Compact"/>
            </w:pPr>
            <w:r>
              <w:rPr>
                <w:rFonts w:hint="eastAsia"/>
              </w:rPr>
              <w:t xml:space="preserve">池组成本（美元/可用千瓦时）</w:t>
            </w:r>
            <w:r>
              <w:t xml:space="preserve"> </w:t>
            </w:r>
            <w:r>
              <w:rPr>
                <w:rFonts w:hint="eastAsia"/>
              </w:rPr>
              <w:t xml:space="preserve">选定的市场</w:t>
            </w:r>
          </w:p>
        </w:tc>
        <w:tc>
          <w:tcPr/>
          <w:p>
            <w:pPr>
              <w:pStyle w:val="Compact"/>
              <w:jc w:val="left"/>
            </w:pPr>
            <w:r>
              <w:rPr>
                <w:rFonts w:hint="eastAsia"/>
              </w:rPr>
              <w:t xml:space="preserve">/政策信号</w:t>
            </w:r>
          </w:p>
        </w:tc>
      </w:tr>
      <w:tr>
        <w:tc>
          <w:tcPr/>
          <w:p>
            <w:pPr>
              <w:pStyle w:val="Compact"/>
              <w:jc w:val="left"/>
            </w:pPr>
            <w:r>
              <w:t xml:space="preserve">2008</w:t>
            </w:r>
          </w:p>
        </w:tc>
        <w:tc>
          <w:tcPr/>
          <w:p>
            <w:pPr>
              <w:pStyle w:val="Compact"/>
            </w:pPr>
            <w:r>
              <w:t xml:space="preserve">99.67*</w:t>
            </w:r>
          </w:p>
        </w:tc>
        <w:tc>
          <w:tcPr/>
          <w:p>
            <w:pPr>
              <w:pStyle w:val="Compact"/>
            </w:pPr>
            <w:r>
              <w:t xml:space="preserve">1,415</w:t>
            </w:r>
          </w:p>
        </w:tc>
        <w:tc>
          <w:tcPr/>
          <w:p>
            <w:pPr>
              <w:pStyle w:val="Compact"/>
              <w:jc w:val="left"/>
            </w:pPr>
            <w:r>
              <w:rPr>
                <w:rFonts w:hint="eastAsia"/>
              </w:rPr>
              <w:t xml:space="preserve">高油价波动性；早期电动化投资</w:t>
            </w:r>
          </w:p>
        </w:tc>
      </w:tr>
      <w:tr>
        <w:tc>
          <w:tcPr/>
          <w:p>
            <w:pPr>
              <w:pStyle w:val="Compact"/>
              <w:jc w:val="left"/>
            </w:pPr>
            <w:r>
              <w:t xml:space="preserve">2020</w:t>
            </w:r>
          </w:p>
        </w:tc>
        <w:tc>
          <w:tcPr/>
          <w:p>
            <w:pPr>
              <w:pStyle w:val="Compact"/>
            </w:pPr>
            <w:r>
              <w:t xml:space="preserve">39.16</w:t>
            </w:r>
          </w:p>
        </w:tc>
        <w:tc>
          <w:tcPr/>
          <w:p>
            <w:pPr>
              <w:pStyle w:val="Compact"/>
            </w:pPr>
            <w:r>
              <w:t xml:space="preserve">—</w:t>
            </w:r>
          </w:p>
        </w:tc>
        <w:tc>
          <w:tcPr/>
          <w:p>
            <w:pPr>
              <w:pStyle w:val="Compact"/>
              <w:jc w:val="left"/>
            </w:pPr>
            <w:r>
              <w:rPr>
                <w:rFonts w:hint="eastAsia"/>
              </w:rPr>
              <w:t xml:space="preserve">疫情需求冲击</w:t>
            </w:r>
          </w:p>
        </w:tc>
      </w:tr>
      <w:tr>
        <w:tc>
          <w:tcPr/>
          <w:p>
            <w:pPr>
              <w:pStyle w:val="Compact"/>
              <w:jc w:val="left"/>
            </w:pPr>
            <w:r>
              <w:t xml:space="preserve">2021</w:t>
            </w:r>
          </w:p>
        </w:tc>
        <w:tc>
          <w:tcPr/>
          <w:p>
            <w:pPr>
              <w:pStyle w:val="Compact"/>
            </w:pPr>
            <w:r>
              <w:t xml:space="preserve">68.13</w:t>
            </w:r>
          </w:p>
        </w:tc>
        <w:tc>
          <w:tcPr/>
          <w:p>
            <w:pPr>
              <w:pStyle w:val="Compact"/>
            </w:pPr>
            <w:r>
              <w:t xml:space="preserve">157</w:t>
            </w:r>
          </w:p>
        </w:tc>
        <w:tc>
          <w:tcPr/>
          <w:p>
            <w:pPr>
              <w:pStyle w:val="Compact"/>
              <w:jc w:val="left"/>
            </w:pPr>
            <w:r>
              <w:rPr>
                <w:rFonts w:hint="eastAsia"/>
              </w:rPr>
              <w:t xml:space="preserve">燃料需求复苏</w:t>
            </w:r>
          </w:p>
        </w:tc>
      </w:tr>
      <w:tr>
        <w:tc>
          <w:tcPr/>
          <w:p>
            <w:pPr>
              <w:pStyle w:val="Compact"/>
              <w:jc w:val="left"/>
            </w:pPr>
            <w:r>
              <w:t xml:space="preserve">2022</w:t>
            </w:r>
          </w:p>
        </w:tc>
        <w:tc>
          <w:tcPr/>
          <w:p>
            <w:pPr>
              <w:pStyle w:val="Compact"/>
            </w:pPr>
            <w:r>
              <w:t xml:space="preserve">94.90</w:t>
            </w:r>
          </w:p>
        </w:tc>
        <w:tc>
          <w:tcPr/>
          <w:p>
            <w:pPr>
              <w:pStyle w:val="Compact"/>
            </w:pPr>
            <w:r>
              <w:t xml:space="preserve">153</w:t>
            </w:r>
          </w:p>
        </w:tc>
        <w:tc>
          <w:tcPr/>
          <w:p>
            <w:pPr>
              <w:pStyle w:val="Compact"/>
              <w:jc w:val="left"/>
            </w:pPr>
            <w:r>
              <w:rPr>
                <w:rFonts w:hint="eastAsia"/>
              </w:rPr>
              <w:t xml:space="preserve">战争相关能源冲击；《通胀削减法案》颁布</w:t>
            </w:r>
          </w:p>
        </w:tc>
      </w:tr>
      <w:tr>
        <w:tc>
          <w:tcPr/>
          <w:p>
            <w:pPr>
              <w:pStyle w:val="Compact"/>
              <w:jc w:val="left"/>
            </w:pPr>
            <w:r>
              <w:t xml:space="preserve">2023</w:t>
            </w:r>
          </w:p>
        </w:tc>
        <w:tc>
          <w:tcPr/>
          <w:p>
            <w:pPr>
              <w:pStyle w:val="Compact"/>
            </w:pPr>
            <w:r>
              <w:t xml:space="preserve">77.58</w:t>
            </w:r>
          </w:p>
        </w:tc>
        <w:tc>
          <w:tcPr/>
          <w:p>
            <w:pPr>
              <w:pStyle w:val="Compact"/>
            </w:pPr>
            <w:r>
              <w:t xml:space="preserve">139</w:t>
            </w:r>
          </w:p>
        </w:tc>
        <w:tc>
          <w:tcPr/>
          <w:p>
            <w:pPr>
              <w:pStyle w:val="Compact"/>
              <w:jc w:val="left"/>
            </w:pPr>
            <w:r>
              <w:rPr>
                <w:rFonts w:hint="eastAsia"/>
              </w:rPr>
              <w:t xml:space="preserve">新的矿产和电池部件规则开始实施</w:t>
            </w:r>
          </w:p>
        </w:tc>
      </w:tr>
      <w:tr>
        <w:tc>
          <w:tcPr/>
          <w:p>
            <w:pPr>
              <w:pStyle w:val="Compact"/>
              <w:jc w:val="left"/>
            </w:pPr>
            <w:r>
              <w:t xml:space="preserve">2024</w:t>
            </w:r>
          </w:p>
        </w:tc>
        <w:tc>
          <w:tcPr/>
          <w:p>
            <w:pPr>
              <w:pStyle w:val="Compact"/>
            </w:pPr>
            <w:r>
              <w:t xml:space="preserve">76.63</w:t>
            </w:r>
          </w:p>
        </w:tc>
        <w:tc>
          <w:tcPr/>
          <w:p>
            <w:pPr>
              <w:pStyle w:val="Compact"/>
            </w:pPr>
            <w:r>
              <w:t xml:space="preserve">—</w:t>
            </w:r>
          </w:p>
        </w:tc>
        <w:tc>
          <w:tcPr/>
          <w:p>
            <w:pPr>
              <w:pStyle w:val="Compact"/>
              <w:jc w:val="left"/>
            </w:pPr>
            <w:r>
              <w:rPr>
                <w:rFonts w:hint="eastAsia"/>
              </w:rPr>
              <w:t xml:space="preserve">中国电动汽车电池关税提高至25%</w:t>
            </w:r>
          </w:p>
        </w:tc>
      </w:tr>
      <w:tr>
        <w:tc>
          <w:tcPr/>
          <w:p>
            <w:pPr>
              <w:pStyle w:val="Compact"/>
              <w:jc w:val="left"/>
            </w:pPr>
            <w:r>
              <w:t xml:space="preserve">2025</w:t>
            </w:r>
          </w:p>
        </w:tc>
        <w:tc>
          <w:tcPr/>
          <w:p>
            <w:pPr>
              <w:pStyle w:val="Compact"/>
            </w:pPr>
            <w:r>
              <w:t xml:space="preserve">65.39</w:t>
            </w:r>
          </w:p>
        </w:tc>
        <w:tc>
          <w:tcPr/>
          <w:p>
            <w:pPr>
              <w:pStyle w:val="Compact"/>
            </w:pPr>
            <w:r>
              <w:t xml:space="preserve">—</w:t>
            </w:r>
          </w:p>
        </w:tc>
        <w:tc>
          <w:tcPr/>
          <w:p>
            <w:pPr>
              <w:pStyle w:val="Compact"/>
              <w:jc w:val="left"/>
            </w:pPr>
            <w:r>
              <w:rPr>
                <w:rFonts w:hint="eastAsia"/>
              </w:rPr>
              <w:t xml:space="preserve">汽车/零部件关税；新的清洁车辆税收抵免于9月30日终止</w:t>
            </w:r>
          </w:p>
        </w:tc>
      </w:tr>
    </w:tbl>
    <w:p>
      <w:pPr>
        <w:pStyle w:val="BodyText"/>
      </w:pPr>
      <w:r>
        <w:rPr>
          <w:rFonts w:hint="eastAsia"/>
        </w:rPr>
        <w:t xml:space="preserve">*2008年数值为美国能源信息署（EIA）年度WTI现货价格系列数值；电池成本为按不变美元计算的能源部估计值，并非每份年度发布数据均可直接比较。</w:t>
      </w:r>
    </w:p>
    <w:bookmarkEnd w:id="10"/>
    <w:bookmarkStart w:id="11" w:name="需求正变得更具吸引力但也更难预测"/>
    <w:p>
      <w:pPr>
        <w:pStyle w:val="Heading1"/>
      </w:pPr>
      <w:r>
        <w:rPr>
          <w:rFonts w:hint="eastAsia"/>
        </w:rPr>
        <w:t xml:space="preserve">需求正变得更具吸引力——但也更难预测</w:t>
      </w:r>
    </w:p>
    <w:p>
      <w:pPr>
        <w:pStyle w:val="FirstParagraph"/>
      </w:pPr>
      <w:r>
        <w:rPr>
          <w:rFonts w:hint="eastAsia"/>
        </w:rPr>
        <w:t xml:space="preserve">消费者态度使情况更加复杂。美国汽车协会（AAA）在2024年报告称，18%的美国成年人表示有可能购买纯电动汽车，低于一年前的23%，而31%的人表示有可能购买混合动力车。到2025年，表示有可能购买纯电动汽车的比例再次降至16%。极光的经销商将这些数据解读为混合动力正成为一种实用过渡技术的证据。然而，销售组织提醒称，调查兴趣并不一定能转化为极光价位上的实际签单。</w:t>
      </w:r>
    </w:p>
    <w:p>
      <w:pPr>
        <w:pStyle w:val="BodyText"/>
      </w:pPr>
      <w:r>
        <w:rPr>
          <w:rFonts w:hint="eastAsia"/>
        </w:rPr>
        <w:t xml:space="preserve">联邦激励措施带来了另一个不连续性。经修订的清洁车辆税收抵免要求在北美最终组装，并自2023年起对关键矿产和电池部件的采购来源实施日益严格的规定。至少配备7千瓦时电池的插电式混合动力车如符合规定即可获得资格，但极光传统的Crosswind混合动力车不符合条件。因此，极光已加快了插电式版本的开发。当联邦指导意见指出，新的清洁车辆税收抵免不适用于2025年9月30日之后购置的车辆时，该项目的经济性发生了变化。部分市场的经销商仍可获得州级激励措施，但可获得性和额度各不相同。</w:t>
      </w:r>
    </w:p>
    <w:bookmarkEnd w:id="11"/>
    <w:bookmarkStart w:id="12" w:name="十月的规划难题"/>
    <w:p>
      <w:pPr>
        <w:pStyle w:val="Heading1"/>
      </w:pPr>
      <w:r>
        <w:rPr>
          <w:rFonts w:hint="eastAsia"/>
        </w:rPr>
        <w:t xml:space="preserve">十月的规划难题</w:t>
      </w:r>
    </w:p>
    <w:p>
      <w:pPr>
        <w:pStyle w:val="FirstParagraph"/>
      </w:pPr>
      <w:r>
        <w:rPr>
          <w:rFonts w:hint="eastAsia"/>
        </w:rPr>
        <w:t xml:space="preserve">极光的规划团队为未来16周准备了三种需求情景。这些情景并非概率，而是每一种都代表了高管层认为可信的一个连贯情节。</w:t>
      </w:r>
    </w:p>
    <w:tbl>
      <w:tblPr>
        <w:tblStyle w:val="Table"/>
        <w:tblW w:type="pct" w:w="4937"/>
        <w:tblLayout w:type="fixed"/>
        <w:tblLook w:firstRow="1" w:lastRow="0" w:firstColumn="0" w:lastColumn="0" w:noHBand="0" w:noVBand="0" w:val="0020"/>
      </w:tblPr>
      <w:tblGrid>
        <w:gridCol w:w="902"/>
        <w:gridCol w:w="2456"/>
        <w:gridCol w:w="952"/>
        <w:gridCol w:w="852"/>
        <w:gridCol w:w="2656"/>
      </w:tblGrid>
      <w:tr>
        <w:trPr>
          <w:tblHeader w:val="on"/>
        </w:trPr>
        <w:tc>
          <w:tcPr/>
          <w:p>
            <w:pPr>
              <w:pStyle w:val="Compact"/>
            </w:pPr>
            <w:r>
              <w:rPr>
                <w:rFonts w:hint="eastAsia"/>
              </w:rPr>
              <w:t xml:space="preserve">情景</w:t>
            </w:r>
            <w:r>
              <w:t xml:space="preserve"> </w:t>
            </w:r>
            <w:r>
              <w:rPr>
                <w:rFonts w:hint="eastAsia"/>
              </w:rPr>
              <w:t xml:space="preserve">触发</w:t>
            </w:r>
          </w:p>
        </w:tc>
        <w:tc>
          <w:tcPr/>
          <w:p>
            <w:pPr>
              <w:pStyle w:val="Compact"/>
            </w:pPr>
            <w:r>
              <w:rPr>
                <w:rFonts w:hint="eastAsia"/>
              </w:rPr>
              <w:t xml:space="preserve">因素</w:t>
            </w:r>
            <w:r>
              <w:t xml:space="preserve"> Cro</w:t>
            </w:r>
          </w:p>
        </w:tc>
        <w:tc>
          <w:tcPr/>
          <w:p>
            <w:pPr>
              <w:pStyle w:val="Compact"/>
            </w:pPr>
            <w:r>
              <w:rPr>
                <w:rFonts w:hint="eastAsia"/>
              </w:rPr>
              <w:t xml:space="preserve">sswind需求</w:t>
            </w:r>
            <w:r>
              <w:t xml:space="preserve"> </w:t>
            </w:r>
            <w:r>
              <w:rPr>
                <w:rFonts w:hint="eastAsia"/>
              </w:rPr>
              <w:t xml:space="preserve">插电式</w:t>
            </w:r>
          </w:p>
        </w:tc>
        <w:tc>
          <w:tcPr/>
          <w:p>
            <w:pPr>
              <w:pStyle w:val="Compact"/>
              <w:jc w:val="left"/>
            </w:pPr>
            <w:r>
              <w:rPr>
                <w:rFonts w:hint="eastAsia"/>
              </w:rPr>
              <w:t xml:space="preserve">需求</w:t>
            </w:r>
            <w:r>
              <w:t xml:space="preserve"> </w:t>
            </w:r>
            <w:r>
              <w:rPr>
                <w:rFonts w:hint="eastAsia"/>
              </w:rPr>
              <w:t xml:space="preserve">运营影响</w:t>
            </w:r>
          </w:p>
        </w:tc>
        <w:tc>
          <w:tcPr/>
          <w:p>
            <w:pPr>
              <w:pStyle w:val="Compact"/>
            </w:pPr>
          </w:p>
        </w:tc>
      </w:tr>
      <w:tr>
        <w:tc>
          <w:tcPr/>
          <w:p>
            <w:pPr>
              <w:pStyle w:val="Compact"/>
            </w:pPr>
            <w:r>
              <w:rPr>
                <w:rFonts w:hint="eastAsia"/>
              </w:rPr>
              <w:t xml:space="preserve">燃油冲击</w:t>
            </w:r>
            <w:r>
              <w:t xml:space="preserve"> </w:t>
            </w:r>
            <w:r>
              <w:rPr>
                <w:rFonts w:hint="eastAsia"/>
              </w:rPr>
              <w:t xml:space="preserve">石</w:t>
            </w:r>
          </w:p>
        </w:tc>
        <w:tc>
          <w:tcPr/>
          <w:p>
            <w:pPr>
              <w:pStyle w:val="Compact"/>
            </w:pPr>
            <w:r>
              <w:rPr>
                <w:rFonts w:hint="eastAsia"/>
              </w:rPr>
              <w:t xml:space="preserve">油供应中断；汽油价格大幅上涨</w:t>
            </w:r>
            <w:r>
              <w:t xml:space="preserve"> +22%</w:t>
            </w:r>
          </w:p>
        </w:tc>
        <w:tc>
          <w:tcPr/>
          <w:p>
            <w:pPr>
              <w:pStyle w:val="Compact"/>
            </w:pPr>
            <w:r>
              <w:t xml:space="preserve">+35%</w:t>
            </w:r>
          </w:p>
        </w:tc>
        <w:tc>
          <w:tcPr/>
          <w:p>
            <w:pPr>
              <w:pStyle w:val="Compact"/>
              <w:jc w:val="left"/>
            </w:pPr>
            <w:r>
              <w:rPr>
                <w:rFonts w:hint="eastAsia"/>
              </w:rPr>
              <w:t xml:space="preserve">加快亚洲零部件供应</w:t>
            </w:r>
          </w:p>
        </w:tc>
        <w:tc>
          <w:tcPr/>
          <w:p>
            <w:pPr>
              <w:pStyle w:val="Compact"/>
            </w:pPr>
            <w:r>
              <w:rPr>
                <w:rFonts w:hint="eastAsia"/>
              </w:rPr>
              <w:t xml:space="preserve">；推迟低利润车型</w:t>
            </w:r>
          </w:p>
        </w:tc>
      </w:tr>
      <w:tr>
        <w:tc>
          <w:tcPr/>
          <w:p>
            <w:pPr>
              <w:pStyle w:val="Compact"/>
            </w:pPr>
            <w:r>
              <w:rPr>
                <w:rFonts w:hint="eastAsia"/>
              </w:rPr>
              <w:t xml:space="preserve">政策后遗症</w:t>
            </w:r>
            <w:r>
              <w:t xml:space="preserve"> </w:t>
            </w:r>
            <w:r>
              <w:rPr>
                <w:rFonts w:hint="eastAsia"/>
              </w:rPr>
              <w:t xml:space="preserve">税收抵</w:t>
            </w:r>
          </w:p>
        </w:tc>
        <w:tc>
          <w:tcPr/>
          <w:p>
            <w:pPr>
              <w:pStyle w:val="Compact"/>
            </w:pPr>
            <w:r>
              <w:rPr>
                <w:rFonts w:hint="eastAsia"/>
              </w:rPr>
              <w:t xml:space="preserve">免取消抑制电动化需求</w:t>
            </w:r>
            <w:r>
              <w:t xml:space="preserve"> -8% -28%</w:t>
            </w:r>
          </w:p>
        </w:tc>
        <w:tc>
          <w:tcPr/>
          <w:p>
            <w:pPr>
              <w:pStyle w:val="Compact"/>
            </w:pPr>
            <w:r>
              <w:rPr>
                <w:rFonts w:hint="eastAsia"/>
              </w:rPr>
              <w:t xml:space="preserve">插电式零部</w:t>
            </w:r>
          </w:p>
        </w:tc>
        <w:tc>
          <w:tcPr/>
          <w:p>
            <w:pPr>
              <w:pStyle w:val="Compact"/>
              <w:jc w:val="left"/>
            </w:pPr>
            <w:r>
              <w:rPr>
                <w:rFonts w:hint="eastAsia"/>
              </w:rPr>
              <w:t xml:space="preserve">件过剩；经销商取消</w:t>
            </w:r>
          </w:p>
        </w:tc>
        <w:tc>
          <w:tcPr/>
          <w:p>
            <w:pPr>
              <w:pStyle w:val="Compact"/>
            </w:pPr>
            <w:r>
              <w:rPr>
                <w:rFonts w:hint="eastAsia"/>
              </w:rPr>
              <w:t xml:space="preserve">订单</w:t>
            </w:r>
          </w:p>
        </w:tc>
      </w:tr>
      <w:tr>
        <w:tc>
          <w:tcPr/>
          <w:p>
            <w:pPr>
              <w:pStyle w:val="Compact"/>
            </w:pPr>
            <w:r>
              <w:rPr>
                <w:rFonts w:hint="eastAsia"/>
              </w:rPr>
              <w:t xml:space="preserve">混合动力转向</w:t>
            </w:r>
          </w:p>
        </w:tc>
        <w:tc>
          <w:tcPr/>
          <w:p>
            <w:pPr>
              <w:pStyle w:val="Compact"/>
            </w:pPr>
            <w:r>
              <w:rPr>
                <w:rFonts w:hint="eastAsia"/>
              </w:rPr>
              <w:t xml:space="preserve">买家回避纯电动车但追求燃油经济性</w:t>
            </w:r>
            <w:r>
              <w:t xml:space="preserve"> +15%</w:t>
            </w:r>
          </w:p>
        </w:tc>
        <w:tc>
          <w:tcPr/>
          <w:p>
            <w:pPr>
              <w:pStyle w:val="Compact"/>
            </w:pPr>
            <w:r>
              <w:t xml:space="preserve">+5%</w:t>
            </w:r>
          </w:p>
        </w:tc>
        <w:tc>
          <w:tcPr/>
          <w:p>
            <w:pPr>
              <w:pStyle w:val="Compact"/>
              <w:jc w:val="left"/>
            </w:pPr>
            <w:r>
              <w:rPr>
                <w:rFonts w:hint="eastAsia"/>
              </w:rPr>
              <w:t xml:space="preserve">发动机、逆变</w:t>
            </w:r>
          </w:p>
        </w:tc>
        <w:tc>
          <w:tcPr/>
          <w:p>
            <w:pPr>
              <w:pStyle w:val="Compact"/>
            </w:pPr>
            <w:r>
              <w:rPr>
                <w:rFonts w:hint="eastAsia"/>
              </w:rPr>
              <w:t xml:space="preserve">器和电池需求同步上升</w:t>
            </w:r>
          </w:p>
        </w:tc>
      </w:tr>
    </w:tbl>
    <w:p>
      <w:pPr>
        <w:pStyle w:val="BodyText"/>
      </w:pPr>
      <w:r>
        <w:rPr>
          <w:rFonts w:hint="eastAsia"/>
        </w:rPr>
        <w:t xml:space="preserve">当前生产计划要求在16周规划期内生产15,900辆汽车。已确认的零部件供应在不采取干预措施的情况下只能支持13,750辆。采购部门提议投入1,860万美元用于加急订单和溢价运费。制造部门提议围绕现有零部件重新排序生产，接受较低的周产量，但避免使用紧急物流。销售部门希望极光优先满足高油价地区的经销商订单，并立即承诺交付日期。财务部门则认为，在更充分了解税收抵免变化后的取消情况之前，极光不应承诺投入稀缺零部件。</w:t>
      </w:r>
    </w:p>
    <w:tbl>
      <w:tblPr>
        <w:tblStyle w:val="Table"/>
        <w:tblW w:type="pct" w:w="4943"/>
        <w:tblLayout w:type="fixed"/>
        <w:tblLook w:firstRow="1" w:lastRow="0" w:firstColumn="0" w:lastColumn="0" w:noHBand="0" w:noVBand="0" w:val="0020"/>
      </w:tblPr>
      <w:tblGrid>
        <w:gridCol w:w="1855"/>
        <w:gridCol w:w="2036"/>
        <w:gridCol w:w="1855"/>
        <w:gridCol w:w="2081"/>
      </w:tblGrid>
      <w:tr>
        <w:trPr>
          <w:tblHeader w:val="on"/>
        </w:trPr>
        <w:tc>
          <w:tcPr/>
          <w:p>
            <w:pPr>
              <w:pStyle w:val="Compact"/>
            </w:pPr>
            <w:r>
              <w:rPr>
                <w:rFonts w:hint="eastAsia"/>
              </w:rPr>
              <w:t xml:space="preserve">提议的应对措施</w:t>
            </w:r>
            <w:r>
              <w:t xml:space="preserve"> </w:t>
            </w:r>
            <w:r>
              <w:rPr>
                <w:rFonts w:hint="eastAsia"/>
              </w:rPr>
              <w:t xml:space="preserve">即时</w:t>
            </w:r>
          </w:p>
        </w:tc>
        <w:tc>
          <w:tcPr/>
          <w:p>
            <w:pPr>
              <w:pStyle w:val="Compact"/>
              <w:jc w:val="left"/>
            </w:pPr>
            <w:r>
              <w:rPr>
                <w:rFonts w:hint="eastAsia"/>
              </w:rPr>
              <w:t xml:space="preserve">现金/成本</w:t>
            </w:r>
            <w:r>
              <w:t xml:space="preserve"> </w:t>
            </w:r>
            <w:r>
              <w:rPr>
                <w:rFonts w:hint="eastAsia"/>
              </w:rPr>
              <w:t xml:space="preserve">潜在优势</w:t>
            </w:r>
          </w:p>
        </w:tc>
        <w:tc>
          <w:tcPr/>
          <w:p>
            <w:pPr>
              <w:pStyle w:val="Compact"/>
              <w:jc w:val="center"/>
            </w:pPr>
            <w:r>
              <w:rPr>
                <w:rFonts w:hint="eastAsia"/>
              </w:rPr>
              <w:t xml:space="preserve">主要担忧</w:t>
            </w:r>
          </w:p>
        </w:tc>
        <w:tc>
          <w:tcPr/>
          <w:p>
            <w:pPr>
              <w:pStyle w:val="Compact"/>
            </w:pPr>
          </w:p>
        </w:tc>
      </w:tr>
      <w:tr>
        <w:tc>
          <w:tcPr/>
          <w:p>
            <w:pPr>
              <w:pStyle w:val="Compact"/>
            </w:pPr>
            <w:r>
              <w:rPr>
                <w:rFonts w:hint="eastAsia"/>
              </w:rPr>
              <w:t xml:space="preserve">购买并加急进口零部件</w:t>
            </w:r>
            <w:r>
              <w:t xml:space="preserve"> </w:t>
            </w:r>
            <w:r>
              <w:rPr>
                <w:rFonts w:hint="eastAsia"/>
              </w:rPr>
              <w:t xml:space="preserve">1,860万美元承诺；</w:t>
            </w:r>
          </w:p>
        </w:tc>
        <w:tc>
          <w:tcPr/>
          <w:p>
            <w:pPr>
              <w:pStyle w:val="Compact"/>
              <w:jc w:val="left"/>
            </w:pPr>
            <w:r>
              <w:rPr>
                <w:rFonts w:hint="eastAsia"/>
              </w:rPr>
              <w:t xml:space="preserve">340万美元溢价运费</w:t>
            </w:r>
            <w:r>
              <w:t xml:space="preserve"> </w:t>
            </w:r>
            <w:r>
              <w:rPr>
                <w:rFonts w:hint="eastAsia"/>
              </w:rPr>
              <w:t xml:space="preserve">保护产量和经销商服务</w:t>
            </w:r>
          </w:p>
        </w:tc>
        <w:tc>
          <w:tcPr/>
          <w:p>
            <w:pPr>
              <w:pStyle w:val="Compact"/>
              <w:jc w:val="center"/>
            </w:pPr>
            <w:r>
              <w:rPr>
                <w:rFonts w:hint="eastAsia"/>
              </w:rPr>
              <w:t xml:space="preserve">关税或需求可能在到货前发生变化</w:t>
            </w:r>
          </w:p>
        </w:tc>
        <w:tc>
          <w:tcPr/>
          <w:p>
            <w:pPr>
              <w:pStyle w:val="Compact"/>
            </w:pPr>
          </w:p>
        </w:tc>
      </w:tr>
      <w:tr>
        <w:tc>
          <w:tcPr/>
          <w:p>
            <w:pPr>
              <w:pStyle w:val="Compact"/>
            </w:pPr>
            <w:r>
              <w:rPr>
                <w:rFonts w:hint="eastAsia"/>
              </w:rPr>
              <w:t xml:space="preserve">组装未完工车辆</w:t>
            </w:r>
            <w:r>
              <w:t xml:space="preserve"> </w:t>
            </w:r>
            <w:r>
              <w:rPr>
                <w:rFonts w:hint="eastAsia"/>
              </w:rPr>
              <w:t xml:space="preserve">6.2百万美元</w:t>
            </w:r>
          </w:p>
        </w:tc>
        <w:tc>
          <w:tcPr/>
          <w:p>
            <w:pPr>
              <w:pStyle w:val="Compact"/>
              <w:jc w:val="left"/>
            </w:pPr>
            <w:r>
              <w:rPr>
                <w:rFonts w:hint="eastAsia"/>
              </w:rPr>
              <w:t xml:space="preserve">临时营运资金</w:t>
            </w:r>
            <w:r>
              <w:t xml:space="preserve"> </w:t>
            </w:r>
            <w:r>
              <w:rPr>
                <w:rFonts w:hint="eastAsia"/>
              </w:rPr>
              <w:t xml:space="preserve">维持劳动</w:t>
            </w:r>
          </w:p>
        </w:tc>
        <w:tc>
          <w:tcPr/>
          <w:p>
            <w:pPr>
              <w:pStyle w:val="Compact"/>
              <w:jc w:val="center"/>
            </w:pPr>
            <w:r>
              <w:rPr>
                <w:rFonts w:hint="eastAsia"/>
              </w:rPr>
              <w:t xml:space="preserve">力和车身车间的利用率</w:t>
            </w:r>
            <w:r>
              <w:t xml:space="preserve"> </w:t>
            </w:r>
            <w:r>
              <w:rPr>
                <w:rFonts w:hint="eastAsia"/>
              </w:rPr>
              <w:t xml:space="preserve">返工、仓储和质</w:t>
            </w:r>
          </w:p>
        </w:tc>
        <w:tc>
          <w:tcPr/>
          <w:p>
            <w:pPr>
              <w:pStyle w:val="Compact"/>
            </w:pPr>
            <w:r>
              <w:rPr>
                <w:rFonts w:hint="eastAsia"/>
              </w:rPr>
              <w:t xml:space="preserve">量风险</w:t>
            </w:r>
          </w:p>
        </w:tc>
      </w:tr>
      <w:tr>
        <w:tc>
          <w:tcPr/>
          <w:p>
            <w:pPr>
              <w:pStyle w:val="Compact"/>
            </w:pPr>
            <w:r>
              <w:rPr>
                <w:rFonts w:hint="eastAsia"/>
              </w:rPr>
              <w:t xml:space="preserve">按利润率/地区重新分配零部件</w:t>
            </w:r>
            <w:r>
              <w:t xml:space="preserve"> </w:t>
            </w:r>
            <w:r>
              <w:rPr>
                <w:rFonts w:hint="eastAsia"/>
              </w:rPr>
              <w:t xml:space="preserve">直接成本低</w:t>
            </w:r>
          </w:p>
        </w:tc>
        <w:tc>
          <w:tcPr/>
          <w:p>
            <w:pPr>
              <w:pStyle w:val="Compact"/>
              <w:jc w:val="left"/>
            </w:pPr>
            <w:r>
              <w:rPr>
                <w:rFonts w:hint="eastAsia"/>
              </w:rPr>
              <w:t xml:space="preserve">将稀缺供给匹配至当前价值</w:t>
            </w:r>
          </w:p>
        </w:tc>
        <w:tc>
          <w:tcPr/>
          <w:p>
            <w:pPr>
              <w:pStyle w:val="Compact"/>
              <w:jc w:val="center"/>
            </w:pPr>
            <w:r>
              <w:rPr>
                <w:rFonts w:hint="eastAsia"/>
              </w:rPr>
              <w:t xml:space="preserve">最高之处</w:t>
            </w:r>
            <w:r>
              <w:t xml:space="preserve"> </w:t>
            </w:r>
            <w:r>
              <w:rPr>
                <w:rFonts w:hint="eastAsia"/>
              </w:rPr>
              <w:t xml:space="preserve">经销商公平性与预测误差</w:t>
            </w:r>
          </w:p>
        </w:tc>
        <w:tc>
          <w:tcPr/>
          <w:p>
            <w:pPr>
              <w:pStyle w:val="Compact"/>
            </w:pPr>
          </w:p>
        </w:tc>
      </w:tr>
      <w:tr>
        <w:tc>
          <w:tcPr/>
          <w:p>
            <w:pPr>
              <w:pStyle w:val="Compact"/>
            </w:pPr>
            <w:r>
              <w:rPr>
                <w:rFonts w:hint="eastAsia"/>
              </w:rPr>
              <w:t xml:space="preserve">削减生产计划</w:t>
            </w:r>
            <w:r>
              <w:t xml:space="preserve"> </w:t>
            </w:r>
            <w:r>
              <w:rPr>
                <w:rFonts w:hint="eastAsia"/>
              </w:rPr>
              <w:t xml:space="preserve">放弃的贡献毛</w:t>
            </w:r>
          </w:p>
        </w:tc>
        <w:tc>
          <w:tcPr/>
          <w:p>
            <w:pPr>
              <w:pStyle w:val="Compact"/>
              <w:jc w:val="left"/>
            </w:pPr>
            <w:r>
              <w:rPr>
                <w:rFonts w:hint="eastAsia"/>
              </w:rPr>
              <w:t xml:space="preserve">利</w:t>
            </w:r>
            <w:r>
              <w:t xml:space="preserve"> </w:t>
            </w:r>
            <w:r>
              <w:rPr>
                <w:rFonts w:hint="eastAsia"/>
              </w:rPr>
              <w:t xml:space="preserve">减少库存和关税风险敞口</w:t>
            </w:r>
          </w:p>
        </w:tc>
        <w:tc>
          <w:tcPr/>
          <w:p>
            <w:pPr>
              <w:pStyle w:val="Compact"/>
              <w:jc w:val="center"/>
            </w:pPr>
            <w:r>
              <w:rPr>
                <w:rFonts w:hint="eastAsia"/>
              </w:rPr>
              <w:t xml:space="preserve">客户长时间等待；供应商中断</w:t>
            </w:r>
          </w:p>
        </w:tc>
        <w:tc>
          <w:tcPr/>
          <w:p>
            <w:pPr>
              <w:pStyle w:val="Compact"/>
            </w:pPr>
          </w:p>
        </w:tc>
      </w:tr>
      <w:tr>
        <w:tc>
          <w:tcPr/>
          <w:p>
            <w:pPr>
              <w:pStyle w:val="Compact"/>
            </w:pPr>
            <w:r>
              <w:rPr>
                <w:rFonts w:hint="eastAsia"/>
              </w:rPr>
              <w:t xml:space="preserve">双重采购与重新设计</w:t>
            </w:r>
            <w:r>
              <w:t xml:space="preserve"> </w:t>
            </w:r>
            <w:r>
              <w:rPr>
                <w:rFonts w:hint="eastAsia"/>
              </w:rPr>
              <w:t xml:space="preserve">最多4,2</w:t>
            </w:r>
          </w:p>
        </w:tc>
        <w:tc>
          <w:tcPr/>
          <w:p>
            <w:pPr>
              <w:pStyle w:val="Compact"/>
              <w:jc w:val="left"/>
            </w:pPr>
            <w:r>
              <w:rPr>
                <w:rFonts w:hint="eastAsia"/>
              </w:rPr>
              <w:t xml:space="preserve">00万美元，历时18个月</w:t>
            </w:r>
            <w:r>
              <w:t xml:space="preserve"> </w:t>
            </w:r>
            <w:r>
              <w:rPr>
                <w:rFonts w:hint="eastAsia"/>
              </w:rPr>
              <w:t xml:space="preserve">长期韧性</w:t>
            </w:r>
          </w:p>
        </w:tc>
        <w:tc>
          <w:tcPr/>
          <w:p>
            <w:pPr>
              <w:pStyle w:val="Compact"/>
              <w:jc w:val="center"/>
            </w:pPr>
            <w:r>
              <w:rPr>
                <w:rFonts w:hint="eastAsia"/>
              </w:rPr>
              <w:t xml:space="preserve">与本地化含量</w:t>
            </w:r>
            <w:r>
              <w:t xml:space="preserve"> </w:t>
            </w:r>
            <w:r>
              <w:rPr>
                <w:rFonts w:hint="eastAsia"/>
              </w:rPr>
              <w:t xml:space="preserve">对当前积压订单而言太</w:t>
            </w:r>
          </w:p>
        </w:tc>
        <w:tc>
          <w:tcPr/>
          <w:p>
            <w:pPr>
              <w:pStyle w:val="Compact"/>
            </w:pPr>
            <w:r>
              <w:rPr>
                <w:rFonts w:hint="eastAsia"/>
              </w:rPr>
              <w:t xml:space="preserve">慢</w:t>
            </w:r>
          </w:p>
        </w:tc>
      </w:tr>
    </w:tbl>
    <w:bookmarkEnd w:id="12"/>
    <w:bookmarkStart w:id="13" w:name="一个协调问题而非四个独立的预测"/>
    <w:p>
      <w:pPr>
        <w:pStyle w:val="Heading1"/>
      </w:pPr>
      <w:r>
        <w:rPr>
          <w:rFonts w:hint="eastAsia"/>
        </w:rPr>
        <w:t xml:space="preserve">一个协调问题，而非四个独立的预测</w:t>
      </w:r>
    </w:p>
    <w:p>
      <w:pPr>
        <w:pStyle w:val="FirstParagraph"/>
      </w:pPr>
      <w:r>
        <w:rPr>
          <w:rFonts w:hint="eastAsia"/>
        </w:rPr>
        <w:t xml:space="preserve">陈认为，极光各部门都在优化该问题的不同版本。采购部门衡量零部件可获得性和采购价格差异。制造部门衡量产线利用率和完工车辆数量。物流部门衡量溢价运费和交付绩效。销售部门衡量订单量和经销商满足率。财务部门衡量现金、利润率和库存。没有任何一个部门统筹从零部件承诺到客户交付的整体决策。</w:t>
      </w:r>
    </w:p>
    <w:p>
      <w:pPr>
        <w:pStyle w:val="BodyText"/>
      </w:pPr>
      <w:r>
        <w:rPr>
          <w:rFonts w:hint="eastAsia"/>
        </w:rPr>
        <w:t xml:space="preserve">多位高管提议召开每周一次的”控制塔”会议。另一些人则认为，开会无法解决根本问题：极光需要一个能够联合表示进厂交货期、关税、生产约束、不确定的订单取消、区域需求和出厂运力的决策模型。构建这样一个模型所需的信息并不完整。供应商交货期即便分布高度偏斜，也仅以单一数字报出。经销商订单可以无罚金取消。关税分类有时在入境后仍存在争议。汽油价格预测也无法对地缘政治冲击提供可靠的预警。</w:t>
      </w:r>
    </w:p>
    <w:bookmarkEnd w:id="13"/>
    <w:bookmarkStart w:id="14" w:name="会议"/>
    <w:p>
      <w:pPr>
        <w:pStyle w:val="Heading1"/>
      </w:pPr>
      <w:r>
        <w:rPr>
          <w:rFonts w:hint="eastAsia"/>
        </w:rPr>
        <w:t xml:space="preserve">会议</w:t>
      </w:r>
    </w:p>
    <w:p>
      <w:pPr>
        <w:pStyle w:val="FirstParagraph"/>
      </w:pPr>
      <w:r>
        <w:rPr>
          <w:rFonts w:hint="eastAsia"/>
        </w:rPr>
        <w:t xml:space="preserve">下午4点，陈在白板上写下了五个数字：3,800份客户订单；2.6周的控制模块库存；1,860万美元的拟议承诺；16周的不确定需求；以及一个八周的交付承诺。首席执行官希望在周五之前得到一份建议。他没有要求一份预测。他问的是极光现在应该做什么，接下来应收集哪些信息，以及哪些承诺应保持可撤销性。</w:t>
      </w:r>
    </w:p>
    <w:p>
      <w:pPr>
        <w:pStyle w:val="BodyText"/>
      </w:pPr>
      <w:r>
        <w:rPr>
          <w:rFonts w:hint="eastAsia"/>
        </w:rPr>
        <w:t xml:space="preserve">在陈看来，供给与需求之间没有清晰的界限。多订购电池电芯可以在燃油价格飙升时保护交付，但如果关税上升或插电式需求疲软，也可能造成库存积压。削减生产可以节约现金，但也可能在买家转向混合动力车之际拱手让出市场。将稀缺车辆分配给利润率最高的地区可能提升短期利润，但会损害其他地区的经销商关系。重新设计供应链可以降低未来的风险敞口，但无法填补系统中已有的订单。</w:t>
      </w:r>
    </w:p>
    <w:p>
      <w:pPr>
        <w:pStyle w:val="BodyText"/>
      </w:pPr>
      <w:r>
        <w:rPr>
          <w:rFonts w:hint="eastAsia"/>
        </w:rPr>
        <w:t xml:space="preserve">高管团队必须在得知自己面对的是市场的哪一种版本之前，就选定一种运营姿态。</w:t>
      </w:r>
    </w:p>
    <w:bookmarkEnd w:id="14"/>
    <w:bookmarkStart w:id="15" w:name="讨论题"/>
    <w:p>
      <w:pPr>
        <w:pStyle w:val="Heading1"/>
      </w:pPr>
      <w:r>
        <w:rPr>
          <w:rFonts w:hint="eastAsia"/>
        </w:rPr>
        <w:t xml:space="preserve">讨论题</w:t>
      </w:r>
    </w:p>
    <w:p>
      <w:pPr>
        <w:numPr>
          <w:ilvl w:val="0"/>
          <w:numId w:val="1001"/>
        </w:numPr>
      </w:pPr>
      <w:r>
        <w:rPr>
          <w:rFonts w:hint="eastAsia"/>
        </w:rPr>
        <w:t xml:space="preserve">本案例中的关键绩效指标是什么？哪些指标之间存在冲突？</w:t>
      </w:r>
    </w:p>
    <w:p>
      <w:pPr>
        <w:numPr>
          <w:ilvl w:val="0"/>
          <w:numId w:val="1001"/>
        </w:numPr>
      </w:pPr>
      <w:r>
        <w:rPr>
          <w:rFonts w:hint="eastAsia"/>
        </w:rPr>
        <w:t xml:space="preserve">极光现在必须做出哪些决策，哪些决策可以推迟到获得更多信息之后再做？</w:t>
      </w:r>
    </w:p>
    <w:p>
      <w:pPr>
        <w:numPr>
          <w:ilvl w:val="0"/>
          <w:numId w:val="1001"/>
        </w:numPr>
      </w:pPr>
      <w:r>
        <w:rPr>
          <w:rFonts w:hint="eastAsia"/>
        </w:rPr>
        <w:t xml:space="preserve">极光应如何将进厂采购、生产排序、库存定位、经销商分配和客户交付承诺连接起来？</w:t>
      </w:r>
    </w:p>
    <w:p>
      <w:pPr>
        <w:numPr>
          <w:ilvl w:val="0"/>
          <w:numId w:val="1001"/>
        </w:numPr>
      </w:pPr>
      <w:r>
        <w:rPr>
          <w:rFonts w:hint="eastAsia"/>
        </w:rPr>
        <w:t xml:space="preserve">哪些不确定性是外源的，哪些不确定性可以通过合同、产品设计、信息收集或客户政策加以影响？</w:t>
      </w:r>
    </w:p>
    <w:p>
      <w:pPr>
        <w:numPr>
          <w:ilvl w:val="0"/>
          <w:numId w:val="1001"/>
        </w:numPr>
      </w:pPr>
      <w:r>
        <w:rPr>
          <w:rFonts w:hint="eastAsia"/>
        </w:rPr>
        <w:t xml:space="preserve">在周五之前，哪些数据最有价值？哪些信息虽然有用但会来得太迟？</w:t>
      </w:r>
    </w:p>
    <w:p>
      <w:pPr>
        <w:numPr>
          <w:ilvl w:val="0"/>
          <w:numId w:val="1001"/>
        </w:numPr>
      </w:pPr>
      <w:r>
        <w:rPr>
          <w:rFonts w:hint="eastAsia"/>
        </w:rPr>
        <w:t xml:space="preserve">当五种提议的应对措施在所有情景下都没有绝对优势时，极光应如何评估它们？</w:t>
      </w:r>
    </w:p>
    <w:p>
      <w:pPr>
        <w:numPr>
          <w:ilvl w:val="0"/>
          <w:numId w:val="1001"/>
        </w:numPr>
      </w:pPr>
      <w:r>
        <w:rPr>
          <w:rFonts w:hint="eastAsia"/>
        </w:rPr>
        <w:t xml:space="preserve">即使极光开发出一套精密的规划模型，可能仍需要哪些组织变革？</w:t>
      </w:r>
    </w:p>
    <w:bookmarkEnd w:id="15"/>
    <w:bookmarkStart w:id="21"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识别并描述决策者的职责范围。这将界定问题的范围。</w:t>
      </w:r>
    </w:p>
    <w:p>
      <w:pPr>
        <w:numPr>
          <w:ilvl w:val="0"/>
          <w:numId w:val="1002"/>
        </w:numPr>
      </w:pPr>
      <w:r>
        <w:rPr>
          <w:rFonts w:hint="eastAsia"/>
        </w:rPr>
        <w:t xml:space="preserve">使用</w:t>
      </w:r>
      <w:hyperlink r:id="rId16">
        <w:r>
          <w:rPr>
            <w:rStyle w:val="Hyperlink"/>
            <w:rFonts w:hint="eastAsia"/>
          </w:rPr>
          <w:t xml:space="preserve">指标金字塔工具</w:t>
        </w:r>
      </w:hyperlink>
      <w:r>
        <w:rPr>
          <w:rFonts w:hint="eastAsia"/>
        </w:rPr>
        <w:t xml:space="preserve">识别并对不同的绩效指标进行优先级排序。点击承载该指标的椭圆形，以标明它是需要最大化的指标（绿色）、需要最小化的指标（红色）、作为下限的目标（浅绿色）、作为上限的目标（浅红色），还是最后一种目标值（紫色）。</w:t>
      </w:r>
    </w:p>
    <w:p>
      <w:pPr>
        <w:numPr>
          <w:ilvl w:val="0"/>
          <w:numId w:val="1002"/>
        </w:numPr>
      </w:pPr>
      <w:r>
        <w:rPr>
          <w:rFonts w:hint="eastAsia"/>
        </w:rPr>
        <w:t xml:space="preserve">使用</w:t>
      </w:r>
      <w:hyperlink r:id="rId17">
        <w:r>
          <w:rPr>
            <w:rStyle w:val="Hyperlink"/>
            <w:rFonts w:hint="eastAsia"/>
          </w:rPr>
          <w:t xml:space="preserve">决策优先级工具</w:t>
        </w:r>
      </w:hyperlink>
      <w:r>
        <w:rPr>
          <w:rFonts w:hint="eastAsia"/>
        </w:rPr>
        <w:t xml:space="preserve">，首先列出不同类型的决策（可参考</w:t>
      </w:r>
      <w:hyperlink r:id="rId18">
        <w:r>
          <w:rPr>
            <w:rStyle w:val="Hyperlink"/>
            <w:rFonts w:hint="eastAsia"/>
          </w:rPr>
          <w:t xml:space="preserve">决策类型</w:t>
        </w:r>
      </w:hyperlink>
      <w:r>
        <w:rPr>
          <w:rFonts w:hint="eastAsia"/>
        </w:rPr>
        <w:t xml:space="preserve">作为指导）。这些决策将随后填充右侧矩阵的各行，而各列则是按照上方金字塔中的优先级从左到右排列的绩效指标。点击每个单元格，标明该决策对每项指标的影响程度：高（红色）、中（橙色）、低（黄色）或无（白色）。</w:t>
      </w:r>
    </w:p>
    <w:p>
      <w:pPr>
        <w:numPr>
          <w:ilvl w:val="0"/>
          <w:numId w:val="1002"/>
        </w:numPr>
      </w:pPr>
      <w:r>
        <w:rPr>
          <w:rFonts w:hint="eastAsia"/>
        </w:rPr>
        <w:t xml:space="preserve">你可以抓取每一行最左侧的把手（三条横杠）将其上移或下移。对各行进行排序，使对最重要指标影响最大的决策排在最上方。左上角的单元格应集中最多的红色和橙色单元格。此时，识别出在你的研究中最应受到关注的决策。如果对最重要指标没有任何中等或高等影响的决策，请重新审视你的决策清单。</w:t>
      </w:r>
    </w:p>
    <w:p>
      <w:pPr>
        <w:numPr>
          <w:ilvl w:val="0"/>
          <w:numId w:val="1002"/>
        </w:numPr>
      </w:pPr>
      <w:r>
        <w:rPr>
          <w:rFonts w:hint="eastAsia"/>
        </w:rPr>
        <w:t xml:space="preserve">使用</w:t>
      </w:r>
      <w:hyperlink r:id="rId19">
        <w:r>
          <w:rPr>
            <w:rStyle w:val="Hyperlink"/>
            <w:rFonts w:hint="eastAsia"/>
          </w:rPr>
          <w:t xml:space="preserve">不确定性优先级工具</w:t>
        </w:r>
      </w:hyperlink>
      <w:r>
        <w:rPr>
          <w:rFonts w:hint="eastAsia"/>
        </w:rPr>
        <w:t xml:space="preserve">重复上述过程，以列出并对不确定性进行优先级排序。可参考</w:t>
      </w:r>
      <w:hyperlink r:id="rId20">
        <w:r>
          <w:rPr>
            <w:rStyle w:val="Hyperlink"/>
            <w:rFonts w:hint="eastAsia"/>
          </w:rPr>
          <w:t xml:space="preserve">不确定性类别</w:t>
        </w:r>
      </w:hyperlink>
      <w:r>
        <w:rPr>
          <w:rFonts w:hint="eastAsia"/>
        </w:rPr>
        <w:t xml:space="preserve">来帮助你识别这些不确定性。</w:t>
      </w:r>
    </w:p>
    <w:p>
      <w:pPr>
        <w:numPr>
          <w:ilvl w:val="0"/>
          <w:numId w:val="1002"/>
        </w:numPr>
      </w:pPr>
      <w:r>
        <w:rPr>
          <w:rFonts w:hint="eastAsia"/>
        </w:rPr>
        <w:t xml:space="preserve">区分哪些不确定性可以通过长期平均表现来评估、哪些应作为风险事件来看待，这一点很重要：</w:t>
      </w:r>
    </w:p>
    <w:p>
      <w:pPr>
        <w:numPr>
          <w:ilvl w:val="1"/>
          <w:numId w:val="1003"/>
        </w:numPr>
      </w:pPr>
      <w:r>
        <w:rPr>
          <w:rFonts w:hint="eastAsia"/>
        </w:rPr>
        <w:t xml:space="preserve">哪些不确定性来源可以通过一段时间内的平均绩效来体现？</w:t>
      </w:r>
    </w:p>
    <w:p>
      <w:pPr>
        <w:numPr>
          <w:ilvl w:val="1"/>
          <w:numId w:val="1003"/>
        </w:numPr>
      </w:pPr>
      <w:r>
        <w:rPr>
          <w:rFonts w:hint="eastAsia"/>
        </w:rPr>
        <w:t xml:space="preserve">哪些不确定性来源代表了无法通过平均值恰当体现的风险形式？</w:t>
      </w:r>
    </w:p>
    <w:p>
      <w:pPr>
        <w:numPr>
          <w:ilvl w:val="0"/>
          <w:numId w:val="1002"/>
        </w:numPr>
      </w:pPr>
      <w:r>
        <w:rPr>
          <w:rFonts w:hint="eastAsia"/>
        </w:rPr>
        <w:t xml:space="preserve">选出对最重要指标影响似乎最大的单一决策。</w:t>
      </w:r>
    </w:p>
    <w:p>
      <w:pPr>
        <w:numPr>
          <w:ilvl w:val="1"/>
          <w:numId w:val="1004"/>
        </w:numPr>
      </w:pPr>
      <w:r>
        <w:rPr>
          <w:rFonts w:hint="eastAsia"/>
        </w:rPr>
        <w:t xml:space="preserve">你认为应采用什么方法来做出这一决策？</w:t>
      </w:r>
    </w:p>
    <w:p>
      <w:pPr>
        <w:numPr>
          <w:ilvl w:val="1"/>
          <w:numId w:val="1004"/>
        </w:numPr>
      </w:pPr>
      <w:r>
        <w:rPr>
          <w:rFonts w:hint="eastAsia"/>
        </w:rPr>
        <w:t xml:space="preserve">做出该决策似乎需要哪些数据，包括计算该决策具有高或中等影响的任何绩效指标所需的数据。</w:t>
      </w:r>
    </w:p>
    <w:p>
      <w:pPr>
        <w:numPr>
          <w:ilvl w:val="0"/>
          <w:numId w:val="1002"/>
        </w:numPr>
      </w:pPr>
      <w:r>
        <w:rPr>
          <w:rFonts w:hint="eastAsia"/>
        </w:rPr>
        <w:t xml:space="preserve">针对你在第(7)题中确定的同一决策，识别出为实施该决策而需要合作的人员、部门、团队或组织。</w:t>
      </w:r>
    </w:p>
    <w:bookmarkEnd w:id="21"/>
    <w:bookmarkStart w:id="22" w:name="历史背景资料来源说明"/>
    <w:p>
      <w:pPr>
        <w:pStyle w:val="Heading1"/>
      </w:pPr>
      <w:r>
        <w:rPr>
          <w:rFonts w:hint="eastAsia"/>
        </w:rPr>
        <w:t xml:space="preserve">历史背景资料来源说明</w:t>
      </w:r>
    </w:p>
    <w:p>
      <w:pPr>
        <w:pStyle w:val="FirstParagraph"/>
      </w:pPr>
      <w:r>
        <w:rPr>
          <w:rFonts w:hint="eastAsia"/>
        </w:rPr>
        <w:t xml:space="preserve">美国能源信息署（U.S.</w:t>
      </w:r>
      <w:r>
        <w:t xml:space="preserve"> Energy Information </w:t>
      </w:r>
      <w:r>
        <w:rPr>
          <w:rFonts w:hint="eastAsia"/>
        </w:rPr>
        <w:t xml:space="preserve">Administration），</w:t>
      </w:r>
      <w:r>
        <w:t xml:space="preserve">“Cushing, OK WTI Spot Price FOB”</w:t>
      </w:r>
      <w:r>
        <w:rPr>
          <w:rFonts w:hint="eastAsia"/>
        </w:rPr>
        <w:t xml:space="preserve">，年度系列数据（2026年7月访问）。</w:t>
      </w:r>
    </w:p>
    <w:p>
      <w:pPr>
        <w:pStyle w:val="BodyText"/>
      </w:pPr>
      <w:r>
        <w:rPr>
          <w:rFonts w:hint="eastAsia"/>
        </w:rPr>
        <w:t xml:space="preserve">美国能源部（U.S.</w:t>
      </w:r>
      <w:r>
        <w:t xml:space="preserve"> Department of </w:t>
      </w:r>
      <w:r>
        <w:rPr>
          <w:rFonts w:hint="eastAsia"/>
        </w:rPr>
        <w:t xml:space="preserve">Energy）车辆技术办公室，</w:t>
      </w:r>
      <w:r>
        <w:t xml:space="preserve">“Electric Vehicle Battery Pack Costs for a Light-Duty Vehicle in 2023 Are 90% Lower than in 2008”</w:t>
      </w:r>
      <w:r>
        <w:rPr>
          <w:rFonts w:hint="eastAsia"/>
        </w:rPr>
        <w:t xml:space="preserve">，2024年8月5日。</w:t>
      </w:r>
    </w:p>
    <w:p>
      <w:pPr>
        <w:pStyle w:val="BodyText"/>
      </w:pPr>
      <w:r>
        <w:rPr>
          <w:rFonts w:hint="eastAsia"/>
        </w:rPr>
        <w:t xml:space="preserve">美国贸易代表办公室（Office</w:t>
      </w:r>
      <w:r>
        <w:t xml:space="preserve"> of the U.S. Trade </w:t>
      </w:r>
      <w:r>
        <w:rPr>
          <w:rFonts w:hint="eastAsia"/>
        </w:rPr>
        <w:t xml:space="preserve">Representative），第301条关税修订，2024年5月及9月。</w:t>
      </w:r>
    </w:p>
    <w:p>
      <w:pPr>
        <w:pStyle w:val="BodyText"/>
      </w:pPr>
      <w:r>
        <w:rPr>
          <w:rFonts w:hint="eastAsia"/>
        </w:rPr>
        <w:t xml:space="preserve">白宫，关于汽车及汽车零部件进口的第10908号公告及其修正案，2025年3月至4月；美国-欧盟贸易框架声明，2025年7月至8月。</w:t>
      </w:r>
    </w:p>
    <w:p>
      <w:pPr>
        <w:pStyle w:val="BodyText"/>
      </w:pPr>
      <w:r>
        <w:rPr>
          <w:rFonts w:hint="eastAsia"/>
        </w:rPr>
        <w:t xml:space="preserve">美国国税局（Internal</w:t>
      </w:r>
      <w:r>
        <w:t xml:space="preserve"> Revenue </w:t>
      </w:r>
      <w:r>
        <w:rPr>
          <w:rFonts w:hint="eastAsia"/>
        </w:rPr>
        <w:t xml:space="preserve">Service），</w:t>
      </w:r>
      <w:r>
        <w:t xml:space="preserve">“Credits for New Clean Vehicles Purchased in 2023 or After”</w:t>
      </w:r>
      <w:r>
        <w:rPr>
          <w:rFonts w:hint="eastAsia"/>
        </w:rPr>
        <w:t xml:space="preserve">及2025年8936表格说明。</w:t>
      </w:r>
    </w:p>
    <w:p>
      <w:pPr>
        <w:pStyle w:val="BodyText"/>
      </w:pPr>
      <w:r>
        <w:rPr>
          <w:rFonts w:hint="eastAsia"/>
        </w:rPr>
        <w:t xml:space="preserve">美国汽车协会（AAA），年度电动汽车消费者调查，2024年及2025年。</w:t>
      </w:r>
    </w:p>
    <w:p>
      <w:pPr>
        <w:pStyle w:val="BodyText"/>
      </w:pPr>
      <w:r>
        <w:rPr>
          <w:rFonts w:hint="eastAsia"/>
          <w:b/>
          <w:bCs/>
        </w:rPr>
        <w:t xml:space="preserve">案例说明：</w:t>
      </w:r>
      <w:r>
        <w:t xml:space="preserve"> </w:t>
      </w:r>
      <w:r>
        <w:rPr>
          <w:rFonts w:hint="eastAsia"/>
        </w:rPr>
        <w:t xml:space="preserve">极光汽车及其员工、产品、供应商、经销商、订单、成本、预测和运营数据均为虚构。文中列入的历史数据仅用于构建一个真实可信的决策环境。本案例有意不给出解决方案。</w:t>
      </w:r>
    </w:p>
    <w:bookmarkEnd w:id="22"/>
    <w:bookmarkStart w:id="25" w:name="chatgpt-备注"/>
    <w:p>
      <w:pPr>
        <w:pStyle w:val="Heading1"/>
      </w:pPr>
      <w:r>
        <w:t xml:space="preserve">ChatGPT </w:t>
      </w:r>
      <w:r>
        <w:rPr>
          <w:rFonts w:hint="eastAsia"/>
        </w:rPr>
        <w:t xml:space="preserve">备注</w:t>
      </w:r>
    </w:p>
    <w:bookmarkStart w:id="23" w:name="提示词"/>
    <w:p>
      <w:pPr>
        <w:pStyle w:val="Heading2"/>
      </w:pPr>
      <w:r>
        <w:rPr>
          <w:rFonts w:hint="eastAsia"/>
        </w:rPr>
        <w:t xml:space="preserve">提示词</w:t>
      </w:r>
    </w:p>
    <w:p>
      <w:pPr>
        <w:pStyle w:val="FirstParagraph"/>
      </w:pPr>
      <w:r>
        <w:rPr>
          <w:rFonts w:hint="eastAsia"/>
        </w:rPr>
        <w:t xml:space="preserve">围绕一家制造企业协调进厂物流与生产流程及客户交付这一主题生成一份案例研究。该产品为混合动力电动汽车，受到来自亚洲和欧洲零部件关税的影响，同时也受到联邦政府税收减免政策变化的影响——这类优惠有时可获得，但也可能被取消。另一个因素是不断变化的汽油价格，其同样受到国际问题的影响，例如因与产油国发生战争而导致的零星短缺。请尝试纳入一些关于油价、电池成本和关税的历史数据，以及不断变化的客户态度。</w:t>
      </w:r>
    </w:p>
    <w:bookmarkEnd w:id="23"/>
    <w:bookmarkStart w:id="24" w:name="摘要"/>
    <w:p>
      <w:pPr>
        <w:pStyle w:val="Heading2"/>
      </w:pPr>
      <w:r>
        <w:rPr>
          <w:rFonts w:hint="eastAsia"/>
        </w:rPr>
        <w:t xml:space="preserve">摘要</w:t>
      </w:r>
    </w:p>
    <w:p>
      <w:pPr>
        <w:pStyle w:val="FirstParagraph"/>
      </w:pPr>
      <w:r>
        <w:rPr>
          <w:rFonts w:hint="eastAsia"/>
        </w:rPr>
        <w:t xml:space="preserve">本案例探讨了一家虚构的混合动力汽车制造商，应如何在以下背景下协调进口零部件、生产排序、库存、经销商分配和客户交付承诺：</w:t>
      </w:r>
    </w:p>
    <w:p>
      <w:pPr>
        <w:numPr>
          <w:ilvl w:val="0"/>
          <w:numId w:val="1005"/>
        </w:numPr>
      </w:pPr>
      <w:r>
        <w:rPr>
          <w:rFonts w:hint="eastAsia"/>
        </w:rPr>
        <w:t xml:space="preserve">亚洲电池及电子零部件与欧洲汽车零部件关税</w:t>
      </w:r>
    </w:p>
    <w:p>
      <w:pPr>
        <w:numPr>
          <w:ilvl w:val="0"/>
          <w:numId w:val="1005"/>
        </w:numPr>
      </w:pPr>
      <w:r>
        <w:rPr>
          <w:rFonts w:hint="eastAsia"/>
        </w:rPr>
        <w:t xml:space="preserve">变化中的联邦清洁车辆税收激励政策</w:t>
      </w:r>
    </w:p>
    <w:p>
      <w:pPr>
        <w:numPr>
          <w:ilvl w:val="0"/>
          <w:numId w:val="1005"/>
        </w:numPr>
      </w:pPr>
      <w:r>
        <w:rPr>
          <w:rFonts w:hint="eastAsia"/>
        </w:rPr>
        <w:t xml:space="preserve">由地缘政治动荡引发的石油和汽油价格波动</w:t>
      </w:r>
    </w:p>
    <w:p>
      <w:pPr>
        <w:numPr>
          <w:ilvl w:val="0"/>
          <w:numId w:val="1005"/>
        </w:numPr>
      </w:pPr>
      <w:r>
        <w:rPr>
          <w:rFonts w:hint="eastAsia"/>
        </w:rPr>
        <w:t xml:space="preserve">不断下降的电池成本</w:t>
      </w:r>
    </w:p>
    <w:p>
      <w:pPr>
        <w:numPr>
          <w:ilvl w:val="0"/>
          <w:numId w:val="1005"/>
        </w:numPr>
      </w:pPr>
      <w:r>
        <w:rPr>
          <w:rFonts w:hint="eastAsia"/>
        </w:rPr>
        <w:t xml:space="preserve">消费者在汽油车、混合动力车、插电式混合动力车和纯电动车之间不断变化的兴趣</w:t>
      </w:r>
    </w:p>
    <w:p>
      <w:pPr>
        <w:numPr>
          <w:ilvl w:val="0"/>
          <w:numId w:val="1005"/>
        </w:numPr>
      </w:pPr>
      <w:r>
        <w:rPr>
          <w:rFonts w:hint="eastAsia"/>
        </w:rPr>
        <w:t xml:space="preserve">较长的进厂交货期与不确定的客户取消订单情况</w:t>
      </w:r>
    </w:p>
    <w:p>
      <w:pPr>
        <w:pStyle w:val="FirstParagraph"/>
      </w:pPr>
      <w:r>
        <w:rPr>
          <w:rFonts w:hint="eastAsia"/>
        </w:rPr>
        <w:t xml:space="preserve">案例包含历史油价与电池成本数据、关税与激励政策历史、备选需求情景、运营应对方案、量化图表以及讨论题。案例未指定首选解决方案。历史背景基于美国能源信息署（EIA）、能源部、美国贸易代表办公室（USTR）、美国国税局（IRS）、白宫及美国汽车协会（AAA）的资料来源。</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7" Target="https://warrenpowell.org/decision-framing-tool/#decision-prioritization-tool" TargetMode="External" /><Relationship Type="http://schemas.openxmlformats.org/officeDocument/2006/relationships/hyperlink" Id="rId16" Target="https://warrenpowell.org/decision-framing-tool/#metrics-pyramid-tool" TargetMode="External" /><Relationship Type="http://schemas.openxmlformats.org/officeDocument/2006/relationships/hyperlink" Id="rId19" Target="https://warrenpowell.org/decision-framing-tool/#uncertainty-prioritization-tool" TargetMode="External" /><Relationship Type="http://schemas.openxmlformats.org/officeDocument/2006/relationships/hyperlink" Id="rId18" Target="https://warrenpowell.org/decisionsdecisions/#types-of-decision-settings" TargetMode="External" /><Relationship Type="http://schemas.openxmlformats.org/officeDocument/2006/relationships/hyperlink" Id="rId20"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2026-09-11T16:59:58Z</dcterms:created>
  <dcterms:modified xsi:type="dcterms:W3CDTF">2026-09-11T16:59:58Z</dcterms:modified>
</cp:coreProperties>
</file>

<file path=docProps/custom.xml><?xml version="1.0" encoding="utf-8"?>
<Properties xmlns="http://schemas.openxmlformats.org/officeDocument/2006/custom-properties" xmlns:vt="http://schemas.openxmlformats.org/officeDocument/2006/docPropsVTypes"/>
</file>