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Bellwether </w:t>
      </w:r>
      <w:r>
        <w:rPr>
          <w:rFonts w:hint="eastAsia"/>
          <w:b/>
          <w:bCs/>
        </w:rPr>
        <w:t xml:space="preserve">卫生部</w:t>
      </w:r>
    </w:p>
    <w:p>
      <w:pPr>
        <w:pStyle w:val="BodyText"/>
      </w:pPr>
      <w:r>
        <w:rPr>
          <w:b/>
          <w:bCs/>
        </w:rPr>
        <w:t xml:space="preserve">36,000 </w:t>
      </w:r>
      <w:r>
        <w:rPr>
          <w:rFonts w:hint="eastAsia"/>
          <w:b/>
          <w:bCs/>
        </w:rPr>
        <w:t xml:space="preserve">份药盒的抉择</w:t>
      </w:r>
    </w:p>
    <w:p>
      <w:pPr>
        <w:pStyle w:val="BodyText"/>
      </w:pPr>
      <w:r>
        <w:rPr>
          <w:rFonts w:hint="eastAsia"/>
          <w:i/>
          <w:iCs/>
        </w:rPr>
        <w:t xml:space="preserve">一个关于将有限的过量用药逆转药品配置到最可能可获得、被识别和被使用之处的公共卫生案例</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2026年9月，Bellwether</w:t>
            </w:r>
            <w:r>
              <w:t xml:space="preserve"> </w:t>
            </w:r>
            <w:r>
              <w:rPr>
                <w:rFonts w:hint="eastAsia"/>
              </w:rPr>
              <w:t xml:space="preserve">的药物过量预防办公室收到的纳洛酮药盒数量少于其合作伙伴所要求的数量。全州范围内过量用药死亡人数正在下降，但几个农村县和两个城市社区的情况正在恶化。该机构必须分配这批货物，决定培训对象，并确定是否要为尚未出现在官方数据中的新兴热点保留药盒。</w:t>
            </w:r>
          </w:p>
        </w:tc>
      </w:tr>
    </w:tbl>
    <w:p>
      <w:r>
        <w:pict>
          <v:rect style="width:0;height:1.5pt" o:hralign="center" o:hrstd="t" o:hr="t"/>
        </w:pict>
      </w:r>
    </w:p>
    <w:p>
      <w:pPr>
        <w:pStyle w:val="FirstParagraph"/>
      </w:pPr>
      <w:r>
        <w:rPr>
          <w:rFonts w:hint="eastAsia"/>
        </w:rPr>
        <w:t xml:space="preserve">本案例为虚构内容，仅供教学讨论使用。案例中的名称、事件和内部数据均为案例创作而虚构。公开统计数据汇总于来源说明中。</w:t>
      </w:r>
    </w:p>
    <w:bookmarkStart w:id="9" w:name="周五的货物"/>
    <w:p>
      <w:pPr>
        <w:pStyle w:val="Heading1"/>
      </w:pPr>
      <w:r>
        <w:rPr>
          <w:rFonts w:hint="eastAsia"/>
        </w:rPr>
        <w:t xml:space="preserve">周五的货物</w:t>
      </w:r>
    </w:p>
    <w:p>
      <w:pPr>
        <w:pStyle w:val="FirstParagraph"/>
      </w:pPr>
      <w:r>
        <w:rPr>
          <w:rFonts w:hint="eastAsia"/>
        </w:rPr>
        <w:t xml:space="preserve">周五上午8点10分，Bellwether</w:t>
      </w:r>
      <w:r>
        <w:t xml:space="preserve"> </w:t>
      </w:r>
      <w:r>
        <w:rPr>
          <w:rFonts w:hint="eastAsia"/>
        </w:rPr>
        <w:t xml:space="preserve">卫生部药物过量预防主任</w:t>
      </w:r>
      <w:r>
        <w:t xml:space="preserve"> Maya Ortiz </w:t>
      </w:r>
      <w:r>
        <w:rPr>
          <w:rFonts w:hint="eastAsia"/>
        </w:rPr>
        <w:t xml:space="preserve">博士获悉，州政府秋季纳洛酮货物将包含36,000份双剂量鼻喷雾药盒。县级机构、医院、急救服务、减害项目、监狱、治疗提供者、药房、食物救济站和住房组织总共请求了61,400份药盒。</w:t>
      </w:r>
    </w:p>
    <w:p>
      <w:pPr>
        <w:pStyle w:val="BodyText"/>
      </w:pPr>
      <w:r>
        <w:rPr>
          <w:rFonts w:hint="eastAsia"/>
        </w:rPr>
        <w:t xml:space="preserve">这次短缺并非由全国性生产故障造成。Bellwether</w:t>
      </w:r>
      <w:r>
        <w:t xml:space="preserve"> </w:t>
      </w:r>
      <w:r>
        <w:rPr>
          <w:rFonts w:hint="eastAsia"/>
        </w:rPr>
        <w:t xml:space="preserve">的联邦拨款到达时间比预期晚，州采购合同在重新招标期间到期，而立法机关只批准了三个月的过渡资金。该部门可以稍后订购额外的药盒，但没有人能说清它们何时到达，或者发票中有多少部分能在下一个拨款期获得报销。</w:t>
      </w:r>
    </w:p>
    <w:p>
      <w:pPr>
        <w:pStyle w:val="BodyText"/>
      </w:pPr>
      <w:r>
        <w:t xml:space="preserve">Ortiz </w:t>
      </w:r>
      <w:r>
        <w:rPr>
          <w:rFonts w:hint="eastAsia"/>
        </w:rPr>
        <w:t xml:space="preserve">必须在周一中午前批准一份分配方案。仓库需要时间来标注纸箱、准备培训材料并安排配送。几个县级合作伙伴已经在实行药盒配给。其他机构报告有未使用的库存，但无法说明这些药盒是存放在仓库中、由外展工作者携带、发放给了可能目睹过量用药的人，还是在过期或损坏后被丢弃。</w:t>
      </w:r>
    </w:p>
    <w:bookmarkEnd w:id="9"/>
    <w:bookmarkStart w:id="11" w:name="一场改善不均的危机"/>
    <w:p>
      <w:pPr>
        <w:pStyle w:val="Heading1"/>
      </w:pPr>
      <w:r>
        <w:rPr>
          <w:rFonts w:hint="eastAsia"/>
        </w:rPr>
        <w:t xml:space="preserve">一场改善不均的危机</w:t>
      </w:r>
    </w:p>
    <w:p>
      <w:pPr>
        <w:pStyle w:val="FirstParagraph"/>
      </w:pPr>
      <w:r>
        <w:rPr>
          <w:rFonts w:hint="eastAsia"/>
        </w:rPr>
        <w:t xml:space="preserve">在全国范围内，经历多年灾难性增长后，过量用药死亡率已开始下降。联邦最终数据记录显示，2024年美国因药物过量死亡人数为79,384人，与2023年相比，经年龄调整的死亡率下降了26.2%。2026年7月可获得的初步数据预测，截至2026年2月的十二个月内死亡人数为68,641人，较前一时期又下降了12.1%。这一改善是显著的，但总数仍然很高，非法药物供应也在持续变化。</w:t>
      </w:r>
    </w:p>
    <w:p>
      <w:pPr>
        <w:pStyle w:val="BodyText"/>
      </w:pPr>
      <w:r>
        <w:rPr>
          <w:rFonts w:hint="eastAsia"/>
        </w:rPr>
        <w:t xml:space="preserve">纳洛酮的可及性也在扩大。2024年，美国零售药房共发放了超过150万份处方。然而，全国药房配药率从2023年每100人0.6份处方降至2024年的0.4份，且各辖区之间差异很大。药房数据并未包括卫生部门、急救人员、社区组织或亲友分发的每一份药盒。</w:t>
      </w:r>
    </w:p>
    <w:p>
      <w:pPr>
        <w:pStyle w:val="BodyText"/>
      </w:pPr>
      <w:r>
        <w:t xml:space="preserve">Bellwether </w:t>
      </w:r>
      <w:r>
        <w:rPr>
          <w:rFonts w:hint="eastAsia"/>
        </w:rPr>
        <w:t xml:space="preserve">全州死亡人数在过去一年中下降了18%。这一降幅集中在首府地区和三个郊区县。在北部制造业走廊地带，死亡人数几乎没有变化。在两个农村地区，死亡人数有所增加，同时急诊科报告称，因疑似接触混有镇静掺杂物的芬太尼而需要长时间观察的患者有所增多。</w:t>
      </w:r>
    </w:p>
    <w:bookmarkStart w:id="10" w:name="表-1.-bellwether-过量用药指标"/>
    <w:p>
      <w:pPr>
        <w:pStyle w:val="Heading2"/>
      </w:pPr>
      <w:r>
        <w:rPr>
          <w:rFonts w:hint="eastAsia"/>
        </w:rPr>
        <w:t xml:space="preserve">表</w:t>
      </w:r>
      <w:r>
        <w:t xml:space="preserve"> 1. Bellwether </w:t>
      </w:r>
      <w:r>
        <w:rPr>
          <w:rFonts w:hint="eastAsia"/>
        </w:rPr>
        <w:t xml:space="preserve">过量用药指标</w:t>
      </w:r>
    </w:p>
    <w:tbl>
      <w:tblPr>
        <w:tblStyle w:val="Table"/>
        <w:tblW w:type="pct" w:w="4885"/>
        <w:tblLayout w:type="fixed"/>
        <w:tblLook w:firstRow="1" w:lastRow="0" w:firstColumn="0" w:lastColumn="0" w:noHBand="0" w:noVBand="0" w:val="0020"/>
      </w:tblPr>
      <w:tblGrid>
        <w:gridCol w:w="3368"/>
        <w:gridCol w:w="1092"/>
        <w:gridCol w:w="1092"/>
        <w:gridCol w:w="2184"/>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2024年</w:t>
            </w:r>
          </w:p>
        </w:tc>
        <w:tc>
          <w:tcPr/>
          <w:p>
            <w:pPr>
              <w:pStyle w:val="Compact"/>
              <w:jc w:val="center"/>
            </w:pPr>
            <w:r>
              <w:rPr>
                <w:rFonts w:hint="eastAsia"/>
              </w:rPr>
              <w:t xml:space="preserve">2025年</w:t>
            </w:r>
          </w:p>
        </w:tc>
        <w:tc>
          <w:tcPr/>
          <w:p>
            <w:pPr>
              <w:pStyle w:val="Compact"/>
              <w:jc w:val="center"/>
            </w:pPr>
            <w:r>
              <w:rPr>
                <w:rFonts w:hint="eastAsia"/>
              </w:rPr>
              <w:t xml:space="preserve">最近12个月</w:t>
            </w:r>
          </w:p>
        </w:tc>
      </w:tr>
      <w:tr>
        <w:tc>
          <w:tcPr/>
          <w:p>
            <w:pPr>
              <w:pStyle w:val="Compact"/>
              <w:jc w:val="left"/>
            </w:pPr>
            <w:r>
              <w:rPr>
                <w:rFonts w:hint="eastAsia"/>
              </w:rPr>
              <w:t xml:space="preserve">疑似致命性过量用药</w:t>
            </w:r>
          </w:p>
        </w:tc>
        <w:tc>
          <w:tcPr/>
          <w:p>
            <w:pPr>
              <w:pStyle w:val="Compact"/>
              <w:jc w:val="center"/>
            </w:pPr>
            <w:r>
              <w:t xml:space="preserve">1,184</w:t>
            </w:r>
          </w:p>
        </w:tc>
        <w:tc>
          <w:tcPr/>
          <w:p>
            <w:pPr>
              <w:pStyle w:val="Compact"/>
              <w:jc w:val="center"/>
            </w:pPr>
            <w:r>
              <w:t xml:space="preserve">971</w:t>
            </w:r>
          </w:p>
        </w:tc>
        <w:tc>
          <w:tcPr/>
          <w:p>
            <w:pPr>
              <w:pStyle w:val="Compact"/>
              <w:jc w:val="center"/>
            </w:pPr>
            <w:r>
              <w:t xml:space="preserve">906</w:t>
            </w:r>
          </w:p>
        </w:tc>
      </w:tr>
      <w:tr>
        <w:tc>
          <w:tcPr/>
          <w:p>
            <w:pPr>
              <w:pStyle w:val="Compact"/>
              <w:jc w:val="left"/>
            </w:pPr>
            <w:r>
              <w:t xml:space="preserve">EMS </w:t>
            </w:r>
            <w:r>
              <w:rPr>
                <w:rFonts w:hint="eastAsia"/>
              </w:rPr>
              <w:t xml:space="preserve">过量用药响应次数</w:t>
            </w:r>
          </w:p>
        </w:tc>
        <w:tc>
          <w:tcPr/>
          <w:p>
            <w:pPr>
              <w:pStyle w:val="Compact"/>
              <w:jc w:val="center"/>
            </w:pPr>
            <w:r>
              <w:t xml:space="preserve">9,840</w:t>
            </w:r>
          </w:p>
        </w:tc>
        <w:tc>
          <w:tcPr/>
          <w:p>
            <w:pPr>
              <w:pStyle w:val="Compact"/>
              <w:jc w:val="center"/>
            </w:pPr>
            <w:r>
              <w:t xml:space="preserve">10,260</w:t>
            </w:r>
          </w:p>
        </w:tc>
        <w:tc>
          <w:tcPr/>
          <w:p>
            <w:pPr>
              <w:pStyle w:val="Compact"/>
              <w:jc w:val="center"/>
            </w:pPr>
            <w:r>
              <w:t xml:space="preserve">10,710</w:t>
            </w:r>
          </w:p>
        </w:tc>
      </w:tr>
      <w:tr>
        <w:tc>
          <w:tcPr/>
          <w:p>
            <w:pPr>
              <w:pStyle w:val="Compact"/>
              <w:jc w:val="left"/>
            </w:pPr>
            <w:r>
              <w:t xml:space="preserve">EMS </w:t>
            </w:r>
            <w:r>
              <w:rPr>
                <w:rFonts w:hint="eastAsia"/>
              </w:rPr>
              <w:t xml:space="preserve">施用纳洛酮次数</w:t>
            </w:r>
          </w:p>
        </w:tc>
        <w:tc>
          <w:tcPr/>
          <w:p>
            <w:pPr>
              <w:pStyle w:val="Compact"/>
              <w:jc w:val="center"/>
            </w:pPr>
            <w:r>
              <w:t xml:space="preserve">6,420</w:t>
            </w:r>
          </w:p>
        </w:tc>
        <w:tc>
          <w:tcPr/>
          <w:p>
            <w:pPr>
              <w:pStyle w:val="Compact"/>
              <w:jc w:val="center"/>
            </w:pPr>
            <w:r>
              <w:t xml:space="preserve">6,980</w:t>
            </w:r>
          </w:p>
        </w:tc>
        <w:tc>
          <w:tcPr/>
          <w:p>
            <w:pPr>
              <w:pStyle w:val="Compact"/>
              <w:jc w:val="center"/>
            </w:pPr>
            <w:r>
              <w:t xml:space="preserve">7,310</w:t>
            </w:r>
          </w:p>
        </w:tc>
      </w:tr>
      <w:tr>
        <w:tc>
          <w:tcPr/>
          <w:p>
            <w:pPr>
              <w:pStyle w:val="Compact"/>
              <w:jc w:val="left"/>
            </w:pPr>
            <w:r>
              <w:rPr>
                <w:rFonts w:hint="eastAsia"/>
              </w:rPr>
              <w:t xml:space="preserve">过量用药后医院转运次数</w:t>
            </w:r>
          </w:p>
        </w:tc>
        <w:tc>
          <w:tcPr/>
          <w:p>
            <w:pPr>
              <w:pStyle w:val="Compact"/>
              <w:jc w:val="center"/>
            </w:pPr>
            <w:r>
              <w:t xml:space="preserve">4,780</w:t>
            </w:r>
          </w:p>
        </w:tc>
        <w:tc>
          <w:tcPr/>
          <w:p>
            <w:pPr>
              <w:pStyle w:val="Compact"/>
              <w:jc w:val="center"/>
            </w:pPr>
            <w:r>
              <w:t xml:space="preserve">4,960</w:t>
            </w:r>
          </w:p>
        </w:tc>
        <w:tc>
          <w:tcPr/>
          <w:p>
            <w:pPr>
              <w:pStyle w:val="Compact"/>
              <w:jc w:val="center"/>
            </w:pPr>
            <w:r>
              <w:t xml:space="preserve">5,240</w:t>
            </w:r>
          </w:p>
        </w:tc>
      </w:tr>
      <w:tr>
        <w:tc>
          <w:tcPr/>
          <w:p>
            <w:pPr>
              <w:pStyle w:val="Compact"/>
              <w:jc w:val="left"/>
            </w:pPr>
            <w:r>
              <w:rPr>
                <w:rFonts w:hint="eastAsia"/>
              </w:rPr>
              <w:t xml:space="preserve">社区报告的逆转事件</w:t>
            </w:r>
          </w:p>
        </w:tc>
        <w:tc>
          <w:tcPr/>
          <w:p>
            <w:pPr>
              <w:pStyle w:val="Compact"/>
              <w:jc w:val="center"/>
            </w:pPr>
            <w:r>
              <w:t xml:space="preserve">2,940</w:t>
            </w:r>
          </w:p>
        </w:tc>
        <w:tc>
          <w:tcPr/>
          <w:p>
            <w:pPr>
              <w:pStyle w:val="Compact"/>
              <w:jc w:val="center"/>
            </w:pPr>
            <w:r>
              <w:t xml:space="preserve">3,880</w:t>
            </w:r>
          </w:p>
        </w:tc>
        <w:tc>
          <w:tcPr/>
          <w:p>
            <w:pPr>
              <w:pStyle w:val="Compact"/>
              <w:jc w:val="center"/>
            </w:pPr>
            <w:r>
              <w:t xml:space="preserve">4,210</w:t>
            </w:r>
          </w:p>
        </w:tc>
      </w:tr>
      <w:tr>
        <w:tc>
          <w:tcPr/>
          <w:p>
            <w:pPr>
              <w:pStyle w:val="Compact"/>
              <w:jc w:val="left"/>
            </w:pPr>
            <w:r>
              <w:rPr>
                <w:rFonts w:hint="eastAsia"/>
              </w:rPr>
              <w:t xml:space="preserve">州购买并分发的药盒数量</w:t>
            </w:r>
          </w:p>
        </w:tc>
        <w:tc>
          <w:tcPr/>
          <w:p>
            <w:pPr>
              <w:pStyle w:val="Compact"/>
              <w:jc w:val="center"/>
            </w:pPr>
            <w:r>
              <w:t xml:space="preserve">118,000</w:t>
            </w:r>
          </w:p>
        </w:tc>
        <w:tc>
          <w:tcPr/>
          <w:p>
            <w:pPr>
              <w:pStyle w:val="Compact"/>
              <w:jc w:val="center"/>
            </w:pPr>
            <w:r>
              <w:t xml:space="preserve">142,000</w:t>
            </w:r>
          </w:p>
        </w:tc>
        <w:tc>
          <w:tcPr/>
          <w:p>
            <w:pPr>
              <w:pStyle w:val="Compact"/>
              <w:jc w:val="center"/>
            </w:pPr>
            <w:r>
              <w:t xml:space="preserve">136,500</w:t>
            </w:r>
          </w:p>
        </w:tc>
      </w:tr>
      <w:tr>
        <w:tc>
          <w:tcPr/>
          <w:p>
            <w:pPr>
              <w:pStyle w:val="Compact"/>
              <w:jc w:val="left"/>
            </w:pPr>
            <w:r>
              <w:rPr>
                <w:rFonts w:hint="eastAsia"/>
              </w:rPr>
              <w:t xml:space="preserve">报告本地缺货的县数量</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11</w:t>
            </w:r>
          </w:p>
        </w:tc>
      </w:tr>
    </w:tbl>
    <w:p>
      <w:pPr>
        <w:pStyle w:val="BodyText"/>
      </w:pPr>
      <w:r>
        <w:t xml:space="preserve">Ortiz </w:t>
      </w:r>
      <w:r>
        <w:rPr>
          <w:rFonts w:hint="eastAsia"/>
        </w:rPr>
        <w:t xml:space="preserve">提醒她的员工不要从死亡人数下降中得出简单结论。更多的纳洛酮可能正在防止死亡，同时过量用药事件数量本身却未变。EMS</w:t>
      </w:r>
      <w:r>
        <w:t xml:space="preserve"> </w:t>
      </w:r>
      <w:r>
        <w:rPr>
          <w:rFonts w:hint="eastAsia"/>
        </w:rPr>
        <w:t xml:space="preserve">响应和医院转运次数仍在上升。社区报告的逆转事件是自愿上报的，几乎可以肯定是不完整的。一个逆转事件报告很少的县，可能是需求确实很少、报告不力、认知度低、社区信任薄弱，或者流通中的药盒太少。</w:t>
      </w:r>
    </w:p>
    <w:bookmarkEnd w:id="10"/>
    <w:bookmarkEnd w:id="11"/>
    <w:bookmarkStart w:id="13" w:name="药盒可以流向何处"/>
    <w:p>
      <w:pPr>
        <w:pStyle w:val="Heading1"/>
      </w:pPr>
      <w:r>
        <w:rPr>
          <w:rFonts w:hint="eastAsia"/>
        </w:rPr>
        <w:t xml:space="preserve">药盒可以流向何处</w:t>
      </w:r>
    </w:p>
    <w:p>
      <w:pPr>
        <w:pStyle w:val="FirstParagraph"/>
      </w:pPr>
      <w:r>
        <w:t xml:space="preserve">Bellwether </w:t>
      </w:r>
      <w:r>
        <w:rPr>
          <w:rFonts w:hint="eastAsia"/>
        </w:rPr>
        <w:t xml:space="preserve">通过六个主要渠道分发纳洛酮。每个渠道触及不同的人群，产生不同的信息。急救人员可以迅速在过量用药现场使用药盒，但通常只有在接到911报警后才能到场。减害组织与吸毒者及其社交网络有直接接触，但有几家机构人手不足，记录也不正规。药房提供了广泛的地理覆盖，但通常需要顾客主动提出需求或与药剂师沟通。</w:t>
      </w:r>
    </w:p>
    <w:p>
      <w:pPr>
        <w:pStyle w:val="BodyText"/>
      </w:pPr>
      <w:r>
        <w:rPr>
          <w:rFonts w:hint="eastAsia"/>
        </w:rPr>
        <w:t xml:space="preserve">医院和治疗提供者可以在患者出院时提供纳洛酮，包括在一段戒断期后风险升高的人群。监狱可以在释放时分发药盒，此时耐受性可能有所降低，但各县治安官的参与程度不一。食物救济站、庇护所、图书馆、宗教组织和住房提供者能够触及那些可能从未接受过治疗项目的人群，尽管有些机构担心公开提供纳洛酮会引起捐助者、董事会或邻里的争议。</w:t>
      </w:r>
    </w:p>
    <w:bookmarkStart w:id="12" w:name="表-2.-36000份药盒货物的需求情况"/>
    <w:p>
      <w:pPr>
        <w:pStyle w:val="Heading2"/>
      </w:pPr>
      <w:r>
        <w:rPr>
          <w:rFonts w:hint="eastAsia"/>
        </w:rPr>
        <w:t xml:space="preserve">表</w:t>
      </w:r>
      <w:r>
        <w:t xml:space="preserve"> 2. </w:t>
      </w:r>
      <w:r>
        <w:rPr>
          <w:rFonts w:hint="eastAsia"/>
        </w:rPr>
        <w:t xml:space="preserve">36,000份药盒货物的需求情况</w:t>
      </w:r>
    </w:p>
    <w:tbl>
      <w:tblPr>
        <w:tblStyle w:val="Table"/>
        <w:tblW w:type="pct" w:w="4920"/>
        <w:tblLayout w:type="fixed"/>
        <w:tblLook w:firstRow="1" w:lastRow="0" w:firstColumn="0" w:lastColumn="0" w:noHBand="0" w:noVBand="0" w:val="0020"/>
      </w:tblPr>
      <w:tblGrid>
        <w:gridCol w:w="3231"/>
        <w:gridCol w:w="1077"/>
        <w:gridCol w:w="2154"/>
        <w:gridCol w:w="1330"/>
      </w:tblGrid>
      <w:tr>
        <w:trPr>
          <w:tblHeader w:val="on"/>
        </w:trPr>
        <w:tc>
          <w:tcPr/>
          <w:p>
            <w:pPr>
              <w:pStyle w:val="Compact"/>
              <w:jc w:val="left"/>
            </w:pPr>
            <w:r>
              <w:rPr>
                <w:rFonts w:hint="eastAsia"/>
              </w:rPr>
              <w:t xml:space="preserve">分发渠道</w:t>
            </w:r>
          </w:p>
        </w:tc>
        <w:tc>
          <w:tcPr/>
          <w:p>
            <w:pPr>
              <w:pStyle w:val="Compact"/>
              <w:jc w:val="left"/>
            </w:pPr>
            <w:r>
              <w:rPr>
                <w:rFonts w:hint="eastAsia"/>
              </w:rPr>
              <w:t xml:space="preserve">请求药盒数量</w:t>
            </w:r>
          </w:p>
        </w:tc>
        <w:tc>
          <w:tcPr/>
          <w:p>
            <w:pPr>
              <w:pStyle w:val="Compact"/>
              <w:jc w:val="right"/>
            </w:pPr>
            <w:r>
              <w:rPr>
                <w:rFonts w:hint="eastAsia"/>
              </w:rPr>
              <w:t xml:space="preserve">过去12个月分发的药盒数量</w:t>
            </w:r>
            <w:r>
              <w:t xml:space="preserve"> </w:t>
            </w:r>
            <w:r>
              <w:rPr>
                <w:rFonts w:hint="eastAsia"/>
              </w:rPr>
              <w:t xml:space="preserve">报告</w:t>
            </w:r>
          </w:p>
        </w:tc>
        <w:tc>
          <w:tcPr/>
          <w:p>
            <w:pPr>
              <w:pStyle w:val="Compact"/>
              <w:jc w:val="left"/>
            </w:pPr>
            <w:r>
              <w:rPr>
                <w:rFonts w:hint="eastAsia"/>
              </w:rPr>
              <w:t xml:space="preserve">的逆转事件数量</w:t>
            </w:r>
          </w:p>
        </w:tc>
      </w:tr>
      <w:tr>
        <w:tc>
          <w:tcPr/>
          <w:p>
            <w:pPr>
              <w:pStyle w:val="Compact"/>
              <w:jc w:val="left"/>
            </w:pPr>
            <w:r>
              <w:rPr>
                <w:rFonts w:hint="eastAsia"/>
              </w:rPr>
              <w:t xml:space="preserve">减害与针具服务项目</w:t>
            </w:r>
          </w:p>
        </w:tc>
        <w:tc>
          <w:tcPr/>
          <w:p>
            <w:pPr>
              <w:pStyle w:val="Compact"/>
              <w:jc w:val="left"/>
            </w:pPr>
            <w:r>
              <w:t xml:space="preserve">19,600</w:t>
            </w:r>
          </w:p>
        </w:tc>
        <w:tc>
          <w:tcPr/>
          <w:p>
            <w:pPr>
              <w:pStyle w:val="Compact"/>
              <w:jc w:val="right"/>
            </w:pPr>
            <w:r>
              <w:t xml:space="preserve">45,200</w:t>
            </w:r>
          </w:p>
        </w:tc>
        <w:tc>
          <w:tcPr/>
          <w:p>
            <w:pPr>
              <w:pStyle w:val="Compact"/>
              <w:jc w:val="left"/>
            </w:pPr>
            <w:r>
              <w:t xml:space="preserve">2,540</w:t>
            </w:r>
          </w:p>
        </w:tc>
      </w:tr>
      <w:tr>
        <w:tc>
          <w:tcPr/>
          <w:p>
            <w:pPr>
              <w:pStyle w:val="Compact"/>
              <w:jc w:val="left"/>
            </w:pPr>
            <w:r>
              <w:rPr>
                <w:rFonts w:hint="eastAsia"/>
              </w:rPr>
              <w:t xml:space="preserve">EMS、消防及执法机构</w:t>
            </w:r>
          </w:p>
        </w:tc>
        <w:tc>
          <w:tcPr/>
          <w:p>
            <w:pPr>
              <w:pStyle w:val="Compact"/>
              <w:jc w:val="left"/>
            </w:pPr>
            <w:r>
              <w:t xml:space="preserve">11,400</w:t>
            </w:r>
          </w:p>
        </w:tc>
        <w:tc>
          <w:tcPr/>
          <w:p>
            <w:pPr>
              <w:pStyle w:val="Compact"/>
              <w:jc w:val="right"/>
            </w:pPr>
            <w:r>
              <w:t xml:space="preserve">28,600</w:t>
            </w:r>
          </w:p>
        </w:tc>
        <w:tc>
          <w:tcPr/>
          <w:p>
            <w:pPr>
              <w:pStyle w:val="Compact"/>
              <w:jc w:val="left"/>
            </w:pPr>
            <w:r>
              <w:t xml:space="preserve">1,020</w:t>
            </w:r>
          </w:p>
        </w:tc>
      </w:tr>
      <w:tr>
        <w:tc>
          <w:tcPr/>
          <w:p>
            <w:pPr>
              <w:pStyle w:val="Compact"/>
              <w:jc w:val="left"/>
            </w:pPr>
            <w:r>
              <w:rPr>
                <w:rFonts w:hint="eastAsia"/>
              </w:rPr>
              <w:t xml:space="preserve">治疗提供者和医院</w:t>
            </w:r>
          </w:p>
        </w:tc>
        <w:tc>
          <w:tcPr/>
          <w:p>
            <w:pPr>
              <w:pStyle w:val="Compact"/>
              <w:jc w:val="left"/>
            </w:pPr>
            <w:r>
              <w:t xml:space="preserve">9,800</w:t>
            </w:r>
          </w:p>
        </w:tc>
        <w:tc>
          <w:tcPr/>
          <w:p>
            <w:pPr>
              <w:pStyle w:val="Compact"/>
              <w:jc w:val="right"/>
            </w:pPr>
            <w:r>
              <w:t xml:space="preserve">21,500</w:t>
            </w:r>
          </w:p>
        </w:tc>
        <w:tc>
          <w:tcPr/>
          <w:p>
            <w:pPr>
              <w:pStyle w:val="Compact"/>
              <w:jc w:val="left"/>
            </w:pPr>
            <w:r>
              <w:t xml:space="preserve">310</w:t>
            </w:r>
          </w:p>
        </w:tc>
      </w:tr>
      <w:tr>
        <w:tc>
          <w:tcPr/>
          <w:p>
            <w:pPr>
              <w:pStyle w:val="Compact"/>
              <w:jc w:val="left"/>
            </w:pPr>
            <w:r>
              <w:rPr>
                <w:rFonts w:hint="eastAsia"/>
              </w:rPr>
              <w:t xml:space="preserve">药房</w:t>
            </w:r>
          </w:p>
        </w:tc>
        <w:tc>
          <w:tcPr/>
          <w:p>
            <w:pPr>
              <w:pStyle w:val="Compact"/>
              <w:jc w:val="left"/>
            </w:pPr>
            <w:r>
              <w:t xml:space="preserve">7,200</w:t>
            </w:r>
          </w:p>
        </w:tc>
        <w:tc>
          <w:tcPr/>
          <w:p>
            <w:pPr>
              <w:pStyle w:val="Compact"/>
              <w:jc w:val="right"/>
            </w:pPr>
            <w:r>
              <w:t xml:space="preserve">16,100</w:t>
            </w:r>
          </w:p>
        </w:tc>
        <w:tc>
          <w:tcPr/>
          <w:p>
            <w:pPr>
              <w:pStyle w:val="Compact"/>
              <w:jc w:val="left"/>
            </w:pPr>
            <w:r>
              <w:t xml:space="preserve">90</w:t>
            </w:r>
          </w:p>
        </w:tc>
      </w:tr>
      <w:tr>
        <w:tc>
          <w:tcPr/>
          <w:p>
            <w:pPr>
              <w:pStyle w:val="Compact"/>
              <w:jc w:val="left"/>
            </w:pPr>
            <w:r>
              <w:rPr>
                <w:rFonts w:hint="eastAsia"/>
              </w:rPr>
              <w:t xml:space="preserve">监狱及再融入项目</w:t>
            </w:r>
          </w:p>
        </w:tc>
        <w:tc>
          <w:tcPr/>
          <w:p>
            <w:pPr>
              <w:pStyle w:val="Compact"/>
              <w:jc w:val="left"/>
            </w:pPr>
            <w:r>
              <w:t xml:space="preserve">5,600</w:t>
            </w:r>
          </w:p>
        </w:tc>
        <w:tc>
          <w:tcPr/>
          <w:p>
            <w:pPr>
              <w:pStyle w:val="Compact"/>
              <w:jc w:val="right"/>
            </w:pPr>
            <w:r>
              <w:t xml:space="preserve">10,400</w:t>
            </w:r>
          </w:p>
        </w:tc>
        <w:tc>
          <w:tcPr/>
          <w:p>
            <w:pPr>
              <w:pStyle w:val="Compact"/>
              <w:jc w:val="left"/>
            </w:pPr>
            <w:r>
              <w:t xml:space="preserve">120</w:t>
            </w:r>
          </w:p>
        </w:tc>
      </w:tr>
      <w:tr>
        <w:tc>
          <w:tcPr/>
          <w:p>
            <w:pPr>
              <w:pStyle w:val="Compact"/>
              <w:jc w:val="left"/>
            </w:pPr>
            <w:r>
              <w:rPr>
                <w:rFonts w:hint="eastAsia"/>
              </w:rPr>
              <w:t xml:space="preserve">住房、食物、宗教及其他社区团体</w:t>
            </w:r>
          </w:p>
        </w:tc>
        <w:tc>
          <w:tcPr/>
          <w:p>
            <w:pPr>
              <w:pStyle w:val="Compact"/>
              <w:jc w:val="left"/>
            </w:pPr>
            <w:r>
              <w:t xml:space="preserve">7,800</w:t>
            </w:r>
          </w:p>
        </w:tc>
        <w:tc>
          <w:tcPr/>
          <w:p>
            <w:pPr>
              <w:pStyle w:val="Compact"/>
              <w:jc w:val="right"/>
            </w:pPr>
            <w:r>
              <w:t xml:space="preserve">14,700</w:t>
            </w:r>
          </w:p>
        </w:tc>
        <w:tc>
          <w:tcPr/>
          <w:p>
            <w:pPr>
              <w:pStyle w:val="Compact"/>
              <w:jc w:val="left"/>
            </w:pPr>
            <w:r>
              <w:t xml:space="preserve">130</w:t>
            </w:r>
          </w:p>
        </w:tc>
      </w:tr>
    </w:tbl>
    <w:p>
      <w:pPr>
        <w:pStyle w:val="BodyText"/>
      </w:pPr>
      <w:r>
        <w:rPr>
          <w:rFonts w:hint="eastAsia"/>
        </w:rPr>
        <w:t xml:space="preserve">报告的逆转事件数量不能被解释为有效性比率。一份药盒可能被发放给了从未遇到过量用药事件的人、被成功使用但未被上报、丢失、转交给另一个人，或一直保留到过期。有些机构积极向可能目睹过量用药的人分发药盒；其他机构则将药盒存放在柜子里以备紧急情况使用。州政府并不知道有多少药盒在真正需要的那一刻是可以立即取用的。</w:t>
      </w:r>
    </w:p>
    <w:bookmarkEnd w:id="12"/>
    <w:bookmarkEnd w:id="13"/>
    <w:bookmarkStart w:id="15" w:name="地理与可及性"/>
    <w:p>
      <w:pPr>
        <w:pStyle w:val="Heading1"/>
      </w:pPr>
      <w:r>
        <w:rPr>
          <w:rFonts w:hint="eastAsia"/>
        </w:rPr>
        <w:t xml:space="preserve">地理与可及性</w:t>
      </w:r>
    </w:p>
    <w:p>
      <w:pPr>
        <w:pStyle w:val="FirstParagraph"/>
      </w:pPr>
      <w:r>
        <w:rPr>
          <w:rFonts w:hint="eastAsia"/>
        </w:rPr>
        <w:t xml:space="preserve">该州四十二个县之间差异明显。城市地区的过量用药活动集中，拥有成熟的外展团队、公共交通和多家药房。农村县覆盖广阔区域，公共交通有限，EMS</w:t>
      </w:r>
      <w:r>
        <w:t xml:space="preserve"> </w:t>
      </w:r>
      <w:r>
        <w:rPr>
          <w:rFonts w:hint="eastAsia"/>
        </w:rPr>
        <w:t xml:space="preserve">响应时间长。几个部落社区运营着自己的卫生和公共安全项目，希望直接获得分配，而不是通过县政府接收药盒。季节性工人和临时营地居民在各地区之间流动，削弱了基于居住地进行比较的可靠性。</w:t>
      </w:r>
    </w:p>
    <w:bookmarkStart w:id="14" w:name="表-3.-部分地区情况"/>
    <w:p>
      <w:pPr>
        <w:pStyle w:val="Heading2"/>
      </w:pPr>
      <w:r>
        <w:rPr>
          <w:rFonts w:hint="eastAsia"/>
        </w:rPr>
        <w:t xml:space="preserve">表</w:t>
      </w:r>
      <w:r>
        <w:t xml:space="preserve"> 3. </w:t>
      </w:r>
      <w:r>
        <w:rPr>
          <w:rFonts w:hint="eastAsia"/>
        </w:rPr>
        <w:t xml:space="preserve">部分地区情况</w:t>
      </w:r>
    </w:p>
    <w:tbl>
      <w:tblPr>
        <w:tblStyle w:val="Table"/>
        <w:tblW w:type="pct" w:w="4915"/>
        <w:tblLayout w:type="fixed"/>
        <w:tblLook w:firstRow="1" w:lastRow="0" w:firstColumn="0" w:lastColumn="0" w:noHBand="0" w:noVBand="0" w:val="0020"/>
      </w:tblPr>
      <w:tblGrid>
        <w:gridCol w:w="1946"/>
        <w:gridCol w:w="872"/>
        <w:gridCol w:w="2013"/>
        <w:gridCol w:w="1476"/>
        <w:gridCol w:w="1476"/>
      </w:tblGrid>
      <w:tr>
        <w:trPr>
          <w:tblHeader w:val="on"/>
        </w:trPr>
        <w:tc>
          <w:tcPr/>
          <w:p>
            <w:pPr>
              <w:pStyle w:val="Compact"/>
              <w:jc w:val="left"/>
            </w:pPr>
            <w:r>
              <w:rPr>
                <w:rFonts w:hint="eastAsia"/>
              </w:rPr>
              <w:t xml:space="preserve">地区</w:t>
            </w:r>
          </w:p>
        </w:tc>
        <w:tc>
          <w:tcPr/>
          <w:p>
            <w:pPr>
              <w:pStyle w:val="Compact"/>
              <w:jc w:val="center"/>
            </w:pPr>
            <w:r>
              <w:rPr>
                <w:rFonts w:hint="eastAsia"/>
              </w:rPr>
              <w:t xml:space="preserve">人口</w:t>
            </w:r>
          </w:p>
        </w:tc>
        <w:tc>
          <w:tcPr/>
          <w:p>
            <w:pPr>
              <w:pStyle w:val="Compact"/>
              <w:jc w:val="center"/>
            </w:pPr>
            <w:r>
              <w:rPr>
                <w:rFonts w:hint="eastAsia"/>
              </w:rPr>
              <w:t xml:space="preserve">每10万人致命性过量用药人数</w:t>
            </w:r>
          </w:p>
        </w:tc>
        <w:tc>
          <w:tcPr/>
          <w:p>
            <w:pPr>
              <w:pStyle w:val="Compact"/>
              <w:jc w:val="center"/>
            </w:pPr>
            <w:r>
              <w:rPr>
                <w:rFonts w:hint="eastAsia"/>
              </w:rPr>
              <w:t xml:space="preserve">EMS响应中位数时间</w:t>
            </w:r>
          </w:p>
        </w:tc>
        <w:tc>
          <w:tcPr/>
          <w:p>
            <w:pPr>
              <w:pStyle w:val="Compact"/>
              <w:jc w:val="center"/>
            </w:pPr>
            <w:r>
              <w:rPr>
                <w:rFonts w:hint="eastAsia"/>
              </w:rPr>
              <w:t xml:space="preserve">合作伙伴库存</w:t>
            </w:r>
          </w:p>
        </w:tc>
      </w:tr>
      <w:tr>
        <w:tc>
          <w:tcPr/>
          <w:p>
            <w:pPr>
              <w:pStyle w:val="Compact"/>
              <w:jc w:val="left"/>
            </w:pPr>
            <w:r>
              <w:rPr>
                <w:rFonts w:hint="eastAsia"/>
              </w:rPr>
              <w:t xml:space="preserve">首府核心区</w:t>
            </w:r>
          </w:p>
        </w:tc>
        <w:tc>
          <w:tcPr/>
          <w:p>
            <w:pPr>
              <w:pStyle w:val="Compact"/>
              <w:jc w:val="center"/>
            </w:pPr>
            <w:r>
              <w:t xml:space="preserve">740,000</w:t>
            </w:r>
          </w:p>
        </w:tc>
        <w:tc>
          <w:tcPr/>
          <w:p>
            <w:pPr>
              <w:pStyle w:val="Compact"/>
              <w:jc w:val="center"/>
            </w:pPr>
            <w:r>
              <w:t xml:space="preserve">31</w:t>
            </w:r>
          </w:p>
        </w:tc>
        <w:tc>
          <w:tcPr/>
          <w:p>
            <w:pPr>
              <w:pStyle w:val="Compact"/>
              <w:jc w:val="center"/>
            </w:pPr>
            <w:r>
              <w:rPr>
                <w:rFonts w:hint="eastAsia"/>
              </w:rPr>
              <w:t xml:space="preserve">7分钟</w:t>
            </w:r>
          </w:p>
        </w:tc>
        <w:tc>
          <w:tcPr/>
          <w:p>
            <w:pPr>
              <w:pStyle w:val="Compact"/>
              <w:jc w:val="center"/>
            </w:pPr>
            <w:r>
              <w:rPr>
                <w:rFonts w:hint="eastAsia"/>
              </w:rPr>
              <w:t xml:space="preserve">18天</w:t>
            </w:r>
          </w:p>
        </w:tc>
      </w:tr>
      <w:tr>
        <w:tc>
          <w:tcPr/>
          <w:p>
            <w:pPr>
              <w:pStyle w:val="Compact"/>
              <w:jc w:val="left"/>
            </w:pPr>
            <w:r>
              <w:rPr>
                <w:rFonts w:hint="eastAsia"/>
              </w:rPr>
              <w:t xml:space="preserve">东部城市走廊</w:t>
            </w:r>
          </w:p>
        </w:tc>
        <w:tc>
          <w:tcPr/>
          <w:p>
            <w:pPr>
              <w:pStyle w:val="Compact"/>
              <w:jc w:val="center"/>
            </w:pPr>
            <w:r>
              <w:t xml:space="preserve">510,000</w:t>
            </w:r>
          </w:p>
        </w:tc>
        <w:tc>
          <w:tcPr/>
          <w:p>
            <w:pPr>
              <w:pStyle w:val="Compact"/>
              <w:jc w:val="center"/>
            </w:pPr>
            <w:r>
              <w:t xml:space="preserve">44</w:t>
            </w:r>
          </w:p>
        </w:tc>
        <w:tc>
          <w:tcPr/>
          <w:p>
            <w:pPr>
              <w:pStyle w:val="Compact"/>
              <w:jc w:val="center"/>
            </w:pPr>
            <w:r>
              <w:rPr>
                <w:rFonts w:hint="eastAsia"/>
              </w:rPr>
              <w:t xml:space="preserve">9分钟</w:t>
            </w:r>
          </w:p>
        </w:tc>
        <w:tc>
          <w:tcPr/>
          <w:p>
            <w:pPr>
              <w:pStyle w:val="Compact"/>
              <w:jc w:val="center"/>
            </w:pPr>
            <w:r>
              <w:rPr>
                <w:rFonts w:hint="eastAsia"/>
              </w:rPr>
              <w:t xml:space="preserve">6天</w:t>
            </w:r>
          </w:p>
        </w:tc>
      </w:tr>
      <w:tr>
        <w:tc>
          <w:tcPr/>
          <w:p>
            <w:pPr>
              <w:pStyle w:val="Compact"/>
              <w:jc w:val="left"/>
            </w:pPr>
            <w:r>
              <w:rPr>
                <w:rFonts w:hint="eastAsia"/>
              </w:rPr>
              <w:t xml:space="preserve">北部工业带</w:t>
            </w:r>
          </w:p>
        </w:tc>
        <w:tc>
          <w:tcPr/>
          <w:p>
            <w:pPr>
              <w:pStyle w:val="Compact"/>
              <w:jc w:val="center"/>
            </w:pPr>
            <w:r>
              <w:t xml:space="preserve">430,000</w:t>
            </w:r>
          </w:p>
        </w:tc>
        <w:tc>
          <w:tcPr/>
          <w:p>
            <w:pPr>
              <w:pStyle w:val="Compact"/>
              <w:jc w:val="center"/>
            </w:pPr>
            <w:r>
              <w:t xml:space="preserve">39</w:t>
            </w:r>
          </w:p>
        </w:tc>
        <w:tc>
          <w:tcPr/>
          <w:p>
            <w:pPr>
              <w:pStyle w:val="Compact"/>
              <w:jc w:val="center"/>
            </w:pPr>
            <w:r>
              <w:rPr>
                <w:rFonts w:hint="eastAsia"/>
              </w:rPr>
              <w:t xml:space="preserve">12分钟</w:t>
            </w:r>
          </w:p>
        </w:tc>
        <w:tc>
          <w:tcPr/>
          <w:p>
            <w:pPr>
              <w:pStyle w:val="Compact"/>
              <w:jc w:val="center"/>
            </w:pPr>
            <w:r>
              <w:rPr>
                <w:rFonts w:hint="eastAsia"/>
              </w:rPr>
              <w:t xml:space="preserve">9天</w:t>
            </w:r>
          </w:p>
        </w:tc>
      </w:tr>
      <w:tr>
        <w:tc>
          <w:tcPr/>
          <w:p>
            <w:pPr>
              <w:pStyle w:val="Compact"/>
              <w:jc w:val="left"/>
            </w:pPr>
            <w:r>
              <w:rPr>
                <w:rFonts w:hint="eastAsia"/>
              </w:rPr>
              <w:t xml:space="preserve">西部农村县</w:t>
            </w:r>
          </w:p>
        </w:tc>
        <w:tc>
          <w:tcPr/>
          <w:p>
            <w:pPr>
              <w:pStyle w:val="Compact"/>
              <w:jc w:val="center"/>
            </w:pPr>
            <w:r>
              <w:t xml:space="preserve">265,000</w:t>
            </w:r>
          </w:p>
        </w:tc>
        <w:tc>
          <w:tcPr/>
          <w:p>
            <w:pPr>
              <w:pStyle w:val="Compact"/>
              <w:jc w:val="center"/>
            </w:pPr>
            <w:r>
              <w:t xml:space="preserve">36</w:t>
            </w:r>
          </w:p>
        </w:tc>
        <w:tc>
          <w:tcPr/>
          <w:p>
            <w:pPr>
              <w:pStyle w:val="Compact"/>
              <w:jc w:val="center"/>
            </w:pPr>
            <w:r>
              <w:rPr>
                <w:rFonts w:hint="eastAsia"/>
              </w:rPr>
              <w:t xml:space="preserve">24分钟</w:t>
            </w:r>
          </w:p>
        </w:tc>
        <w:tc>
          <w:tcPr/>
          <w:p>
            <w:pPr>
              <w:pStyle w:val="Compact"/>
              <w:jc w:val="center"/>
            </w:pPr>
            <w:r>
              <w:rPr>
                <w:rFonts w:hint="eastAsia"/>
              </w:rPr>
              <w:t xml:space="preserve">3天</w:t>
            </w:r>
          </w:p>
        </w:tc>
      </w:tr>
      <w:tr>
        <w:tc>
          <w:tcPr/>
          <w:p>
            <w:pPr>
              <w:pStyle w:val="Compact"/>
              <w:jc w:val="left"/>
            </w:pPr>
            <w:r>
              <w:rPr>
                <w:rFonts w:hint="eastAsia"/>
              </w:rPr>
              <w:t xml:space="preserve">山区及部落地区</w:t>
            </w:r>
          </w:p>
        </w:tc>
        <w:tc>
          <w:tcPr/>
          <w:p>
            <w:pPr>
              <w:pStyle w:val="Compact"/>
              <w:jc w:val="center"/>
            </w:pPr>
            <w:r>
              <w:t xml:space="preserve">148,000</w:t>
            </w:r>
          </w:p>
        </w:tc>
        <w:tc>
          <w:tcPr/>
          <w:p>
            <w:pPr>
              <w:pStyle w:val="Compact"/>
              <w:jc w:val="center"/>
            </w:pPr>
            <w:r>
              <w:t xml:space="preserve">47</w:t>
            </w:r>
          </w:p>
        </w:tc>
        <w:tc>
          <w:tcPr/>
          <w:p>
            <w:pPr>
              <w:pStyle w:val="Compact"/>
              <w:jc w:val="center"/>
            </w:pPr>
            <w:r>
              <w:rPr>
                <w:rFonts w:hint="eastAsia"/>
              </w:rPr>
              <w:t xml:space="preserve">31分钟</w:t>
            </w:r>
          </w:p>
        </w:tc>
        <w:tc>
          <w:tcPr/>
          <w:p>
            <w:pPr>
              <w:pStyle w:val="Compact"/>
              <w:jc w:val="center"/>
            </w:pPr>
            <w:r>
              <w:rPr>
                <w:rFonts w:hint="eastAsia"/>
              </w:rPr>
              <w:t xml:space="preserve">5天</w:t>
            </w:r>
          </w:p>
        </w:tc>
      </w:tr>
      <w:tr>
        <w:tc>
          <w:tcPr/>
          <w:p>
            <w:pPr>
              <w:pStyle w:val="Compact"/>
              <w:jc w:val="left"/>
            </w:pPr>
            <w:r>
              <w:rPr>
                <w:rFonts w:hint="eastAsia"/>
              </w:rPr>
              <w:t xml:space="preserve">南部郊区</w:t>
            </w:r>
          </w:p>
        </w:tc>
        <w:tc>
          <w:tcPr/>
          <w:p>
            <w:pPr>
              <w:pStyle w:val="Compact"/>
              <w:jc w:val="center"/>
            </w:pPr>
            <w:r>
              <w:t xml:space="preserve">620,000</w:t>
            </w:r>
          </w:p>
        </w:tc>
        <w:tc>
          <w:tcPr/>
          <w:p>
            <w:pPr>
              <w:pStyle w:val="Compact"/>
              <w:jc w:val="center"/>
            </w:pPr>
            <w:r>
              <w:t xml:space="preserve">18</w:t>
            </w:r>
          </w:p>
        </w:tc>
        <w:tc>
          <w:tcPr/>
          <w:p>
            <w:pPr>
              <w:pStyle w:val="Compact"/>
              <w:jc w:val="center"/>
            </w:pPr>
            <w:r>
              <w:rPr>
                <w:rFonts w:hint="eastAsia"/>
              </w:rPr>
              <w:t xml:space="preserve">10分钟</w:t>
            </w:r>
          </w:p>
        </w:tc>
        <w:tc>
          <w:tcPr/>
          <w:p>
            <w:pPr>
              <w:pStyle w:val="Compact"/>
              <w:jc w:val="center"/>
            </w:pPr>
            <w:r>
              <w:rPr>
                <w:rFonts w:hint="eastAsia"/>
              </w:rPr>
              <w:t xml:space="preserve">34天</w:t>
            </w:r>
          </w:p>
        </w:tc>
      </w:tr>
    </w:tbl>
    <w:p>
      <w:pPr>
        <w:pStyle w:val="BodyText"/>
      </w:pPr>
      <w:r>
        <w:rPr>
          <w:rFonts w:hint="eastAsia"/>
        </w:rPr>
        <w:t xml:space="preserve">流行病学团队提议根据近期过量用药死亡人数、非致命性EMS响应次数和人口来分配药盒。农村卫生工作人员反对说，官方数据存在滞后，而长途出行时间使得社区拥有药盒尤为重要。首府的减害联盟辩称，高分发量的项目不应因已经分发了库存而受到惩罚。一个郊区县提出归还2,000份药盒，但前提是州政府保证在六十天内补充。</w:t>
      </w:r>
    </w:p>
    <w:bookmarkEnd w:id="14"/>
    <w:bookmarkEnd w:id="15"/>
    <w:bookmarkStart w:id="16" w:name="培训认知与信任"/>
    <w:p>
      <w:pPr>
        <w:pStyle w:val="Heading1"/>
      </w:pPr>
      <w:r>
        <w:rPr>
          <w:rFonts w:hint="eastAsia"/>
        </w:rPr>
        <w:t xml:space="preserve">培训、认知与信任</w:t>
      </w:r>
    </w:p>
    <w:p>
      <w:pPr>
        <w:pStyle w:val="FirstParagraph"/>
      </w:pPr>
      <w:r>
        <w:rPr>
          <w:rFonts w:hint="eastAsia"/>
        </w:rPr>
        <w:t xml:space="preserve">拥有药盒并不能确保被使用。有些接收者担心，施用纳洛酮会激怒被救活的人。其他人则害怕警察介入，或无法辨认呼吸减慢是过量用药的征兆。新的掺杂物可能产生纳洛酮无法完全逆转的症状，即使阿片类药物也同时存在。卫生官员强调，可能仍需要额外剂量和紧急医疗护理。</w:t>
      </w:r>
    </w:p>
    <w:p>
      <w:pPr>
        <w:pStyle w:val="BodyText"/>
      </w:pPr>
      <w:r>
        <w:t xml:space="preserve">Bellwether </w:t>
      </w:r>
      <w:r>
        <w:rPr>
          <w:rFonts w:hint="eastAsia"/>
        </w:rPr>
        <w:t xml:space="preserve">的标准培训时长为四十五分钟。外展合作伙伴表示，他们可以用十分钟的演示和一张带有二维码的卡片分发更多药盒。医疗主任则倾向于更长时间的培训，内容涵盖人工呼吸、重复给药和拨打911。宣传部门提议开展一场全州范围的广告宣传活动，而县级合作伙伴则希望获得资金，用于聘请受吸毒人群信任的本地同伴教育者。</w:t>
      </w:r>
    </w:p>
    <w:bookmarkEnd w:id="16"/>
    <w:bookmarkStart w:id="18" w:name="资金限制"/>
    <w:p>
      <w:pPr>
        <w:pStyle w:val="Heading1"/>
      </w:pPr>
      <w:r>
        <w:rPr>
          <w:rFonts w:hint="eastAsia"/>
        </w:rPr>
        <w:t xml:space="preserve">资金限制</w:t>
      </w:r>
    </w:p>
    <w:p>
      <w:pPr>
        <w:pStyle w:val="FirstParagraph"/>
      </w:pPr>
      <w:r>
        <w:rPr>
          <w:rFonts w:hint="eastAsia"/>
        </w:rPr>
        <w:t xml:space="preserve">联邦州级阿片类药物应对项目（State</w:t>
      </w:r>
      <w:r>
        <w:t xml:space="preserve"> Opioid </w:t>
      </w:r>
      <w:r>
        <w:rPr>
          <w:rFonts w:hint="eastAsia"/>
        </w:rPr>
        <w:t xml:space="preserve">Response）仍然是支持</w:t>
      </w:r>
      <w:r>
        <w:t xml:space="preserve"> Bellwether </w:t>
      </w:r>
      <w:r>
        <w:rPr>
          <w:rFonts w:hint="eastAsia"/>
        </w:rPr>
        <w:t xml:space="preserve">过量用药工作的最大外部资金来源。2025年9月宣布的全国续期拨款中，包括14.8亿美元的州级阿片类药物应对资金，以及近6,300万美元的部落阿片类药物应对资金。Bellwether</w:t>
      </w:r>
      <w:r>
        <w:t xml:space="preserve"> </w:t>
      </w:r>
      <w:r>
        <w:rPr>
          <w:rFonts w:hint="eastAsia"/>
        </w:rPr>
        <w:t xml:space="preserve">的拨款支持纳洛酮、治疗、预防、减害和康复服务，但支出必须符合已批准的计划和报告类别。</w:t>
      </w:r>
    </w:p>
    <w:p>
      <w:pPr>
        <w:pStyle w:val="BodyText"/>
      </w:pPr>
      <w:r>
        <w:rPr>
          <w:rFonts w:hint="eastAsia"/>
        </w:rPr>
        <w:t xml:space="preserve">州立法机关为仓库人员、采购和部分数据系统提供资金。阿片类药物和解资金支持了几个县级项目，但可允许的用途和审批时间表各不相同。一家医院基金会提供了100万美元用于药房分发和公众教育，但不能用于针具服务项目。另一位捐助者只有在州政府记录了受训人数和直接发放给居民的药盒数量的情况下，才愿意支持农村流动外展服务。</w:t>
      </w:r>
    </w:p>
    <w:bookmarkStart w:id="17" w:name="表-4.-正在审议的过量用药预防资金"/>
    <w:p>
      <w:pPr>
        <w:pStyle w:val="Heading2"/>
      </w:pPr>
      <w:r>
        <w:rPr>
          <w:rFonts w:hint="eastAsia"/>
        </w:rPr>
        <w:t xml:space="preserve">表</w:t>
      </w:r>
      <w:r>
        <w:t xml:space="preserve"> 4. </w:t>
      </w:r>
      <w:r>
        <w:rPr>
          <w:rFonts w:hint="eastAsia"/>
        </w:rPr>
        <w:t xml:space="preserve">正在审议的过量用药预防资金</w:t>
      </w:r>
    </w:p>
    <w:tbl>
      <w:tblPr>
        <w:tblStyle w:val="Table"/>
        <w:tblW w:type="pct" w:w="4928"/>
        <w:tblLayout w:type="fixed"/>
        <w:tblLook w:firstRow="1" w:lastRow="0" w:firstColumn="0" w:lastColumn="0" w:noHBand="0" w:noVBand="0" w:val="0020"/>
      </w:tblPr>
      <w:tblGrid>
        <w:gridCol w:w="2108"/>
        <w:gridCol w:w="1025"/>
        <w:gridCol w:w="4672"/>
      </w:tblGrid>
      <w:tr>
        <w:trPr>
          <w:tblHeader w:val="on"/>
        </w:trPr>
        <w:tc>
          <w:tcPr/>
          <w:p>
            <w:pPr>
              <w:pStyle w:val="Compact"/>
              <w:jc w:val="left"/>
            </w:pPr>
            <w:r>
              <w:rPr>
                <w:rFonts w:hint="eastAsia"/>
              </w:rPr>
              <w:t xml:space="preserve">来源</w:t>
            </w:r>
          </w:p>
        </w:tc>
        <w:tc>
          <w:tcPr/>
          <w:p>
            <w:pPr>
              <w:pStyle w:val="Compact"/>
              <w:jc w:val="center"/>
            </w:pPr>
            <w:r>
              <w:rPr>
                <w:rFonts w:hint="eastAsia"/>
              </w:rPr>
              <w:t xml:space="preserve">预期金额</w:t>
            </w:r>
          </w:p>
        </w:tc>
        <w:tc>
          <w:tcPr/>
          <w:p>
            <w:pPr>
              <w:pStyle w:val="Compact"/>
              <w:jc w:val="center"/>
            </w:pPr>
            <w:r>
              <w:rPr>
                <w:rFonts w:hint="eastAsia"/>
              </w:rPr>
              <w:t xml:space="preserve">时间安排</w:t>
            </w:r>
            <w:r>
              <w:t xml:space="preserve"> / </w:t>
            </w:r>
            <w:r>
              <w:rPr>
                <w:rFonts w:hint="eastAsia"/>
              </w:rPr>
              <w:t xml:space="preserve">限制条件</w:t>
            </w:r>
          </w:p>
        </w:tc>
      </w:tr>
      <w:tr>
        <w:tc>
          <w:tcPr/>
          <w:p>
            <w:pPr>
              <w:pStyle w:val="Compact"/>
              <w:jc w:val="left"/>
            </w:pPr>
            <w:r>
              <w:rPr>
                <w:rFonts w:hint="eastAsia"/>
              </w:rPr>
              <w:t xml:space="preserve">联邦阿片类药物应对拨款</w:t>
            </w:r>
          </w:p>
        </w:tc>
        <w:tc>
          <w:tcPr/>
          <w:p>
            <w:pPr>
              <w:pStyle w:val="Compact"/>
              <w:jc w:val="center"/>
            </w:pPr>
            <w:r>
              <w:rPr>
                <w:rFonts w:hint="eastAsia"/>
              </w:rPr>
              <w:t xml:space="preserve">2,840万美元</w:t>
            </w:r>
          </w:p>
        </w:tc>
        <w:tc>
          <w:tcPr/>
          <w:p>
            <w:pPr>
              <w:pStyle w:val="Compact"/>
              <w:jc w:val="center"/>
            </w:pPr>
            <w:r>
              <w:rPr>
                <w:rFonts w:hint="eastAsia"/>
              </w:rPr>
              <w:t xml:space="preserve">年度拨款；须符合已批准的预防、治疗、减害与康复计划</w:t>
            </w:r>
          </w:p>
        </w:tc>
      </w:tr>
      <w:tr>
        <w:tc>
          <w:tcPr/>
          <w:p>
            <w:pPr>
              <w:pStyle w:val="Compact"/>
              <w:jc w:val="left"/>
            </w:pPr>
            <w:r>
              <w:rPr>
                <w:rFonts w:hint="eastAsia"/>
              </w:rPr>
              <w:t xml:space="preserve">州普通基金</w:t>
            </w:r>
          </w:p>
        </w:tc>
        <w:tc>
          <w:tcPr/>
          <w:p>
            <w:pPr>
              <w:pStyle w:val="Compact"/>
              <w:jc w:val="center"/>
            </w:pPr>
            <w:r>
              <w:rPr>
                <w:rFonts w:hint="eastAsia"/>
              </w:rPr>
              <w:t xml:space="preserve">960万美元</w:t>
            </w:r>
          </w:p>
        </w:tc>
        <w:tc>
          <w:tcPr/>
          <w:p>
            <w:pPr>
              <w:pStyle w:val="Compact"/>
              <w:jc w:val="center"/>
            </w:pPr>
            <w:r>
              <w:rPr>
                <w:rFonts w:hint="eastAsia"/>
              </w:rPr>
              <w:t xml:space="preserve">已颁布三个月过渡资金；余下部分需经预算谈判</w:t>
            </w:r>
          </w:p>
        </w:tc>
      </w:tr>
      <w:tr>
        <w:tc>
          <w:tcPr/>
          <w:p>
            <w:pPr>
              <w:pStyle w:val="Compact"/>
              <w:jc w:val="left"/>
            </w:pPr>
            <w:r>
              <w:rPr>
                <w:rFonts w:hint="eastAsia"/>
              </w:rPr>
              <w:t xml:space="preserve">阿片类药物和解分配款</w:t>
            </w:r>
          </w:p>
        </w:tc>
        <w:tc>
          <w:tcPr/>
          <w:p>
            <w:pPr>
              <w:pStyle w:val="Compact"/>
              <w:jc w:val="center"/>
            </w:pPr>
            <w:r>
              <w:rPr>
                <w:rFonts w:hint="eastAsia"/>
              </w:rPr>
              <w:t xml:space="preserve">780万美元</w:t>
            </w:r>
          </w:p>
        </w:tc>
        <w:tc>
          <w:tcPr/>
          <w:p>
            <w:pPr>
              <w:pStyle w:val="Compact"/>
              <w:jc w:val="center"/>
            </w:pPr>
            <w:r>
              <w:rPr>
                <w:rFonts w:hint="eastAsia"/>
              </w:rPr>
              <w:t xml:space="preserve">需县级与州级批准；多年期但发放时间表不均衡</w:t>
            </w:r>
          </w:p>
        </w:tc>
      </w:tr>
      <w:tr>
        <w:tc>
          <w:tcPr/>
          <w:p>
            <w:pPr>
              <w:pStyle w:val="Compact"/>
              <w:jc w:val="left"/>
            </w:pPr>
            <w:r>
              <w:rPr>
                <w:rFonts w:hint="eastAsia"/>
              </w:rPr>
              <w:t xml:space="preserve">医院基金会</w:t>
            </w:r>
          </w:p>
        </w:tc>
        <w:tc>
          <w:tcPr/>
          <w:p>
            <w:pPr>
              <w:pStyle w:val="Compact"/>
              <w:jc w:val="center"/>
            </w:pPr>
            <w:r>
              <w:rPr>
                <w:rFonts w:hint="eastAsia"/>
              </w:rPr>
              <w:t xml:space="preserve">100万美元</w:t>
            </w:r>
          </w:p>
        </w:tc>
        <w:tc>
          <w:tcPr/>
          <w:p>
            <w:pPr>
              <w:pStyle w:val="Compact"/>
              <w:jc w:val="center"/>
            </w:pPr>
            <w:r>
              <w:rPr>
                <w:rFonts w:hint="eastAsia"/>
              </w:rPr>
              <w:t xml:space="preserve">仅限药房可及性和公众教育</w:t>
            </w:r>
          </w:p>
        </w:tc>
      </w:tr>
      <w:tr>
        <w:tc>
          <w:tcPr/>
          <w:p>
            <w:pPr>
              <w:pStyle w:val="Compact"/>
              <w:jc w:val="left"/>
            </w:pPr>
            <w:r>
              <w:rPr>
                <w:rFonts w:hint="eastAsia"/>
              </w:rPr>
              <w:t xml:space="preserve">农村捐助者联合体</w:t>
            </w:r>
          </w:p>
        </w:tc>
        <w:tc>
          <w:tcPr/>
          <w:p>
            <w:pPr>
              <w:pStyle w:val="Compact"/>
              <w:jc w:val="center"/>
            </w:pPr>
            <w:r>
              <w:rPr>
                <w:rFonts w:hint="eastAsia"/>
              </w:rPr>
              <w:t xml:space="preserve">70万美元</w:t>
            </w:r>
          </w:p>
        </w:tc>
        <w:tc>
          <w:tcPr/>
          <w:p>
            <w:pPr>
              <w:pStyle w:val="Compact"/>
              <w:jc w:val="center"/>
            </w:pPr>
            <w:r>
              <w:rPr>
                <w:rFonts w:hint="eastAsia"/>
              </w:rPr>
              <w:t xml:space="preserve">流动外展服务；需按人提供活动报告</w:t>
            </w:r>
          </w:p>
        </w:tc>
      </w:tr>
      <w:tr>
        <w:tc>
          <w:tcPr/>
          <w:p>
            <w:pPr>
              <w:pStyle w:val="Compact"/>
              <w:jc w:val="left"/>
            </w:pPr>
            <w:r>
              <w:rPr>
                <w:rFonts w:hint="eastAsia"/>
              </w:rPr>
              <w:t xml:space="preserve">医保及保险公司报销</w:t>
            </w:r>
          </w:p>
        </w:tc>
        <w:tc>
          <w:tcPr/>
          <w:p>
            <w:pPr>
              <w:pStyle w:val="Compact"/>
              <w:jc w:val="center"/>
            </w:pPr>
            <w:r>
              <w:rPr>
                <w:rFonts w:hint="eastAsia"/>
              </w:rPr>
              <w:t xml:space="preserve">230万美元</w:t>
            </w:r>
          </w:p>
        </w:tc>
        <w:tc>
          <w:tcPr/>
          <w:p>
            <w:pPr>
              <w:pStyle w:val="Compact"/>
              <w:jc w:val="center"/>
            </w:pPr>
            <w:r>
              <w:rPr>
                <w:rFonts w:hint="eastAsia"/>
              </w:rPr>
              <w:t xml:space="preserve">主要用于治疗服务；对社区分发的支持有限</w:t>
            </w:r>
          </w:p>
        </w:tc>
      </w:tr>
    </w:tbl>
    <w:p>
      <w:pPr>
        <w:pStyle w:val="BodyText"/>
      </w:pPr>
      <w:r>
        <w:rPr>
          <w:rFonts w:hint="eastAsia"/>
        </w:rPr>
        <w:t xml:space="preserve">财务人员估计，36,000份药盒、培训材料、运费及处理费用总计需134万美元。该机构在本季度结束前还可再支出41万美元用于培训和宣传。为更多同伴教育者提供资金将减少可用于广告和数据收集的金额。为未来紧急情况保留药盒可以防范突发激增，但会导致当前需求得不到满足。</w:t>
      </w:r>
    </w:p>
    <w:bookmarkEnd w:id="17"/>
    <w:bookmarkEnd w:id="18"/>
    <w:bookmarkStart w:id="20" w:name="四个方案"/>
    <w:p>
      <w:pPr>
        <w:pStyle w:val="Heading1"/>
      </w:pPr>
      <w:r>
        <w:rPr>
          <w:rFonts w:hint="eastAsia"/>
        </w:rPr>
        <w:t xml:space="preserve">四个方案</w:t>
      </w:r>
    </w:p>
    <w:p>
      <w:pPr>
        <w:pStyle w:val="FirstParagraph"/>
      </w:pPr>
      <w:r>
        <w:rPr>
          <w:rFonts w:hint="eastAsia"/>
        </w:rPr>
        <w:t xml:space="preserve">到周五下午，Ortiz</w:t>
      </w:r>
      <w:r>
        <w:t xml:space="preserve"> </w:t>
      </w:r>
      <w:r>
        <w:rPr>
          <w:rFonts w:hint="eastAsia"/>
        </w:rPr>
        <w:t xml:space="preserve">的团队制定了四个方案，但没有一个能解决所有问题。</w:t>
      </w:r>
    </w:p>
    <w:p>
      <w:pPr>
        <w:pStyle w:val="BodyText"/>
      </w:pPr>
      <w:r>
        <w:rPr>
          <w:rFonts w:hint="eastAsia"/>
        </w:rPr>
        <w:t xml:space="preserve">方案</w:t>
      </w:r>
      <w:r>
        <w:t xml:space="preserve"> </w:t>
      </w:r>
      <w:r>
        <w:rPr>
          <w:rFonts w:hint="eastAsia"/>
        </w:rPr>
        <w:t xml:space="preserve">A：跟随现有负担。将大部分药盒分配给近期过量用药人数最多、分发速度最快的县和机构。这种做法能使药盒迅速投入使用，但可能强化现有的地理和机构优势。</w:t>
      </w:r>
    </w:p>
    <w:p>
      <w:pPr>
        <w:pStyle w:val="BodyText"/>
      </w:pPr>
      <w:r>
        <w:rPr>
          <w:rFonts w:hint="eastAsia"/>
        </w:rPr>
        <w:t xml:space="preserve">方案</w:t>
      </w:r>
      <w:r>
        <w:t xml:space="preserve"> </w:t>
      </w:r>
      <w:r>
        <w:rPr>
          <w:rFonts w:hint="eastAsia"/>
        </w:rPr>
        <w:t xml:space="preserve">B：保护可及性空白地带。优先考虑农村县、部落项目、监狱、庇护所以及其他</w:t>
      </w:r>
      <w:r>
        <w:t xml:space="preserve"> EMS </w:t>
      </w:r>
      <w:r>
        <w:rPr>
          <w:rFonts w:hint="eastAsia"/>
        </w:rPr>
        <w:t xml:space="preserve">响应缓慢或人们缺乏替代选择的地方。该方案可能改善公平性和可及性，但一些接收方在培训、分发和报告方面的能力有限。</w:t>
      </w:r>
    </w:p>
    <w:p>
      <w:pPr>
        <w:pStyle w:val="BodyText"/>
      </w:pPr>
      <w:r>
        <w:rPr>
          <w:rFonts w:hint="eastAsia"/>
        </w:rPr>
        <w:t xml:space="preserve">方案</w:t>
      </w:r>
      <w:r>
        <w:t xml:space="preserve"> </w:t>
      </w:r>
      <w:r>
        <w:rPr>
          <w:rFonts w:hint="eastAsia"/>
        </w:rPr>
        <w:t xml:space="preserve">C：建立响应型储备。立即分发27,000份药盒，保留9,000份用于应对县级缺货、新兴热点、大型公共活动以及药物供应变化。合作伙伴认为，放在仓库里的药盒无法逆转过量用药；Ortiz</w:t>
      </w:r>
      <w:r>
        <w:t xml:space="preserve"> </w:t>
      </w:r>
      <w:r>
        <w:rPr>
          <w:rFonts w:hint="eastAsia"/>
        </w:rPr>
        <w:t xml:space="preserve">则担心，全部分发出去会使州政府无法应对新的信息。</w:t>
      </w:r>
    </w:p>
    <w:p>
      <w:pPr>
        <w:pStyle w:val="BodyText"/>
      </w:pPr>
      <w:r>
        <w:rPr>
          <w:rFonts w:hint="eastAsia"/>
        </w:rPr>
        <w:t xml:space="preserve">方案</w:t>
      </w:r>
      <w:r>
        <w:t xml:space="preserve"> </w:t>
      </w:r>
      <w:r>
        <w:rPr>
          <w:rFonts w:hint="eastAsia"/>
        </w:rPr>
        <w:t xml:space="preserve">D：将药盒分配与学习挂钩。要求特定合作伙伴记录分发地点、接收者类型、培训方式、补货请求以及报告的使用情况。州政府将比较各种做法，并在后续货物中向表现最有效的方案倾斜。小型机构警告说，增加报告要求可能会拖慢分发速度，让匿名接收者望而却步，并偏袒行政系统更完善而非可及性更好的项目。</w:t>
      </w:r>
    </w:p>
    <w:bookmarkStart w:id="19" w:name="表-5.-不同分配方案的规划后果"/>
    <w:p>
      <w:pPr>
        <w:pStyle w:val="Heading2"/>
      </w:pPr>
      <w:r>
        <w:rPr>
          <w:rFonts w:hint="eastAsia"/>
        </w:rPr>
        <w:t xml:space="preserve">表</w:t>
      </w:r>
      <w:r>
        <w:t xml:space="preserve"> 5. </w:t>
      </w:r>
      <w:r>
        <w:rPr>
          <w:rFonts w:hint="eastAsia"/>
        </w:rPr>
        <w:t xml:space="preserve">不同分配方案的规划后果</w:t>
      </w:r>
    </w:p>
    <w:tbl>
      <w:tblPr>
        <w:tblStyle w:val="Table"/>
        <w:tblW w:type="pct" w:w="4923"/>
        <w:tblLayout w:type="fixed"/>
        <w:tblLook w:firstRow="1" w:lastRow="0" w:firstColumn="0" w:lastColumn="0" w:noHBand="0" w:noVBand="0" w:val="0020"/>
      </w:tblPr>
      <w:tblGrid>
        <w:gridCol w:w="1523"/>
        <w:gridCol w:w="1401"/>
        <w:gridCol w:w="609"/>
        <w:gridCol w:w="1644"/>
        <w:gridCol w:w="2619"/>
      </w:tblGrid>
      <w:tr>
        <w:trPr>
          <w:tblHeader w:val="on"/>
        </w:trPr>
        <w:tc>
          <w:tcPr/>
          <w:p>
            <w:pPr>
              <w:pStyle w:val="Compact"/>
              <w:jc w:val="left"/>
            </w:pPr>
            <w:r>
              <w:rPr>
                <w:rFonts w:hint="eastAsia"/>
              </w:rPr>
              <w:t xml:space="preserve">方案</w:t>
            </w:r>
          </w:p>
        </w:tc>
        <w:tc>
          <w:tcPr/>
          <w:p>
            <w:pPr>
              <w:pStyle w:val="Compact"/>
              <w:jc w:val="left"/>
            </w:pPr>
            <w:r>
              <w:rPr>
                <w:rFonts w:hint="eastAsia"/>
              </w:rPr>
              <w:t xml:space="preserve">当前分发药盒数量</w:t>
            </w:r>
          </w:p>
        </w:tc>
        <w:tc>
          <w:tcPr/>
          <w:p>
            <w:pPr>
              <w:pStyle w:val="Compact"/>
              <w:jc w:val="center"/>
            </w:pPr>
            <w:r>
              <w:rPr>
                <w:rFonts w:hint="eastAsia"/>
              </w:rPr>
              <w:t xml:space="preserve">储备量</w:t>
            </w:r>
          </w:p>
        </w:tc>
        <w:tc>
          <w:tcPr/>
          <w:p>
            <w:pPr>
              <w:pStyle w:val="Compact"/>
              <w:jc w:val="center"/>
            </w:pPr>
            <w:r>
              <w:rPr>
                <w:rFonts w:hint="eastAsia"/>
              </w:rPr>
              <w:t xml:space="preserve">培训</w:t>
            </w:r>
            <w:r>
              <w:t xml:space="preserve"> / </w:t>
            </w:r>
            <w:r>
              <w:rPr>
                <w:rFonts w:hint="eastAsia"/>
              </w:rPr>
              <w:t xml:space="preserve">数据支出</w:t>
            </w:r>
          </w:p>
        </w:tc>
        <w:tc>
          <w:tcPr/>
          <w:p>
            <w:pPr>
              <w:pStyle w:val="Compact"/>
              <w:jc w:val="center"/>
            </w:pPr>
            <w:r>
              <w:rPr>
                <w:rFonts w:hint="eastAsia"/>
              </w:rPr>
              <w:t xml:space="preserve">主要风险敞口</w:t>
            </w:r>
          </w:p>
        </w:tc>
      </w:tr>
      <w:tr>
        <w:tc>
          <w:tcPr/>
          <w:p>
            <w:pPr>
              <w:pStyle w:val="Compact"/>
              <w:jc w:val="left"/>
            </w:pPr>
            <w:r>
              <w:t xml:space="preserve">A. </w:t>
            </w:r>
            <w:r>
              <w:rPr>
                <w:rFonts w:hint="eastAsia"/>
              </w:rPr>
              <w:t xml:space="preserve">现有负担方案</w:t>
            </w:r>
          </w:p>
        </w:tc>
        <w:tc>
          <w:tcPr/>
          <w:p>
            <w:pPr>
              <w:pStyle w:val="Compact"/>
              <w:jc w:val="left"/>
            </w:pPr>
            <w:r>
              <w:t xml:space="preserve">34,000</w:t>
            </w:r>
          </w:p>
        </w:tc>
        <w:tc>
          <w:tcPr/>
          <w:p>
            <w:pPr>
              <w:pStyle w:val="Compact"/>
              <w:jc w:val="center"/>
            </w:pPr>
            <w:r>
              <w:t xml:space="preserve">2,000</w:t>
            </w:r>
          </w:p>
        </w:tc>
        <w:tc>
          <w:tcPr/>
          <w:p>
            <w:pPr>
              <w:pStyle w:val="Compact"/>
              <w:jc w:val="center"/>
            </w:pPr>
            <w:r>
              <w:rPr>
                <w:rFonts w:hint="eastAsia"/>
              </w:rPr>
              <w:t xml:space="preserve">26万美元</w:t>
            </w:r>
          </w:p>
        </w:tc>
        <w:tc>
          <w:tcPr/>
          <w:p>
            <w:pPr>
              <w:pStyle w:val="Compact"/>
              <w:jc w:val="center"/>
            </w:pPr>
            <w:r>
              <w:rPr>
                <w:rFonts w:hint="eastAsia"/>
              </w:rPr>
              <w:t xml:space="preserve">未能满足农村及新兴需求</w:t>
            </w:r>
          </w:p>
        </w:tc>
      </w:tr>
      <w:tr>
        <w:tc>
          <w:tcPr/>
          <w:p>
            <w:pPr>
              <w:pStyle w:val="Compact"/>
              <w:jc w:val="left"/>
            </w:pPr>
            <w:r>
              <w:t xml:space="preserve">B. </w:t>
            </w:r>
            <w:r>
              <w:rPr>
                <w:rFonts w:hint="eastAsia"/>
              </w:rPr>
              <w:t xml:space="preserve">可及性空白方案</w:t>
            </w:r>
          </w:p>
        </w:tc>
        <w:tc>
          <w:tcPr/>
          <w:p>
            <w:pPr>
              <w:pStyle w:val="Compact"/>
              <w:jc w:val="left"/>
            </w:pPr>
            <w:r>
              <w:t xml:space="preserve">33,000</w:t>
            </w:r>
          </w:p>
        </w:tc>
        <w:tc>
          <w:tcPr/>
          <w:p>
            <w:pPr>
              <w:pStyle w:val="Compact"/>
              <w:jc w:val="center"/>
            </w:pPr>
            <w:r>
              <w:t xml:space="preserve">3,000</w:t>
            </w:r>
          </w:p>
        </w:tc>
        <w:tc>
          <w:tcPr/>
          <w:p>
            <w:pPr>
              <w:pStyle w:val="Compact"/>
              <w:jc w:val="center"/>
            </w:pPr>
            <w:r>
              <w:rPr>
                <w:rFonts w:hint="eastAsia"/>
              </w:rPr>
              <w:t xml:space="preserve">33万美元</w:t>
            </w:r>
          </w:p>
        </w:tc>
        <w:tc>
          <w:tcPr/>
          <w:p>
            <w:pPr>
              <w:pStyle w:val="Compact"/>
              <w:jc w:val="center"/>
            </w:pPr>
            <w:r>
              <w:rPr>
                <w:rFonts w:hint="eastAsia"/>
              </w:rPr>
              <w:t xml:space="preserve">分发速度较慢，报告较薄弱</w:t>
            </w:r>
          </w:p>
        </w:tc>
      </w:tr>
      <w:tr>
        <w:tc>
          <w:tcPr/>
          <w:p>
            <w:pPr>
              <w:pStyle w:val="Compact"/>
              <w:jc w:val="left"/>
            </w:pPr>
            <w:r>
              <w:t xml:space="preserve">C. </w:t>
            </w:r>
            <w:r>
              <w:rPr>
                <w:rFonts w:hint="eastAsia"/>
              </w:rPr>
              <w:t xml:space="preserve">响应型储备方案</w:t>
            </w:r>
          </w:p>
        </w:tc>
        <w:tc>
          <w:tcPr/>
          <w:p>
            <w:pPr>
              <w:pStyle w:val="Compact"/>
              <w:jc w:val="left"/>
            </w:pPr>
            <w:r>
              <w:t xml:space="preserve">27,000</w:t>
            </w:r>
          </w:p>
        </w:tc>
        <w:tc>
          <w:tcPr/>
          <w:p>
            <w:pPr>
              <w:pStyle w:val="Compact"/>
              <w:jc w:val="center"/>
            </w:pPr>
            <w:r>
              <w:t xml:space="preserve">9,000</w:t>
            </w:r>
          </w:p>
        </w:tc>
        <w:tc>
          <w:tcPr/>
          <w:p>
            <w:pPr>
              <w:pStyle w:val="Compact"/>
              <w:jc w:val="center"/>
            </w:pPr>
            <w:r>
              <w:rPr>
                <w:rFonts w:hint="eastAsia"/>
              </w:rPr>
              <w:t xml:space="preserve">24万美元</w:t>
            </w:r>
          </w:p>
        </w:tc>
        <w:tc>
          <w:tcPr/>
          <w:p>
            <w:pPr>
              <w:pStyle w:val="Compact"/>
              <w:jc w:val="center"/>
            </w:pPr>
            <w:r>
              <w:rPr>
                <w:rFonts w:hint="eastAsia"/>
              </w:rPr>
              <w:t xml:space="preserve">合作伙伴配给期间库存被搁置</w:t>
            </w:r>
          </w:p>
        </w:tc>
      </w:tr>
      <w:tr>
        <w:tc>
          <w:tcPr/>
          <w:p>
            <w:pPr>
              <w:pStyle w:val="Compact"/>
              <w:jc w:val="left"/>
            </w:pPr>
            <w:r>
              <w:t xml:space="preserve">D. </w:t>
            </w:r>
            <w:r>
              <w:rPr>
                <w:rFonts w:hint="eastAsia"/>
              </w:rPr>
              <w:t xml:space="preserve">学习型分配方案</w:t>
            </w:r>
          </w:p>
        </w:tc>
        <w:tc>
          <w:tcPr/>
          <w:p>
            <w:pPr>
              <w:pStyle w:val="Compact"/>
              <w:jc w:val="left"/>
            </w:pPr>
            <w:r>
              <w:t xml:space="preserve">31,000</w:t>
            </w:r>
          </w:p>
        </w:tc>
        <w:tc>
          <w:tcPr/>
          <w:p>
            <w:pPr>
              <w:pStyle w:val="Compact"/>
              <w:jc w:val="center"/>
            </w:pPr>
            <w:r>
              <w:t xml:space="preserve">5,000</w:t>
            </w:r>
          </w:p>
        </w:tc>
        <w:tc>
          <w:tcPr/>
          <w:p>
            <w:pPr>
              <w:pStyle w:val="Compact"/>
              <w:jc w:val="center"/>
            </w:pPr>
            <w:r>
              <w:rPr>
                <w:rFonts w:hint="eastAsia"/>
              </w:rPr>
              <w:t xml:space="preserve">41万美元</w:t>
            </w:r>
          </w:p>
        </w:tc>
        <w:tc>
          <w:tcPr/>
          <w:p>
            <w:pPr>
              <w:pStyle w:val="Compact"/>
              <w:jc w:val="center"/>
            </w:pPr>
            <w:r>
              <w:rPr>
                <w:rFonts w:hint="eastAsia"/>
              </w:rPr>
              <w:t xml:space="preserve">行政负担及选择性偏差</w:t>
            </w:r>
          </w:p>
        </w:tc>
      </w:tr>
    </w:tbl>
    <w:p>
      <w:pPr>
        <w:pStyle w:val="BodyText"/>
      </w:pPr>
      <w:r>
        <w:rPr>
          <w:rFonts w:hint="eastAsia"/>
        </w:rPr>
        <w:t xml:space="preserve">该表并未估算挽救的生命数量。团队缺乏一个可靠的换算方法，无法将药盒分发数量转化为药盒携带数量、目睹的过量用药事件数量、施用剂量数量、生存率、避免的转运次数或降低的医院成本。即使是施用后的生存情况，也无法完全归因于药盒本身，因为</w:t>
      </w:r>
      <w:r>
        <w:t xml:space="preserve"> EMS </w:t>
      </w:r>
      <w:r>
        <w:rPr>
          <w:rFonts w:hint="eastAsia"/>
        </w:rPr>
        <w:t xml:space="preserve">响应、人工呼吸、涉及的物质、剂量、时机以及当事人的健康状况都很重要。</w:t>
      </w:r>
    </w:p>
    <w:bookmarkEnd w:id="19"/>
    <w:bookmarkEnd w:id="20"/>
    <w:bookmarkStart w:id="21" w:name="周一早晨"/>
    <w:p>
      <w:pPr>
        <w:pStyle w:val="Heading1"/>
      </w:pPr>
      <w:r>
        <w:rPr>
          <w:rFonts w:hint="eastAsia"/>
        </w:rPr>
        <w:t xml:space="preserve">周一早晨</w:t>
      </w:r>
    </w:p>
    <w:p>
      <w:pPr>
        <w:pStyle w:val="FirstParagraph"/>
      </w:pPr>
      <w:r>
        <w:rPr>
          <w:rFonts w:hint="eastAsia"/>
        </w:rPr>
        <w:t xml:space="preserve">周末期间，东部城市走廊在四十八小时内报告了九起疑似过量用药事件，其中包括两起死亡。毒理学确认结果需要数周时间。西部一个县宣布其唯一的减害护士即将离职。南部郊区提出可以借出库存，但要求报销人员工时和运费。一位部落卫生主任要求</w:t>
      </w:r>
      <w:r>
        <w:t xml:space="preserve"> Ortiz </w:t>
      </w:r>
      <w:r>
        <w:rPr>
          <w:rFonts w:hint="eastAsia"/>
        </w:rPr>
        <w:t xml:space="preserve">绕过县级分配公式，在即将举行的一场节庆活动前，将药盒直接送往三个社区地点。</w:t>
      </w:r>
    </w:p>
    <w:p>
      <w:pPr>
        <w:pStyle w:val="BodyText"/>
      </w:pPr>
      <w:r>
        <w:rPr>
          <w:rFonts w:hint="eastAsia"/>
        </w:rPr>
        <w:t xml:space="preserve">现在</w:t>
      </w:r>
      <w:r>
        <w:t xml:space="preserve"> Ortiz </w:t>
      </w:r>
      <w:r>
        <w:rPr>
          <w:rFonts w:hint="eastAsia"/>
        </w:rPr>
        <w:t xml:space="preserve">不仅要确定这36,000份药盒将流向何处，还要确定什么样的条件才能证明修改方案是合理的。她可以使用报告的死亡人数、EMS</w:t>
      </w:r>
      <w:r>
        <w:t xml:space="preserve"> </w:t>
      </w:r>
      <w:r>
        <w:rPr>
          <w:rFonts w:hint="eastAsia"/>
        </w:rPr>
        <w:t xml:space="preserve">呼叫次数、合作伙伴库存水平、新的掺杂物、异常大规模的聚集事件，或药盒未能送达可能目睹过量用药者手中的证据。每一个信号都存在滞后和缺口。每一次重新分配都可能被失去供给的机构视为带有政治意图。</w:t>
      </w:r>
    </w:p>
    <w:p>
      <w:pPr>
        <w:pStyle w:val="BodyText"/>
      </w:pPr>
      <w:r>
        <w:rPr>
          <w:rFonts w:hint="eastAsia"/>
        </w:rPr>
        <w:t xml:space="preserve">周一上午10点30分，卫生局局长将要求提交一份建议。Ortiz</w:t>
      </w:r>
      <w:r>
        <w:t xml:space="preserve"> </w:t>
      </w:r>
      <w:r>
        <w:rPr>
          <w:rFonts w:hint="eastAsia"/>
        </w:rPr>
        <w:t xml:space="preserve">需要解释这份分配方案将如何保护生命、控制公共成本、覆盖服务不足的社区，并且对于人手有限的机构而言仍然切实可行。她还需要说明，当匿名性和信任本身就是所提供服务的一部分时，卫生部门应该向合作伙伴索要多少信息。</w:t>
      </w:r>
    </w:p>
    <w:p>
      <w:pPr>
        <w:pStyle w:val="BodyText"/>
      </w:pPr>
      <w:r>
        <w:rPr>
          <w:rFonts w:hint="eastAsia"/>
        </w:rPr>
        <w:t xml:space="preserve">这批货物数量大到足以产生影响，却又小到无法满足每一项请求。州政府可以清点离开仓库的纸箱数量，却无法轻易确定纳洛酮是否会出现在正确的地点、是否有人会识别出过量用药、他们是否会施用药物，或者下一批货物是否会在当地库存耗尽之前到达。</w:t>
      </w:r>
    </w:p>
    <w:bookmarkEnd w:id="21"/>
    <w:bookmarkStart w:id="22" w:name="讨论问题"/>
    <w:p>
      <w:pPr>
        <w:pStyle w:val="Heading1"/>
      </w:pPr>
      <w:r>
        <w:rPr>
          <w:rFonts w:hint="eastAsia"/>
        </w:rPr>
        <w:t xml:space="preserve">讨论问题</w:t>
      </w:r>
    </w:p>
    <w:p>
      <w:pPr>
        <w:numPr>
          <w:ilvl w:val="0"/>
          <w:numId w:val="1001"/>
        </w:numPr>
      </w:pPr>
      <w:r>
        <w:t xml:space="preserve">Ortiz </w:t>
      </w:r>
      <w:r>
        <w:rPr>
          <w:rFonts w:hint="eastAsia"/>
        </w:rPr>
        <w:t xml:space="preserve">和</w:t>
      </w:r>
      <w:r>
        <w:t xml:space="preserve"> Bellwether </w:t>
      </w:r>
      <w:r>
        <w:rPr>
          <w:rFonts w:hint="eastAsia"/>
        </w:rPr>
        <w:t xml:space="preserve">卫生部面临的核心问题是什么？</w:t>
      </w:r>
    </w:p>
    <w:p>
      <w:pPr>
        <w:numPr>
          <w:ilvl w:val="0"/>
          <w:numId w:val="1001"/>
        </w:numPr>
      </w:pPr>
      <w:r>
        <w:rPr>
          <w:rFonts w:hint="eastAsia"/>
        </w:rPr>
        <w:t xml:space="preserve">在分配36,000份药盒时，各展示材料中的哪些信息应占最大权重？</w:t>
      </w:r>
    </w:p>
    <w:p>
      <w:pPr>
        <w:numPr>
          <w:ilvl w:val="0"/>
          <w:numId w:val="1001"/>
        </w:numPr>
      </w:pPr>
      <w:r>
        <w:rPr>
          <w:rFonts w:hint="eastAsia"/>
        </w:rPr>
        <w:t xml:space="preserve">州政府应如何在高分发量的城市项目与应急响应时间较长的农村及部落社区之间取得平衡？</w:t>
      </w:r>
    </w:p>
    <w:p>
      <w:pPr>
        <w:numPr>
          <w:ilvl w:val="0"/>
          <w:numId w:val="1001"/>
        </w:numPr>
      </w:pPr>
      <w:r>
        <w:t xml:space="preserve">Bellwether </w:t>
      </w:r>
      <w:r>
        <w:rPr>
          <w:rFonts w:hint="eastAsia"/>
        </w:rPr>
        <w:t xml:space="preserve">是否应保留中央储备？什么情况应触发其释放？</w:t>
      </w:r>
    </w:p>
    <w:p>
      <w:pPr>
        <w:numPr>
          <w:ilvl w:val="0"/>
          <w:numId w:val="1001"/>
        </w:numPr>
      </w:pPr>
      <w:r>
        <w:rPr>
          <w:rFonts w:hint="eastAsia"/>
        </w:rPr>
        <w:t xml:space="preserve">药盒应如何在减害组织、急救人员、治疗提供者、药房、监狱及其他社区组织之间分配？</w:t>
      </w:r>
    </w:p>
    <w:p>
      <w:pPr>
        <w:numPr>
          <w:ilvl w:val="0"/>
          <w:numId w:val="1001"/>
        </w:numPr>
      </w:pPr>
      <w:r>
        <w:rPr>
          <w:rFonts w:hint="eastAsia"/>
        </w:rPr>
        <w:t xml:space="preserve">分发时应配套多少培训，谁应接受培训？</w:t>
      </w:r>
    </w:p>
    <w:p>
      <w:pPr>
        <w:numPr>
          <w:ilvl w:val="0"/>
          <w:numId w:val="1001"/>
        </w:numPr>
      </w:pPr>
      <w:r>
        <w:rPr>
          <w:rFonts w:hint="eastAsia"/>
        </w:rPr>
        <w:t xml:space="preserve">应要求合作伙伴报告哪些信息？报告要求在什么情况下可能降低可及性或信任度？</w:t>
      </w:r>
    </w:p>
    <w:p>
      <w:pPr>
        <w:numPr>
          <w:ilvl w:val="0"/>
          <w:numId w:val="1001"/>
        </w:numPr>
      </w:pPr>
      <w:r>
        <w:rPr>
          <w:rFonts w:hint="eastAsia"/>
        </w:rPr>
        <w:t xml:space="preserve">非法药物供应的变化应如何影响该州的分配和沟通计划？</w:t>
      </w:r>
    </w:p>
    <w:p>
      <w:pPr>
        <w:numPr>
          <w:ilvl w:val="0"/>
          <w:numId w:val="1001"/>
        </w:numPr>
      </w:pPr>
      <w:r>
        <w:rPr>
          <w:rFonts w:hint="eastAsia"/>
        </w:rPr>
        <w:t xml:space="preserve">联邦、州、和解及捐助资金所附带的限制条件应如何塑造运营计划？</w:t>
      </w:r>
    </w:p>
    <w:p>
      <w:pPr>
        <w:numPr>
          <w:ilvl w:val="0"/>
          <w:numId w:val="1001"/>
        </w:numPr>
      </w:pPr>
      <w:r>
        <w:rPr>
          <w:rFonts w:hint="eastAsia"/>
        </w:rPr>
        <w:t xml:space="preserve">三到六个月后，什么样的证据能表明该分配方案应继续、扩大或重新设计？</w:t>
      </w:r>
    </w:p>
    <w:bookmarkEnd w:id="22"/>
    <w:bookmarkStart w:id="28"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识别并描述决策者的职责范围。这应确定问题的范围。</w:t>
      </w:r>
    </w:p>
    <w:p>
      <w:pPr>
        <w:numPr>
          <w:ilvl w:val="0"/>
          <w:numId w:val="1002"/>
        </w:numPr>
      </w:pPr>
      <w:r>
        <w:rPr>
          <w:rFonts w:hint="eastAsia"/>
        </w:rPr>
        <w:t xml:space="preserve">使用</w:t>
      </w:r>
      <w:hyperlink r:id="rId23">
        <w:r>
          <w:rPr>
            <w:rStyle w:val="Hyperlink"/>
            <w:rFonts w:hint="eastAsia"/>
          </w:rPr>
          <w:t xml:space="preserve">指标金字塔工具</w:t>
        </w:r>
      </w:hyperlink>
      <w:r>
        <w:rPr>
          <w:rFonts w:hint="eastAsia"/>
        </w:rPr>
        <w:t xml:space="preserve">来识别并排定不同绩效指标的优先级。点击承载指标的椭圆形，以确定该指标是需要最大化的指标（绿色）、需要最小化的指标（红色）、作为下限的目标（浅绿色）或作为上限的目标（浅红色），还是最终目标（紫色）。</w:t>
      </w:r>
    </w:p>
    <w:p>
      <w:pPr>
        <w:numPr>
          <w:ilvl w:val="0"/>
          <w:numId w:val="1002"/>
        </w:numPr>
      </w:pPr>
      <w:r>
        <w:rPr>
          <w:rFonts w:hint="eastAsia"/>
        </w:rPr>
        <w:t xml:space="preserve">使用</w:t>
      </w:r>
      <w:hyperlink r:id="rId24">
        <w:r>
          <w:rPr>
            <w:rStyle w:val="Hyperlink"/>
            <w:rFonts w:hint="eastAsia"/>
          </w:rPr>
          <w:t xml:space="preserve">决策优先级排序工具</w:t>
        </w:r>
      </w:hyperlink>
      <w:r>
        <w:rPr>
          <w:rFonts w:hint="eastAsia"/>
        </w:rPr>
        <w:t xml:space="preserve">先列出不同类型的决策（可参考</w:t>
      </w:r>
      <w:hyperlink r:id="rId25">
        <w:r>
          <w:rPr>
            <w:rStyle w:val="Hyperlink"/>
            <w:rFonts w:hint="eastAsia"/>
          </w:rPr>
          <w:t xml:space="preserve">决策类型</w:t>
        </w:r>
      </w:hyperlink>
      <w:r>
        <w:rPr>
          <w:rFonts w:hint="eastAsia"/>
        </w:rPr>
        <w:t xml:space="preserve">作为指导）。这些决策类型将填充右侧矩阵的行，而列则是按照上方金字塔中的优先级从左到右排列的绩效指标。点击每个单元格以表明该决策对每个指标的影响是高（红色）、中（橙色）、低（黄色）还是无影响（白色）。</w:t>
      </w:r>
    </w:p>
    <w:p>
      <w:pPr>
        <w:numPr>
          <w:ilvl w:val="0"/>
          <w:numId w:val="1002"/>
        </w:numPr>
      </w:pPr>
      <w:r>
        <w:rPr>
          <w:rFonts w:hint="eastAsia"/>
        </w:rPr>
        <w:t xml:space="preserve">你可以抓住每一行最左侧的把手（三条横杠）将其上移或下移。对各行进行排序，使对最重要指标影响最大的决策位于顶部。左上角的单元格应集中最多的红色和橙色单元格。此时请识别出在你的研究中应该给予最多关注的决策。如果没有任何决策对最重要指标产生中等或高度影响，请重新审视你的决策列表。</w:t>
      </w:r>
    </w:p>
    <w:p>
      <w:pPr>
        <w:numPr>
          <w:ilvl w:val="0"/>
          <w:numId w:val="1002"/>
        </w:numPr>
      </w:pPr>
      <w:r>
        <w:rPr>
          <w:rFonts w:hint="eastAsia"/>
        </w:rPr>
        <w:t xml:space="preserve">使用</w:t>
      </w:r>
      <w:hyperlink r:id="rId26">
        <w:r>
          <w:rPr>
            <w:rStyle w:val="Hyperlink"/>
            <w:rFonts w:hint="eastAsia"/>
          </w:rPr>
          <w:t xml:space="preserve">不确定性优先级排序工具</w:t>
        </w:r>
      </w:hyperlink>
      <w:r>
        <w:rPr>
          <w:rFonts w:hint="eastAsia"/>
        </w:rPr>
        <w:t xml:space="preserve">重复此过程，以列出并排定不确定性的优先级。使用</w:t>
      </w:r>
      <w:hyperlink r:id="rId27">
        <w:r>
          <w:rPr>
            <w:rStyle w:val="Hyperlink"/>
            <w:rFonts w:hint="eastAsia"/>
          </w:rPr>
          <w:t xml:space="preserve">不确定性类别</w:t>
        </w:r>
      </w:hyperlink>
      <w:r>
        <w:rPr>
          <w:rFonts w:hint="eastAsia"/>
        </w:rPr>
        <w:t xml:space="preserve">来帮助识别这些不确定性。</w:t>
      </w:r>
    </w:p>
    <w:p>
      <w:pPr>
        <w:numPr>
          <w:ilvl w:val="0"/>
          <w:numId w:val="1002"/>
        </w:numPr>
      </w:pPr>
      <w:r>
        <w:rPr>
          <w:rFonts w:hint="eastAsia"/>
        </w:rPr>
        <w:t xml:space="preserve">区分哪些不确定性可以通过平均表现来评估、哪些属于风险事件，这一点很重要：</w:t>
      </w:r>
    </w:p>
    <w:p>
      <w:pPr>
        <w:numPr>
          <w:ilvl w:val="1"/>
          <w:numId w:val="1003"/>
        </w:numPr>
      </w:pPr>
      <w:r>
        <w:rPr>
          <w:rFonts w:hint="eastAsia"/>
        </w:rPr>
        <w:t xml:space="preserve">哪些不确定性来源可以通过一段时间内的平均绩效来体现？</w:t>
      </w:r>
    </w:p>
    <w:p>
      <w:pPr>
        <w:numPr>
          <w:ilvl w:val="1"/>
          <w:numId w:val="1003"/>
        </w:numPr>
      </w:pPr>
      <w:r>
        <w:rPr>
          <w:rFonts w:hint="eastAsia"/>
        </w:rPr>
        <w:t xml:space="preserve">哪些不确定性来源代表了无法通过平均值恰当体现的风险形式？</w:t>
      </w:r>
    </w:p>
    <w:p>
      <w:pPr>
        <w:numPr>
          <w:ilvl w:val="0"/>
          <w:numId w:val="1002"/>
        </w:numPr>
      </w:pPr>
      <w:r>
        <w:rPr>
          <w:rFonts w:hint="eastAsia"/>
        </w:rPr>
        <w:t xml:space="preserve">选出你认为对最重要指标影响最大的单一决策。</w:t>
      </w:r>
    </w:p>
    <w:p>
      <w:pPr>
        <w:numPr>
          <w:ilvl w:val="1"/>
          <w:numId w:val="1004"/>
        </w:numPr>
      </w:pPr>
      <w:r>
        <w:rPr>
          <w:rFonts w:hint="eastAsia"/>
        </w:rPr>
        <w:t xml:space="preserve">你认为应采用什么方法来做出这个决策？</w:t>
      </w:r>
    </w:p>
    <w:p>
      <w:pPr>
        <w:numPr>
          <w:ilvl w:val="1"/>
          <w:numId w:val="1004"/>
        </w:numPr>
      </w:pPr>
      <w:r>
        <w:rPr>
          <w:rFonts w:hint="eastAsia"/>
        </w:rPr>
        <w:t xml:space="preserve">做出这个决策似乎需要哪些数据，包括计算该决策具有高或中等影响的任何绩效指标所需的数据。</w:t>
      </w:r>
    </w:p>
    <w:p>
      <w:pPr>
        <w:numPr>
          <w:ilvl w:val="0"/>
          <w:numId w:val="1002"/>
        </w:numPr>
      </w:pPr>
      <w:r>
        <w:rPr>
          <w:rFonts w:hint="eastAsia"/>
        </w:rPr>
        <w:t xml:space="preserve">针对你在第（7）项中确定的同一决策，识别出实施该决策需要与之合作的人员、部门、团体或组织。</w:t>
      </w:r>
    </w:p>
    <w:bookmarkEnd w:id="28"/>
    <w:bookmarkStart w:id="29" w:name="来源说明"/>
    <w:p>
      <w:pPr>
        <w:pStyle w:val="Heading1"/>
      </w:pPr>
      <w:r>
        <w:rPr>
          <w:rFonts w:hint="eastAsia"/>
        </w:rPr>
        <w:t xml:space="preserve">来源说明</w:t>
      </w:r>
    </w:p>
    <w:p>
      <w:pPr>
        <w:pStyle w:val="FirstParagraph"/>
      </w:pPr>
      <w:r>
        <w:rPr>
          <w:rFonts w:hint="eastAsia"/>
        </w:rPr>
        <w:t xml:space="preserve">本案例的概念基础来自</w:t>
      </w:r>
      <w:r>
        <w:t xml:space="preserve"> Warren B. Powell </w:t>
      </w:r>
      <w:r>
        <w:rPr>
          <w:rFonts w:hint="eastAsia"/>
        </w:rPr>
        <w:t xml:space="preserve">所著《Bridging</w:t>
      </w:r>
      <w:r>
        <w:t xml:space="preserve"> Decision Problems, Volume I: Framing the </w:t>
      </w:r>
      <w:r>
        <w:rPr>
          <w:rFonts w:hint="eastAsia"/>
        </w:rPr>
        <w:t xml:space="preserve">Problem》第2章中的”公共卫生——纳洛酮药盒管理”一节。本案例在叙述和展示材料中嵌入了该节所述的公共卫生成果、分配与外展选择、资金问题以及未知的使用模式，但并未将其明确标注为独立的分析类别。</w:t>
      </w:r>
    </w:p>
    <w:p>
      <w:pPr>
        <w:pStyle w:val="BodyText"/>
      </w:pPr>
      <w:r>
        <w:rPr>
          <w:rFonts w:hint="eastAsia"/>
        </w:rPr>
        <w:t xml:space="preserve">用于激发本情境设定的公开数据包括：CDC</w:t>
      </w:r>
      <w:r>
        <w:t xml:space="preserve"> </w:t>
      </w:r>
      <w:r>
        <w:rPr>
          <w:rFonts w:hint="eastAsia"/>
        </w:rPr>
        <w:t xml:space="preserve">最终死亡率数据显示，2024年美国因药物过量死亡人数为79,384人，与2023年相比经年龄调整的死亡率下降26.2%；CDC</w:t>
      </w:r>
      <w:r>
        <w:t xml:space="preserve"> </w:t>
      </w:r>
      <w:r>
        <w:rPr>
          <w:rFonts w:hint="eastAsia"/>
        </w:rPr>
        <w:t xml:space="preserve">初步估计显示，截至2026年2月的十二个月内死亡人数为68,641人，较前一年下降12.1%；CDC</w:t>
      </w:r>
      <w:r>
        <w:t xml:space="preserve"> </w:t>
      </w:r>
      <w:r>
        <w:rPr>
          <w:rFonts w:hint="eastAsia"/>
        </w:rPr>
        <w:t xml:space="preserve">药房数据显示，2024年发放了超过150万份纳洛酮处方，且地区差异显著；以及2025年9月</w:t>
      </w:r>
      <w:r>
        <w:t xml:space="preserve"> SAMHSA </w:t>
      </w:r>
      <w:r>
        <w:rPr>
          <w:rFonts w:hint="eastAsia"/>
        </w:rPr>
        <w:t xml:space="preserve">宣布的14.8亿美元州级阿片类药物应对续期拨款和近6,300万美元部落阿片类药物应对拨款。CDC</w:t>
      </w:r>
      <w:r>
        <w:t xml:space="preserve"> </w:t>
      </w:r>
      <w:r>
        <w:rPr>
          <w:rFonts w:hint="eastAsia"/>
        </w:rPr>
        <w:t xml:space="preserve">关于非法芬太尼供应中出现美托咪定（medetomidine）的警示，为讨论掺杂物变化提供了参考。所有</w:t>
      </w:r>
      <w:r>
        <w:t xml:space="preserve"> Bellwether </w:t>
      </w:r>
      <w:r>
        <w:rPr>
          <w:rFonts w:hint="eastAsia"/>
        </w:rPr>
        <w:t xml:space="preserve">相关数据、人物、组织、预算和事件均为虚构。</w:t>
      </w:r>
    </w:p>
    <w:bookmarkEnd w:id="29"/>
    <w:bookmarkStart w:id="32" w:name="chatgpt-备注"/>
    <w:p>
      <w:pPr>
        <w:pStyle w:val="Heading1"/>
      </w:pPr>
      <w:r>
        <w:t xml:space="preserve">ChatGPT </w:t>
      </w:r>
      <w:r>
        <w:rPr>
          <w:rFonts w:hint="eastAsia"/>
        </w:rPr>
        <w:t xml:space="preserve">备注</w:t>
      </w:r>
    </w:p>
    <w:bookmarkStart w:id="30" w:name="提示词"/>
    <w:p>
      <w:pPr>
        <w:pStyle w:val="Heading2"/>
      </w:pPr>
      <w:r>
        <w:rPr>
          <w:rFonts w:hint="eastAsia"/>
        </w:rPr>
        <w:t xml:space="preserve">提示词</w:t>
      </w:r>
    </w:p>
    <w:p>
      <w:pPr>
        <w:pStyle w:val="FirstParagraph"/>
      </w:pPr>
      <w:r>
        <w:rPr>
          <w:rFonts w:hint="eastAsia"/>
        </w:rPr>
        <w:t xml:space="preserve">根据</w:t>
      </w:r>
      <w:r>
        <w:t xml:space="preserve"> https://warrenpowell.org/bridging-vol1/chapter-2/#public-health--managing-naloxone-kits </w:t>
      </w:r>
      <w:r>
        <w:rPr>
          <w:rFonts w:hint="eastAsia"/>
        </w:rPr>
        <w:t xml:space="preserve">一节中的材料，撰写一篇4-6页的案例研究。基于该节中的指标、决策和不确定性来创建情境，但不要明确指出它们。请用数据来引出你的案例问题。</w:t>
      </w:r>
    </w:p>
    <w:bookmarkEnd w:id="30"/>
    <w:bookmarkStart w:id="31" w:name="摘要"/>
    <w:p>
      <w:pPr>
        <w:pStyle w:val="Heading2"/>
      </w:pPr>
      <w:r>
        <w:rPr>
          <w:rFonts w:hint="eastAsia"/>
        </w:rPr>
        <w:t xml:space="preserve">摘要</w:t>
      </w:r>
    </w:p>
    <w:p>
      <w:pPr>
        <w:pStyle w:val="FirstParagraph"/>
      </w:pPr>
      <w:r>
        <w:rPr>
          <w:rFonts w:hint="eastAsia"/>
        </w:rPr>
        <w:t xml:space="preserve">本案例探讨了纳洛酮在城市、农村和部落社区之间的分配；通过急救人员、减害组织、医院、药房、监狱和社区团体进行的分发；培训和公众意识；药物供应中不断变化的掺杂物；联邦和州资金的不确定性；报告负担；以及是否应保留应急库存储备。</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2026-09-11T17:01:40Z</dcterms:created>
  <dcterms:modified xsi:type="dcterms:W3CDTF">2026-09-11T17:01:40Z</dcterms:modified>
</cp:coreProperties>
</file>

<file path=docProps/custom.xml><?xml version="1.0" encoding="utf-8"?>
<Properties xmlns="http://schemas.openxmlformats.org/officeDocument/2006/custom-properties" xmlns:vt="http://schemas.openxmlformats.org/officeDocument/2006/docPropsVTypes"/>
</file>