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蓝河系统运营商</w:t>
      </w:r>
    </w:p>
    <w:p>
      <w:pPr>
        <w:pStyle w:val="BodyText"/>
      </w:pPr>
      <w:r>
        <w:rPr>
          <w:rFonts w:hint="eastAsia"/>
        </w:rPr>
        <w:t xml:space="preserve">下午6点的可靠性决策</w:t>
      </w:r>
    </w:p>
    <w:p>
      <w:pPr>
        <w:pStyle w:val="BodyText"/>
      </w:pPr>
      <w:r>
        <w:rPr>
          <w:rFonts w:hint="eastAsia"/>
        </w:rPr>
        <w:t xml:space="preserve">本案例纯属虚构，仅用于教学讨论。人名、事件、资金及内部数据均为杜撰，但其行业背景基于公开数据。</w:t>
      </w:r>
    </w:p>
    <w:p>
      <w:pPr>
        <w:pStyle w:val="BodyText"/>
      </w:pPr>
      <w:r>
        <w:rPr>
          <w:rFonts w:hint="eastAsia"/>
          <w:b/>
          <w:bCs/>
        </w:rPr>
        <w:t xml:space="preserve">7月22日下午1点40分，蓝河系统运营商（BRSO）首席运营官埃琳娜·马尔克斯（Elena</w:t>
      </w:r>
      <w:r>
        <w:rPr>
          <w:b/>
          <w:bCs/>
        </w:rPr>
        <w:t xml:space="preserve"> </w:t>
      </w:r>
      <w:r>
        <w:rPr>
          <w:rFonts w:hint="eastAsia"/>
          <w:b/>
          <w:bCs/>
        </w:rPr>
        <w:t xml:space="preserve">Marquez）正在区域控制室研究三块屏幕。</w:t>
      </w:r>
      <w:r>
        <w:t xml:space="preserve"> </w:t>
      </w:r>
      <w:r>
        <w:rPr>
          <w:rFonts w:hint="eastAsia"/>
        </w:rPr>
        <w:t xml:space="preserve">一块屏幕显示需求预测正朝着创纪录的晚间高峰攀升。第二块屏幕显示一片雷暴云团正朝西部太阳能走廊移动。第三块屏幕显示来自Riverbend</w:t>
      </w:r>
      <w:r>
        <w:t xml:space="preserve"> </w:t>
      </w:r>
      <w:r>
        <w:rPr>
          <w:rFonts w:hint="eastAsia"/>
        </w:rPr>
        <w:t xml:space="preserve">4号机组（一台720兆瓦联合循环发电机组）的警告，其冷却系统已开始出现超出正常范围的振动。</w:t>
      </w:r>
    </w:p>
    <w:p>
      <w:pPr>
        <w:pStyle w:val="BodyText"/>
      </w:pPr>
      <w:r>
        <w:rPr>
          <w:rFonts w:hint="eastAsia"/>
        </w:rPr>
        <w:t xml:space="preserve">BRSO负责协调为虚构的富兰克林州、门罗州和伊斯顿州870万人口供电的高压电网。它并不拥有大多数发电机组或输电线路，而是提前承诺发电机组、实时调度、从邻近地区购电、维持频率，并在供应无法安全满足需求时指挥应急行动。</w:t>
      </w:r>
    </w:p>
    <w:p>
      <w:pPr>
        <w:pStyle w:val="BodyText"/>
      </w:pPr>
      <w:r>
        <w:rPr>
          <w:rFonts w:hint="eastAsia"/>
        </w:rPr>
        <w:t xml:space="preserve">预计晚间高峰将出现在下午6点左右，届时办公楼和工厂仍在运转，通勤者陆续返家，空调负荷依然居高不下。日前计划假设下午2点太阳能发电量为7,900兆瓦，到晚上7点降至2,100兆瓦。该计划还假设Riverbend</w:t>
      </w:r>
      <w:r>
        <w:t xml:space="preserve"> </w:t>
      </w:r>
      <w:r>
        <w:rPr>
          <w:rFonts w:hint="eastAsia"/>
        </w:rPr>
        <w:t xml:space="preserve">4号机组将保持可用。如果云层提前到来且Riverbend机组跳闸，运行备用容量可能在高峰到来前跌破BRSO的目标水平。</w:t>
      </w:r>
    </w:p>
    <w:p>
      <w:pPr>
        <w:pStyle w:val="BodyText"/>
      </w:pPr>
      <w:r>
        <w:rPr>
          <w:rFonts w:hint="eastAsia"/>
        </w:rPr>
        <w:t xml:space="preserve">马尔克斯面临几个即时选择：要求Riverbend以降低出力方式保持在线；启动两台老旧燃油调峰机组；在五分钟市场中购电；提前于计划时间释放电池储能；发起自愿需求响应事件；或为一小部分工业客户准备强制性限电措施。每一项行动都会改变当天晚些时候仍可采取的选项。电池能在数秒内响应，但其储存的能量在四小时后将耗尽。启动燃油机组需要四十分钟，且运行成本和排放都很高。进口电力看似可用，但邻近地区正经历同样的热浪。</w:t>
      </w:r>
    </w:p>
    <w:bookmarkStart w:id="9" w:name="步入新增长时代的电网"/>
    <w:p>
      <w:pPr>
        <w:pStyle w:val="Heading1"/>
      </w:pPr>
      <w:r>
        <w:rPr>
          <w:rFonts w:hint="eastAsia"/>
        </w:rPr>
        <w:t xml:space="preserve">步入新增长时代的电网</w:t>
      </w:r>
    </w:p>
    <w:p>
      <w:pPr>
        <w:pStyle w:val="FirstParagraph"/>
      </w:pPr>
      <w:r>
        <w:rPr>
          <w:rFonts w:hint="eastAsia"/>
        </w:rPr>
        <w:t xml:space="preserve">近二十年来，美国的用电量增长缓慢。如今这一假设正在瓦解。美国能源信息署（EIA）报告称，从2020年到2025年，电力需求年均增长约1.7%，而在此前十年中，年均增长率仅约为0.1%。EIA预计，随着数据中心、制造业、建筑电气化及其他大型负荷接入电网，增长趋势将持续。</w:t>
      </w:r>
    </w:p>
    <w:p>
      <w:pPr>
        <w:pStyle w:val="BodyText"/>
      </w:pPr>
      <w:r>
        <w:rPr>
          <w:rFonts w:hint="eastAsia"/>
        </w:rPr>
        <w:t xml:space="preserve">北美可靠性规划人员也在上调其预测。北美电力可靠性公司（NERC）2025年的长期评估预测，未来十年夏季峰值需求可能增长224吉瓦——比一年前预期的增幅高出逾69%。支持人工智能和数字经济的新建数据中心是此次上调的主要原因。</w:t>
      </w:r>
    </w:p>
    <w:p>
      <w:pPr>
        <w:pStyle w:val="BodyText"/>
      </w:pPr>
      <w:r>
        <w:rPr>
          <w:rFonts w:hint="eastAsia"/>
        </w:rPr>
        <w:t xml:space="preserve">蓝河地区正以更为集中的形式经历这些冲击。自2023年以来，已有三座数据中心园区开业。另有六个项目、总计4,600兆瓦的申请服务容量正处于不同的研究阶段。其中一些项目或许永远不会建成，但BRSO不能因此掉以轻心。一家钢铁厂也在考虑将燃气熔炉改为电弧炉技术，与此同时，家庭正在安装热泵和电动汽车。与此同时，老旧的燃煤和燃油电厂正在退役，而大多数拟建的替代产能都是太阳能、风能和电池，其可用性随小时和天气而变化。</w:t>
      </w:r>
    </w:p>
    <w:p>
      <w:pPr>
        <w:pStyle w:val="BodyText"/>
      </w:pPr>
      <w:r>
        <w:rPr>
          <w:rFonts w:hint="eastAsia"/>
        </w:rPr>
        <w:t xml:space="preserve">图表1.</w:t>
      </w:r>
      <w:r>
        <w:t xml:space="preserve"> </w:t>
      </w:r>
      <w:r>
        <w:rPr>
          <w:rFonts w:hint="eastAsia"/>
        </w:rPr>
        <w:t xml:space="preserve">蓝河需求与资源展望</w:t>
      </w:r>
    </w:p>
    <w:tbl>
      <w:tblPr>
        <w:tblStyle w:val="Table"/>
        <w:tblW w:type="pct" w:w="4907"/>
        <w:tblLayout w:type="fixed"/>
        <w:tblLook w:firstRow="1" w:lastRow="0" w:firstColumn="0" w:lastColumn="0" w:noHBand="0" w:noVBand="0" w:val="0020"/>
      </w:tblPr>
      <w:tblGrid>
        <w:gridCol w:w="2738"/>
        <w:gridCol w:w="1554"/>
        <w:gridCol w:w="1702"/>
        <w:gridCol w:w="1776"/>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2022年</w:t>
            </w:r>
          </w:p>
        </w:tc>
        <w:tc>
          <w:tcPr/>
          <w:p>
            <w:pPr>
              <w:pStyle w:val="Compact"/>
              <w:jc w:val="center"/>
            </w:pPr>
            <w:r>
              <w:rPr>
                <w:rFonts w:hint="eastAsia"/>
              </w:rPr>
              <w:t xml:space="preserve">2026年预估</w:t>
            </w:r>
          </w:p>
        </w:tc>
        <w:tc>
          <w:tcPr/>
          <w:p>
            <w:pPr>
              <w:pStyle w:val="Compact"/>
              <w:jc w:val="center"/>
            </w:pPr>
            <w:r>
              <w:rPr>
                <w:rFonts w:hint="eastAsia"/>
              </w:rPr>
              <w:t xml:space="preserve">2031年规划情形</w:t>
            </w:r>
          </w:p>
        </w:tc>
      </w:tr>
      <w:tr>
        <w:tc>
          <w:tcPr/>
          <w:p>
            <w:pPr>
              <w:pStyle w:val="Compact"/>
              <w:jc w:val="left"/>
            </w:pPr>
            <w:r>
              <w:rPr>
                <w:rFonts w:hint="eastAsia"/>
              </w:rPr>
              <w:t xml:space="preserve">年用电量（太瓦时）</w:t>
            </w:r>
          </w:p>
        </w:tc>
        <w:tc>
          <w:tcPr/>
          <w:p>
            <w:pPr>
              <w:pStyle w:val="Compact"/>
              <w:jc w:val="center"/>
            </w:pPr>
            <w:r>
              <w:t xml:space="preserve">142</w:t>
            </w:r>
          </w:p>
        </w:tc>
        <w:tc>
          <w:tcPr/>
          <w:p>
            <w:pPr>
              <w:pStyle w:val="Compact"/>
              <w:jc w:val="center"/>
            </w:pPr>
            <w:r>
              <w:t xml:space="preserve">157</w:t>
            </w:r>
          </w:p>
        </w:tc>
        <w:tc>
          <w:tcPr/>
          <w:p>
            <w:pPr>
              <w:pStyle w:val="Compact"/>
              <w:jc w:val="center"/>
            </w:pPr>
            <w:r>
              <w:t xml:space="preserve">190</w:t>
            </w:r>
          </w:p>
        </w:tc>
      </w:tr>
      <w:tr>
        <w:tc>
          <w:tcPr/>
          <w:p>
            <w:pPr>
              <w:pStyle w:val="Compact"/>
              <w:jc w:val="left"/>
            </w:pPr>
            <w:r>
              <w:rPr>
                <w:rFonts w:hint="eastAsia"/>
              </w:rPr>
              <w:t xml:space="preserve">夏季峰值需求（兆瓦）</w:t>
            </w:r>
          </w:p>
        </w:tc>
        <w:tc>
          <w:tcPr/>
          <w:p>
            <w:pPr>
              <w:pStyle w:val="Compact"/>
              <w:jc w:val="center"/>
            </w:pPr>
            <w:r>
              <w:t xml:space="preserve">24,800</w:t>
            </w:r>
          </w:p>
        </w:tc>
        <w:tc>
          <w:tcPr/>
          <w:p>
            <w:pPr>
              <w:pStyle w:val="Compact"/>
              <w:jc w:val="center"/>
            </w:pPr>
            <w:r>
              <w:t xml:space="preserve">28,900</w:t>
            </w:r>
          </w:p>
        </w:tc>
        <w:tc>
          <w:tcPr/>
          <w:p>
            <w:pPr>
              <w:pStyle w:val="Compact"/>
              <w:jc w:val="center"/>
            </w:pPr>
            <w:r>
              <w:t xml:space="preserve">36,500</w:t>
            </w:r>
          </w:p>
        </w:tc>
      </w:tr>
      <w:tr>
        <w:tc>
          <w:tcPr/>
          <w:p>
            <w:pPr>
              <w:pStyle w:val="Compact"/>
              <w:jc w:val="left"/>
            </w:pPr>
            <w:r>
              <w:rPr>
                <w:rFonts w:hint="eastAsia"/>
              </w:rPr>
              <w:t xml:space="preserve">数据中心峰值负荷（兆瓦）</w:t>
            </w:r>
          </w:p>
        </w:tc>
        <w:tc>
          <w:tcPr/>
          <w:p>
            <w:pPr>
              <w:pStyle w:val="Compact"/>
              <w:jc w:val="center"/>
            </w:pPr>
            <w:r>
              <w:t xml:space="preserve">650</w:t>
            </w:r>
          </w:p>
        </w:tc>
        <w:tc>
          <w:tcPr/>
          <w:p>
            <w:pPr>
              <w:pStyle w:val="Compact"/>
              <w:jc w:val="center"/>
            </w:pPr>
            <w:r>
              <w:t xml:space="preserve">2,750</w:t>
            </w:r>
          </w:p>
        </w:tc>
        <w:tc>
          <w:tcPr/>
          <w:p>
            <w:pPr>
              <w:pStyle w:val="Compact"/>
              <w:jc w:val="center"/>
            </w:pPr>
            <w:r>
              <w:t xml:space="preserve">7,200</w:t>
            </w:r>
          </w:p>
        </w:tc>
      </w:tr>
      <w:tr>
        <w:tc>
          <w:tcPr/>
          <w:p>
            <w:pPr>
              <w:pStyle w:val="Compact"/>
              <w:jc w:val="left"/>
            </w:pPr>
            <w:r>
              <w:rPr>
                <w:rFonts w:hint="eastAsia"/>
              </w:rPr>
              <w:t xml:space="preserve">可调度火力容量（兆瓦）</w:t>
            </w:r>
          </w:p>
        </w:tc>
        <w:tc>
          <w:tcPr/>
          <w:p>
            <w:pPr>
              <w:pStyle w:val="Compact"/>
              <w:jc w:val="center"/>
            </w:pPr>
            <w:r>
              <w:t xml:space="preserve">21,400</w:t>
            </w:r>
          </w:p>
        </w:tc>
        <w:tc>
          <w:tcPr/>
          <w:p>
            <w:pPr>
              <w:pStyle w:val="Compact"/>
              <w:jc w:val="center"/>
            </w:pPr>
            <w:r>
              <w:t xml:space="preserve">19,900</w:t>
            </w:r>
          </w:p>
        </w:tc>
        <w:tc>
          <w:tcPr/>
          <w:p>
            <w:pPr>
              <w:pStyle w:val="Compact"/>
              <w:jc w:val="center"/>
            </w:pPr>
            <w:r>
              <w:t xml:space="preserve">18,100</w:t>
            </w:r>
          </w:p>
        </w:tc>
      </w:tr>
      <w:tr>
        <w:tc>
          <w:tcPr/>
          <w:p>
            <w:pPr>
              <w:pStyle w:val="Compact"/>
              <w:jc w:val="left"/>
            </w:pPr>
            <w:r>
              <w:rPr>
                <w:rFonts w:hint="eastAsia"/>
              </w:rPr>
              <w:t xml:space="preserve">电池功率/电量</w:t>
            </w:r>
          </w:p>
        </w:tc>
        <w:tc>
          <w:tcPr/>
          <w:p>
            <w:pPr>
              <w:pStyle w:val="Compact"/>
              <w:jc w:val="center"/>
            </w:pPr>
            <w:r>
              <w:rPr>
                <w:rFonts w:hint="eastAsia"/>
              </w:rPr>
              <w:t xml:space="preserve">450兆瓦/1,000兆瓦时</w:t>
            </w:r>
          </w:p>
        </w:tc>
        <w:tc>
          <w:tcPr/>
          <w:p>
            <w:pPr>
              <w:pStyle w:val="Compact"/>
              <w:jc w:val="center"/>
            </w:pPr>
            <w:r>
              <w:rPr>
                <w:rFonts w:hint="eastAsia"/>
              </w:rPr>
              <w:t xml:space="preserve">2,250兆瓦/7,200兆瓦时</w:t>
            </w:r>
          </w:p>
        </w:tc>
        <w:tc>
          <w:tcPr/>
          <w:p>
            <w:pPr>
              <w:pStyle w:val="Compact"/>
              <w:jc w:val="center"/>
            </w:pPr>
            <w:r>
              <w:rPr>
                <w:rFonts w:hint="eastAsia"/>
              </w:rPr>
              <w:t xml:space="preserve">5,100兆瓦/20,400兆瓦时</w:t>
            </w:r>
          </w:p>
        </w:tc>
      </w:tr>
    </w:tbl>
    <w:p>
      <w:pPr>
        <w:pStyle w:val="BodyText"/>
      </w:pPr>
      <w:r>
        <w:rPr>
          <w:rFonts w:hint="eastAsia"/>
        </w:rPr>
        <w:t xml:space="preserve">所有蓝河相关数据均为虚构。铭牌可再生能源装机容量不等同于系统高峰期间的可用出力。</w:t>
      </w:r>
    </w:p>
    <w:bookmarkEnd w:id="9"/>
    <w:bookmarkStart w:id="10" w:name="每日运营的难题"/>
    <w:p>
      <w:pPr>
        <w:pStyle w:val="Heading1"/>
      </w:pPr>
      <w:r>
        <w:rPr>
          <w:rFonts w:hint="eastAsia"/>
        </w:rPr>
        <w:t xml:space="preserve">每日运营的难题</w:t>
      </w:r>
    </w:p>
    <w:p>
      <w:pPr>
        <w:pStyle w:val="FirstParagraph"/>
      </w:pPr>
      <w:r>
        <w:rPr>
          <w:rFonts w:hint="eastAsia"/>
        </w:rPr>
        <w:t xml:space="preserve">每天下午，BRSO都要为次日承诺足够的发电容量。大型核电机组通常持续运行。燃煤和蒸汽机组需要数小时才能启动，且无法快速改变出力。联合循环燃气机组更为灵活，但依赖于管道输气能力和天然气价格。简单循环燃气轮机能够快速启动，但成本高昂。风能和太阳能的运行成本低，但BRSO无法命令风力吹动，也无法阻止云团掠过太阳能发电场。</w:t>
      </w:r>
    </w:p>
    <w:p>
      <w:pPr>
        <w:pStyle w:val="BodyText"/>
      </w:pPr>
      <w:r>
        <w:rPr>
          <w:rFonts w:hint="eastAsia"/>
        </w:rPr>
        <w:t xml:space="preserve">在实时运行中，系统运营商必须使电力供需保持近乎完美的平衡。失配可能导致频率偏离60赫兹，从而可能损坏设备或触发自动断开。调度指令和市场价格每五分钟更新一次，而调频资源则每隔几秒调整一次出力。输电约束使情况更为复杂：由于两条关键线路正逼近热极限，北方的廉价电力并不总能输送到南方负荷中心。</w:t>
      </w:r>
    </w:p>
    <w:p>
      <w:pPr>
        <w:pStyle w:val="BodyText"/>
      </w:pPr>
      <w:r>
        <w:rPr>
          <w:rFonts w:hint="eastAsia"/>
        </w:rPr>
        <w:t xml:space="preserve">需求预测本身就是一个不断变动的目标。晚间气温预测出现一度的误差，可能使峰值需求变化约280兆瓦。云层覆盖可能同时降低太阳能发电量并降低空调需求，但两者未必发生在同一地区。一场大型体育赛事可能在观众散场返家的短短几分钟内，使数百兆瓦负荷发生转移。工业客户在接到通知时可以减少用电，但其响应程度取决于生产安排、人员配置和激励支付。</w:t>
      </w:r>
    </w:p>
    <w:p>
      <w:pPr>
        <w:pStyle w:val="BodyText"/>
      </w:pPr>
      <w:r>
        <w:rPr>
          <w:rFonts w:hint="eastAsia"/>
        </w:rPr>
        <w:t xml:space="preserve">图表2.</w:t>
      </w:r>
      <w:r>
        <w:t xml:space="preserve"> </w:t>
      </w:r>
      <w:r>
        <w:rPr>
          <w:rFonts w:hint="eastAsia"/>
        </w:rPr>
        <w:t xml:space="preserve">7月22日下午6点的运行状况</w:t>
      </w:r>
    </w:p>
    <w:tbl>
      <w:tblPr>
        <w:tblStyle w:val="Table"/>
        <w:tblW w:type="pct" w:w="4917"/>
        <w:tblLayout w:type="fixed"/>
        <w:tblLook w:firstRow="1" w:lastRow="0" w:firstColumn="0" w:lastColumn="0" w:noHBand="0" w:noVBand="0" w:val="0020"/>
      </w:tblPr>
      <w:tblGrid>
        <w:gridCol w:w="2376"/>
        <w:gridCol w:w="1188"/>
        <w:gridCol w:w="1254"/>
        <w:gridCol w:w="2970"/>
      </w:tblGrid>
      <w:tr>
        <w:trPr>
          <w:tblHeader w:val="on"/>
        </w:trPr>
        <w:tc>
          <w:tcPr/>
          <w:p>
            <w:pPr>
              <w:pStyle w:val="Compact"/>
              <w:jc w:val="left"/>
            </w:pPr>
            <w:r>
              <w:rPr>
                <w:rFonts w:hint="eastAsia"/>
              </w:rPr>
              <w:t xml:space="preserve">资源或需求项</w:t>
            </w:r>
          </w:p>
        </w:tc>
        <w:tc>
          <w:tcPr/>
          <w:p>
            <w:pPr>
              <w:pStyle w:val="Compact"/>
              <w:jc w:val="left"/>
            </w:pPr>
            <w:r>
              <w:rPr>
                <w:rFonts w:hint="eastAsia"/>
              </w:rPr>
              <w:t xml:space="preserve">预期兆瓦数</w:t>
            </w:r>
          </w:p>
        </w:tc>
        <w:tc>
          <w:tcPr/>
          <w:p>
            <w:pPr>
              <w:pStyle w:val="Compact"/>
              <w:jc w:val="left"/>
            </w:pPr>
            <w:r>
              <w:rPr>
                <w:rFonts w:hint="eastAsia"/>
              </w:rPr>
              <w:t xml:space="preserve">不利情形兆瓦数</w:t>
            </w:r>
          </w:p>
        </w:tc>
        <w:tc>
          <w:tcPr/>
          <w:p>
            <w:pPr>
              <w:pStyle w:val="Compact"/>
              <w:jc w:val="left"/>
            </w:pPr>
            <w:r>
              <w:rPr>
                <w:rFonts w:hint="eastAsia"/>
              </w:rPr>
              <w:t xml:space="preserve">运行考量</w:t>
            </w:r>
          </w:p>
        </w:tc>
      </w:tr>
      <w:tr>
        <w:tc>
          <w:tcPr/>
          <w:p>
            <w:pPr>
              <w:pStyle w:val="Compact"/>
              <w:jc w:val="left"/>
            </w:pPr>
            <w:r>
              <w:rPr>
                <w:rFonts w:hint="eastAsia"/>
              </w:rPr>
              <w:t xml:space="preserve">客户需求</w:t>
            </w:r>
          </w:p>
        </w:tc>
        <w:tc>
          <w:tcPr/>
          <w:p>
            <w:pPr>
              <w:pStyle w:val="Compact"/>
              <w:jc w:val="left"/>
            </w:pPr>
            <w:r>
              <w:t xml:space="preserve">30,850</w:t>
            </w:r>
          </w:p>
        </w:tc>
        <w:tc>
          <w:tcPr/>
          <w:p>
            <w:pPr>
              <w:pStyle w:val="Compact"/>
              <w:jc w:val="left"/>
            </w:pPr>
            <w:r>
              <w:t xml:space="preserve">31,700</w:t>
            </w:r>
          </w:p>
        </w:tc>
        <w:tc>
          <w:tcPr/>
          <w:p>
            <w:pPr>
              <w:pStyle w:val="Compact"/>
              <w:jc w:val="left"/>
            </w:pPr>
            <w:r>
              <w:rPr>
                <w:rFonts w:hint="eastAsia"/>
              </w:rPr>
              <w:t xml:space="preserve">气温和湿度仍存在不确定性</w:t>
            </w:r>
          </w:p>
        </w:tc>
      </w:tr>
      <w:tr>
        <w:tc>
          <w:tcPr/>
          <w:p>
            <w:pPr>
              <w:pStyle w:val="Compact"/>
              <w:jc w:val="left"/>
            </w:pPr>
            <w:r>
              <w:rPr>
                <w:rFonts w:hint="eastAsia"/>
              </w:rPr>
              <w:t xml:space="preserve">核电及必开机组</w:t>
            </w:r>
          </w:p>
        </w:tc>
        <w:tc>
          <w:tcPr/>
          <w:p>
            <w:pPr>
              <w:pStyle w:val="Compact"/>
              <w:jc w:val="left"/>
            </w:pPr>
            <w:r>
              <w:t xml:space="preserve">5,900</w:t>
            </w:r>
          </w:p>
        </w:tc>
        <w:tc>
          <w:tcPr/>
          <w:p>
            <w:pPr>
              <w:pStyle w:val="Compact"/>
              <w:jc w:val="left"/>
            </w:pPr>
            <w:r>
              <w:t xml:space="preserve">5,900</w:t>
            </w:r>
          </w:p>
        </w:tc>
        <w:tc>
          <w:tcPr/>
          <w:p>
            <w:pPr>
              <w:pStyle w:val="Compact"/>
              <w:jc w:val="left"/>
            </w:pPr>
            <w:r>
              <w:rPr>
                <w:rFonts w:hint="eastAsia"/>
              </w:rPr>
              <w:t xml:space="preserve">短期灵活性有限</w:t>
            </w:r>
          </w:p>
        </w:tc>
      </w:tr>
      <w:tr>
        <w:tc>
          <w:tcPr/>
          <w:p>
            <w:pPr>
              <w:pStyle w:val="Compact"/>
              <w:jc w:val="left"/>
            </w:pPr>
            <w:r>
              <w:rPr>
                <w:rFonts w:hint="eastAsia"/>
              </w:rPr>
              <w:t xml:space="preserve">燃煤及蒸汽发电</w:t>
            </w:r>
          </w:p>
        </w:tc>
        <w:tc>
          <w:tcPr/>
          <w:p>
            <w:pPr>
              <w:pStyle w:val="Compact"/>
              <w:jc w:val="left"/>
            </w:pPr>
            <w:r>
              <w:t xml:space="preserve">4,850</w:t>
            </w:r>
          </w:p>
        </w:tc>
        <w:tc>
          <w:tcPr/>
          <w:p>
            <w:pPr>
              <w:pStyle w:val="Compact"/>
              <w:jc w:val="left"/>
            </w:pPr>
            <w:r>
              <w:t xml:space="preserve">4,550</w:t>
            </w:r>
          </w:p>
        </w:tc>
        <w:tc>
          <w:tcPr/>
          <w:p>
            <w:pPr>
              <w:pStyle w:val="Compact"/>
              <w:jc w:val="left"/>
            </w:pPr>
            <w:r>
              <w:rPr>
                <w:rFonts w:hint="eastAsia"/>
              </w:rPr>
              <w:t xml:space="preserve">一台机组存在锅炉温度隐患</w:t>
            </w:r>
          </w:p>
        </w:tc>
      </w:tr>
      <w:tr>
        <w:tc>
          <w:tcPr/>
          <w:p>
            <w:pPr>
              <w:pStyle w:val="Compact"/>
              <w:jc w:val="left"/>
            </w:pPr>
            <w:r>
              <w:rPr>
                <w:rFonts w:hint="eastAsia"/>
              </w:rPr>
              <w:t xml:space="preserve">联合循环燃气发电</w:t>
            </w:r>
          </w:p>
        </w:tc>
        <w:tc>
          <w:tcPr/>
          <w:p>
            <w:pPr>
              <w:pStyle w:val="Compact"/>
              <w:jc w:val="left"/>
            </w:pPr>
            <w:r>
              <w:t xml:space="preserve">8,300</w:t>
            </w:r>
          </w:p>
        </w:tc>
        <w:tc>
          <w:tcPr/>
          <w:p>
            <w:pPr>
              <w:pStyle w:val="Compact"/>
              <w:jc w:val="left"/>
            </w:pPr>
            <w:r>
              <w:t xml:space="preserve">7,580</w:t>
            </w:r>
          </w:p>
        </w:tc>
        <w:tc>
          <w:tcPr/>
          <w:p>
            <w:pPr>
              <w:pStyle w:val="Compact"/>
              <w:jc w:val="left"/>
            </w:pPr>
            <w:r>
              <w:rPr>
                <w:rFonts w:hint="eastAsia"/>
              </w:rPr>
              <w:t xml:space="preserve">包括Riverbend</w:t>
            </w:r>
            <w:r>
              <w:t xml:space="preserve"> </w:t>
            </w:r>
            <w:r>
              <w:rPr>
                <w:rFonts w:hint="eastAsia"/>
              </w:rPr>
              <w:t xml:space="preserve">4号机组</w:t>
            </w:r>
          </w:p>
        </w:tc>
      </w:tr>
      <w:tr>
        <w:tc>
          <w:tcPr/>
          <w:p>
            <w:pPr>
              <w:pStyle w:val="Compact"/>
              <w:jc w:val="left"/>
            </w:pPr>
            <w:r>
              <w:rPr>
                <w:rFonts w:hint="eastAsia"/>
              </w:rPr>
              <w:t xml:space="preserve">快速启动燃气及燃油机组</w:t>
            </w:r>
          </w:p>
        </w:tc>
        <w:tc>
          <w:tcPr/>
          <w:p>
            <w:pPr>
              <w:pStyle w:val="Compact"/>
              <w:jc w:val="left"/>
            </w:pPr>
            <w:r>
              <w:t xml:space="preserve">1,850</w:t>
            </w:r>
          </w:p>
        </w:tc>
        <w:tc>
          <w:tcPr/>
          <w:p>
            <w:pPr>
              <w:pStyle w:val="Compact"/>
              <w:jc w:val="left"/>
            </w:pPr>
            <w:r>
              <w:t xml:space="preserve">1,850</w:t>
            </w:r>
          </w:p>
        </w:tc>
        <w:tc>
          <w:tcPr/>
          <w:p>
            <w:pPr>
              <w:pStyle w:val="Compact"/>
              <w:jc w:val="left"/>
            </w:pPr>
            <w:r>
              <w:rPr>
                <w:rFonts w:hint="eastAsia"/>
              </w:rPr>
              <w:t xml:space="preserve">成本高；启动需时20-60分钟</w:t>
            </w:r>
          </w:p>
        </w:tc>
      </w:tr>
      <w:tr>
        <w:tc>
          <w:tcPr/>
          <w:p>
            <w:pPr>
              <w:pStyle w:val="Compact"/>
              <w:jc w:val="left"/>
            </w:pPr>
            <w:r>
              <w:rPr>
                <w:rFonts w:hint="eastAsia"/>
              </w:rPr>
              <w:t xml:space="preserve">风电</w:t>
            </w:r>
          </w:p>
        </w:tc>
        <w:tc>
          <w:tcPr/>
          <w:p>
            <w:pPr>
              <w:pStyle w:val="Compact"/>
              <w:jc w:val="left"/>
            </w:pPr>
            <w:r>
              <w:t xml:space="preserve">3,050</w:t>
            </w:r>
          </w:p>
        </w:tc>
        <w:tc>
          <w:tcPr/>
          <w:p>
            <w:pPr>
              <w:pStyle w:val="Compact"/>
              <w:jc w:val="left"/>
            </w:pPr>
            <w:r>
              <w:t xml:space="preserve">2,200</w:t>
            </w:r>
          </w:p>
        </w:tc>
        <w:tc>
          <w:tcPr/>
          <w:p>
            <w:pPr>
              <w:pStyle w:val="Compact"/>
              <w:jc w:val="left"/>
            </w:pPr>
            <w:r>
              <w:rPr>
                <w:rFonts w:hint="eastAsia"/>
              </w:rPr>
              <w:t xml:space="preserve">锋面可能在高峰前降低出力</w:t>
            </w:r>
          </w:p>
        </w:tc>
      </w:tr>
      <w:tr>
        <w:tc>
          <w:tcPr/>
          <w:p>
            <w:pPr>
              <w:pStyle w:val="Compact"/>
              <w:jc w:val="left"/>
            </w:pPr>
            <w:r>
              <w:rPr>
                <w:rFonts w:hint="eastAsia"/>
              </w:rPr>
              <w:t xml:space="preserve">太阳能发电</w:t>
            </w:r>
          </w:p>
        </w:tc>
        <w:tc>
          <w:tcPr/>
          <w:p>
            <w:pPr>
              <w:pStyle w:val="Compact"/>
              <w:jc w:val="left"/>
            </w:pPr>
            <w:r>
              <w:t xml:space="preserve">3,600</w:t>
            </w:r>
          </w:p>
        </w:tc>
        <w:tc>
          <w:tcPr/>
          <w:p>
            <w:pPr>
              <w:pStyle w:val="Compact"/>
              <w:jc w:val="left"/>
            </w:pPr>
            <w:r>
              <w:t xml:space="preserve">2,300</w:t>
            </w:r>
          </w:p>
        </w:tc>
        <w:tc>
          <w:tcPr/>
          <w:p>
            <w:pPr>
              <w:pStyle w:val="Compact"/>
              <w:jc w:val="left"/>
            </w:pPr>
            <w:r>
              <w:rPr>
                <w:rFonts w:hint="eastAsia"/>
              </w:rPr>
              <w:t xml:space="preserve">雷暴可能提前到来</w:t>
            </w:r>
          </w:p>
        </w:tc>
      </w:tr>
      <w:tr>
        <w:tc>
          <w:tcPr/>
          <w:p>
            <w:pPr>
              <w:pStyle w:val="Compact"/>
              <w:jc w:val="left"/>
            </w:pPr>
            <w:r>
              <w:rPr>
                <w:rFonts w:hint="eastAsia"/>
              </w:rPr>
              <w:t xml:space="preserve">水电及进口电力</w:t>
            </w:r>
          </w:p>
        </w:tc>
        <w:tc>
          <w:tcPr/>
          <w:p>
            <w:pPr>
              <w:pStyle w:val="Compact"/>
              <w:jc w:val="left"/>
            </w:pPr>
            <w:r>
              <w:t xml:space="preserve">2,150</w:t>
            </w:r>
          </w:p>
        </w:tc>
        <w:tc>
          <w:tcPr/>
          <w:p>
            <w:pPr>
              <w:pStyle w:val="Compact"/>
              <w:jc w:val="left"/>
            </w:pPr>
            <w:r>
              <w:t xml:space="preserve">1,750</w:t>
            </w:r>
          </w:p>
        </w:tc>
        <w:tc>
          <w:tcPr/>
          <w:p>
            <w:pPr>
              <w:pStyle w:val="Compact"/>
              <w:jc w:val="left"/>
            </w:pPr>
            <w:r>
              <w:rPr>
                <w:rFonts w:hint="eastAsia"/>
              </w:rPr>
              <w:t xml:space="preserve">邻近地区同样紧张</w:t>
            </w:r>
          </w:p>
        </w:tc>
      </w:tr>
      <w:tr>
        <w:tc>
          <w:tcPr/>
          <w:p>
            <w:pPr>
              <w:pStyle w:val="Compact"/>
              <w:jc w:val="left"/>
            </w:pPr>
            <w:r>
              <w:rPr>
                <w:rFonts w:hint="eastAsia"/>
              </w:rPr>
              <w:t xml:space="preserve">可用电池放电量</w:t>
            </w:r>
          </w:p>
        </w:tc>
        <w:tc>
          <w:tcPr/>
          <w:p>
            <w:pPr>
              <w:pStyle w:val="Compact"/>
              <w:jc w:val="left"/>
            </w:pPr>
            <w:r>
              <w:t xml:space="preserve">1,650</w:t>
            </w:r>
          </w:p>
        </w:tc>
        <w:tc>
          <w:tcPr/>
          <w:p>
            <w:pPr>
              <w:pStyle w:val="Compact"/>
              <w:jc w:val="left"/>
            </w:pPr>
            <w:r>
              <w:t xml:space="preserve">1,650</w:t>
            </w:r>
          </w:p>
        </w:tc>
        <w:tc>
          <w:tcPr/>
          <w:p>
            <w:pPr>
              <w:pStyle w:val="Compact"/>
              <w:jc w:val="left"/>
            </w:pPr>
            <w:r>
              <w:rPr>
                <w:rFonts w:hint="eastAsia"/>
              </w:rPr>
              <w:t xml:space="preserve">最长持续四小时</w:t>
            </w:r>
          </w:p>
        </w:tc>
      </w:tr>
      <w:tr>
        <w:tc>
          <w:tcPr/>
          <w:p>
            <w:pPr>
              <w:pStyle w:val="Compact"/>
              <w:jc w:val="left"/>
            </w:pPr>
            <w:r>
              <w:rPr>
                <w:rFonts w:hint="eastAsia"/>
              </w:rPr>
              <w:t xml:space="preserve">合同约定的需求响应</w:t>
            </w:r>
          </w:p>
        </w:tc>
        <w:tc>
          <w:tcPr/>
          <w:p>
            <w:pPr>
              <w:pStyle w:val="Compact"/>
              <w:jc w:val="left"/>
            </w:pPr>
            <w:r>
              <w:t xml:space="preserve">900</w:t>
            </w:r>
          </w:p>
        </w:tc>
        <w:tc>
          <w:tcPr/>
          <w:p>
            <w:pPr>
              <w:pStyle w:val="Compact"/>
              <w:jc w:val="left"/>
            </w:pPr>
            <w:r>
              <w:t xml:space="preserve">550</w:t>
            </w:r>
          </w:p>
        </w:tc>
        <w:tc>
          <w:tcPr/>
          <w:p>
            <w:pPr>
              <w:pStyle w:val="Compact"/>
              <w:jc w:val="left"/>
            </w:pPr>
            <w:r>
              <w:rPr>
                <w:rFonts w:hint="eastAsia"/>
              </w:rPr>
              <w:t xml:space="preserve">无法保证参与情况</w:t>
            </w:r>
          </w:p>
        </w:tc>
      </w:tr>
      <w:tr>
        <w:tc>
          <w:tcPr/>
          <w:p>
            <w:pPr>
              <w:pStyle w:val="Compact"/>
              <w:jc w:val="left"/>
            </w:pPr>
            <w:r>
              <w:rPr>
                <w:rFonts w:hint="eastAsia"/>
              </w:rPr>
              <w:t xml:space="preserve">潜在供应/响应总量</w:t>
            </w:r>
          </w:p>
        </w:tc>
        <w:tc>
          <w:tcPr/>
          <w:p>
            <w:pPr>
              <w:pStyle w:val="Compact"/>
              <w:jc w:val="left"/>
            </w:pPr>
            <w:r>
              <w:t xml:space="preserve">32,250</w:t>
            </w:r>
          </w:p>
        </w:tc>
        <w:tc>
          <w:tcPr/>
          <w:p>
            <w:pPr>
              <w:pStyle w:val="Compact"/>
              <w:jc w:val="left"/>
            </w:pPr>
            <w:r>
              <w:t xml:space="preserve">28,330</w:t>
            </w:r>
          </w:p>
        </w:tc>
        <w:tc>
          <w:tcPr/>
          <w:p>
            <w:pPr>
              <w:pStyle w:val="Compact"/>
              <w:jc w:val="left"/>
            </w:pPr>
            <w:r>
              <w:rPr>
                <w:rFonts w:hint="eastAsia"/>
              </w:rPr>
              <w:t xml:space="preserve">不利情形意味着存在实质性缺口</w:t>
            </w:r>
          </w:p>
        </w:tc>
      </w:tr>
    </w:tbl>
    <w:p>
      <w:pPr>
        <w:pStyle w:val="BodyText"/>
      </w:pPr>
      <w:r>
        <w:rPr>
          <w:rFonts w:hint="eastAsia"/>
        </w:rPr>
        <w:t xml:space="preserve">不利情形结合了多项不利假设，并非正式的概率预测。</w:t>
      </w:r>
    </w:p>
    <w:bookmarkEnd w:id="10"/>
    <w:bookmarkStart w:id="11" w:name="保持备用状态的代价"/>
    <w:p>
      <w:pPr>
        <w:pStyle w:val="Heading1"/>
      </w:pPr>
      <w:r>
        <w:rPr>
          <w:rFonts w:hint="eastAsia"/>
        </w:rPr>
        <w:t xml:space="preserve">保持备用状态的代价</w:t>
      </w:r>
    </w:p>
    <w:p>
      <w:pPr>
        <w:pStyle w:val="FirstParagraph"/>
      </w:pPr>
      <w:r>
        <w:rPr>
          <w:rFonts w:hint="eastAsia"/>
        </w:rPr>
        <w:t xml:space="preserve">可靠性在历史上一直主导着BRSO的运营文化。然而，客户和监管机构越来越关注成本问题。该地区平均批发电价已从2022年的每兆瓦时34美元升至2025年的58美元。为确保资源在需要时可用而支付的容量费用，预计在下一次拍卖中将增至三倍。零售电价中还包含为连接新发电设施和服务大型负荷所需的输电投资。</w:t>
      </w:r>
    </w:p>
    <w:p>
      <w:pPr>
        <w:pStyle w:val="BodyText"/>
      </w:pPr>
      <w:r>
        <w:rPr>
          <w:rFonts w:hint="eastAsia"/>
        </w:rPr>
        <w:t xml:space="preserve">最可靠的行动往往并非成本最低的行动。承诺过多的火力发电机组可以防范预测误差，但即便需求或可再生能源出力好于预期，也会迫使客户为启动和最低运行成本买单。承诺机组数量过少则会使系统暴露于波动的实时电价和紧急短缺风险之下。使用电池可以避免启动调峰机组，但如果下午4点就放电，可能导致晚上7点30分时已无储能可用。发起需求响应可以保障可靠性，但会中断工厂生产，若调用过于频繁，还会削弱该项目未来的可信度。</w:t>
      </w:r>
    </w:p>
    <w:p>
      <w:pPr>
        <w:pStyle w:val="BodyText"/>
      </w:pPr>
      <w:r>
        <w:rPr>
          <w:rFonts w:hint="eastAsia"/>
        </w:rPr>
        <w:t xml:space="preserve">环境影响同样参差不齐。BRSO的燃油调峰机组所排放的二氧化碳和本地污染物远高于燃气发电。一座拟建的900兆瓦燃气电厂虽能改善可靠性，但可能运行长达三十年之久。规模更大的电池组合可避免直接排放，但需要足够的富余电量为其充电，而四小时电池无法覆盖跨越多日的冬季短缺。新建输电线路可以释放风能资源，但审批和建设预计需要七到十年时间。</w:t>
      </w:r>
    </w:p>
    <w:p>
      <w:pPr>
        <w:pStyle w:val="BodyText"/>
      </w:pPr>
      <w:r>
        <w:rPr>
          <w:rFonts w:hint="eastAsia"/>
        </w:rPr>
        <w:t xml:space="preserve">图表3.</w:t>
      </w:r>
      <w:r>
        <w:t xml:space="preserve"> </w:t>
      </w:r>
      <w:r>
        <w:rPr>
          <w:rFonts w:hint="eastAsia"/>
        </w:rPr>
        <w:t xml:space="preserve">若干运行备选方案</w:t>
      </w:r>
    </w:p>
    <w:tbl>
      <w:tblPr>
        <w:tblStyle w:val="Table"/>
        <w:tblW w:type="pct" w:w="4924"/>
        <w:tblLayout w:type="fixed"/>
        <w:tblLook w:firstRow="1" w:lastRow="0" w:firstColumn="0" w:lastColumn="0" w:noHBand="0" w:noVBand="0" w:val="0020"/>
      </w:tblPr>
      <w:tblGrid>
        <w:gridCol w:w="1740"/>
        <w:gridCol w:w="2160"/>
        <w:gridCol w:w="1080"/>
        <w:gridCol w:w="2820"/>
      </w:tblGrid>
      <w:tr>
        <w:trPr>
          <w:tblHeader w:val="on"/>
        </w:trPr>
        <w:tc>
          <w:tcPr/>
          <w:p>
            <w:pPr>
              <w:pStyle w:val="Compact"/>
            </w:pPr>
            <w:r>
              <w:rPr>
                <w:rFonts w:hint="eastAsia"/>
              </w:rPr>
              <w:t xml:space="preserve">备选方案</w:t>
            </w:r>
            <w:r>
              <w:t xml:space="preserve"> </w:t>
            </w:r>
            <w:r>
              <w:rPr>
                <w:rFonts w:hint="eastAsia"/>
              </w:rPr>
              <w:t xml:space="preserve">大</w:t>
            </w:r>
          </w:p>
        </w:tc>
        <w:tc>
          <w:tcPr/>
          <w:p>
            <w:pPr>
              <w:pStyle w:val="Compact"/>
            </w:pPr>
            <w:r>
              <w:rPr>
                <w:rFonts w:hint="eastAsia"/>
              </w:rPr>
              <w:t xml:space="preserve">致可变成本</w:t>
            </w:r>
            <w:r>
              <w:t xml:space="preserve"> </w:t>
            </w:r>
            <w:r>
              <w:rPr>
                <w:rFonts w:hint="eastAsia"/>
              </w:rPr>
              <w:t xml:space="preserve">响</w:t>
            </w:r>
          </w:p>
        </w:tc>
        <w:tc>
          <w:tcPr/>
          <w:p>
            <w:pPr>
              <w:pStyle w:val="Compact"/>
            </w:pPr>
            <w:r>
              <w:rPr>
                <w:rFonts w:hint="eastAsia"/>
              </w:rPr>
              <w:t xml:space="preserve">应时间</w:t>
            </w:r>
            <w:r>
              <w:t xml:space="preserve"> </w:t>
            </w:r>
            <w:r>
              <w:rPr>
                <w:rFonts w:hint="eastAsia"/>
              </w:rPr>
              <w:t xml:space="preserve">持续</w:t>
            </w:r>
          </w:p>
        </w:tc>
        <w:tc>
          <w:tcPr/>
          <w:p>
            <w:pPr>
              <w:pStyle w:val="Compact"/>
              <w:jc w:val="left"/>
            </w:pPr>
            <w:r>
              <w:rPr>
                <w:rFonts w:hint="eastAsia"/>
              </w:rPr>
              <w:t xml:space="preserve">时间/约束条件</w:t>
            </w:r>
          </w:p>
        </w:tc>
      </w:tr>
      <w:tr>
        <w:tc>
          <w:tcPr/>
          <w:p>
            <w:pPr>
              <w:pStyle w:val="Compact"/>
            </w:pPr>
            <w:r>
              <w:rPr>
                <w:rFonts w:hint="eastAsia"/>
              </w:rPr>
              <w:t xml:space="preserve">联合循环燃气发电</w:t>
            </w:r>
          </w:p>
        </w:tc>
        <w:tc>
          <w:tcPr/>
          <w:p>
            <w:pPr>
              <w:pStyle w:val="Compact"/>
            </w:pPr>
            <w:r>
              <w:rPr>
                <w:rFonts w:hint="eastAsia"/>
              </w:rPr>
              <w:t xml:space="preserve">每兆瓦时42-78美元</w:t>
            </w:r>
          </w:p>
        </w:tc>
        <w:tc>
          <w:tcPr/>
          <w:p>
            <w:pPr>
              <w:pStyle w:val="Compact"/>
            </w:pPr>
            <w:r>
              <w:rPr>
                <w:rFonts w:hint="eastAsia"/>
              </w:rPr>
              <w:t xml:space="preserve">10-60分钟</w:t>
            </w:r>
            <w:r>
              <w:t xml:space="preserve"> </w:t>
            </w:r>
            <w:r>
              <w:rPr>
                <w:rFonts w:hint="eastAsia"/>
              </w:rPr>
              <w:t xml:space="preserve">天</w:t>
            </w:r>
          </w:p>
        </w:tc>
        <w:tc>
          <w:tcPr/>
          <w:p>
            <w:pPr>
              <w:pStyle w:val="Compact"/>
              <w:jc w:val="left"/>
            </w:pPr>
            <w:r>
              <w:rPr>
                <w:rFonts w:hint="eastAsia"/>
              </w:rPr>
              <w:t xml:space="preserve">然气管道及机组可用性</w:t>
            </w:r>
          </w:p>
        </w:tc>
      </w:tr>
      <w:tr>
        <w:tc>
          <w:tcPr/>
          <w:p>
            <w:pPr>
              <w:pStyle w:val="Compact"/>
            </w:pPr>
            <w:r>
              <w:rPr>
                <w:rFonts w:hint="eastAsia"/>
              </w:rPr>
              <w:t xml:space="preserve">简单循环燃气发电</w:t>
            </w:r>
          </w:p>
        </w:tc>
        <w:tc>
          <w:tcPr/>
          <w:p>
            <w:pPr>
              <w:pStyle w:val="Compact"/>
            </w:pPr>
            <w:r>
              <w:rPr>
                <w:rFonts w:hint="eastAsia"/>
              </w:rPr>
              <w:t xml:space="preserve">每兆瓦时85-150美元</w:t>
            </w:r>
          </w:p>
        </w:tc>
        <w:tc>
          <w:tcPr/>
          <w:p>
            <w:pPr>
              <w:pStyle w:val="Compact"/>
            </w:pPr>
            <w:r>
              <w:rPr>
                <w:rFonts w:hint="eastAsia"/>
              </w:rPr>
              <w:t xml:space="preserve">10-20分钟</w:t>
            </w:r>
            <w:r>
              <w:t xml:space="preserve"> </w:t>
            </w:r>
            <w:r>
              <w:rPr>
                <w:rFonts w:hint="eastAsia"/>
              </w:rPr>
              <w:t xml:space="preserve">燃</w:t>
            </w:r>
          </w:p>
        </w:tc>
        <w:tc>
          <w:tcPr/>
          <w:p>
            <w:pPr>
              <w:pStyle w:val="Compact"/>
              <w:jc w:val="left"/>
            </w:pPr>
            <w:r>
              <w:rPr>
                <w:rFonts w:hint="eastAsia"/>
              </w:rPr>
              <w:t xml:space="preserve">料成本及排放量高</w:t>
            </w:r>
          </w:p>
        </w:tc>
      </w:tr>
      <w:tr>
        <w:tc>
          <w:tcPr/>
          <w:p>
            <w:pPr>
              <w:pStyle w:val="Compact"/>
            </w:pPr>
            <w:r>
              <w:rPr>
                <w:rFonts w:hint="eastAsia"/>
              </w:rPr>
              <w:t xml:space="preserve">燃油调峰机组</w:t>
            </w:r>
          </w:p>
        </w:tc>
        <w:tc>
          <w:tcPr/>
          <w:p>
            <w:pPr>
              <w:pStyle w:val="Compact"/>
            </w:pPr>
            <w:r>
              <w:rPr>
                <w:rFonts w:hint="eastAsia"/>
              </w:rPr>
              <w:t xml:space="preserve">每兆瓦时180-320美元</w:t>
            </w:r>
          </w:p>
        </w:tc>
        <w:tc>
          <w:tcPr/>
          <w:p>
            <w:pPr>
              <w:pStyle w:val="Compact"/>
            </w:pPr>
            <w:r>
              <w:rPr>
                <w:rFonts w:hint="eastAsia"/>
              </w:rPr>
              <w:t xml:space="preserve">30-60分钟</w:t>
            </w:r>
            <w:r>
              <w:t xml:space="preserve"> </w:t>
            </w:r>
            <w:r>
              <w:rPr>
                <w:rFonts w:hint="eastAsia"/>
              </w:rPr>
              <w:t xml:space="preserve">排</w:t>
            </w:r>
          </w:p>
        </w:tc>
        <w:tc>
          <w:tcPr/>
          <w:p>
            <w:pPr>
              <w:pStyle w:val="Compact"/>
              <w:jc w:val="left"/>
            </w:pPr>
            <w:r>
              <w:rPr>
                <w:rFonts w:hint="eastAsia"/>
              </w:rPr>
              <w:t xml:space="preserve">放量最高；燃料储备有限</w:t>
            </w:r>
          </w:p>
        </w:tc>
      </w:tr>
      <w:tr>
        <w:tc>
          <w:tcPr/>
          <w:p>
            <w:pPr>
              <w:pStyle w:val="Compact"/>
            </w:pPr>
            <w:r>
              <w:rPr>
                <w:rFonts w:hint="eastAsia"/>
              </w:rPr>
              <w:t xml:space="preserve">市场进口电力</w:t>
            </w:r>
          </w:p>
        </w:tc>
        <w:tc>
          <w:tcPr/>
          <w:p>
            <w:pPr>
              <w:pStyle w:val="Compact"/>
            </w:pPr>
            <w:r>
              <w:rPr>
                <w:rFonts w:hint="eastAsia"/>
              </w:rPr>
              <w:t xml:space="preserve">每兆瓦时-20美元至1,000美元以上</w:t>
            </w:r>
          </w:p>
        </w:tc>
        <w:tc>
          <w:tcPr/>
          <w:p>
            <w:pPr>
              <w:pStyle w:val="Compact"/>
            </w:pPr>
            <w:r>
              <w:rPr>
                <w:rFonts w:hint="eastAsia"/>
              </w:rPr>
              <w:t xml:space="preserve">5分钟</w:t>
            </w:r>
          </w:p>
        </w:tc>
        <w:tc>
          <w:tcPr/>
          <w:p>
            <w:pPr>
              <w:pStyle w:val="Compact"/>
              <w:jc w:val="left"/>
            </w:pPr>
            <w:r>
              <w:rPr>
                <w:rFonts w:hint="eastAsia"/>
              </w:rPr>
              <w:t xml:space="preserve">价格及输电可用性变化不定</w:t>
            </w:r>
          </w:p>
        </w:tc>
      </w:tr>
      <w:tr>
        <w:tc>
          <w:tcPr/>
          <w:p>
            <w:pPr>
              <w:pStyle w:val="Compact"/>
            </w:pPr>
            <w:r>
              <w:rPr>
                <w:rFonts w:hint="eastAsia"/>
              </w:rPr>
              <w:t xml:space="preserve">四小时电池</w:t>
            </w:r>
          </w:p>
        </w:tc>
        <w:tc>
          <w:tcPr/>
          <w:p>
            <w:pPr>
              <w:pStyle w:val="Compact"/>
            </w:pPr>
            <w:r>
              <w:rPr>
                <w:rFonts w:hint="eastAsia"/>
              </w:rPr>
              <w:t xml:space="preserve">储能的机会成本</w:t>
            </w:r>
          </w:p>
        </w:tc>
        <w:tc>
          <w:tcPr/>
          <w:p>
            <w:pPr>
              <w:pStyle w:val="Compact"/>
            </w:pPr>
            <w:r>
              <w:rPr>
                <w:rFonts w:hint="eastAsia"/>
              </w:rPr>
              <w:t xml:space="preserve">秒级</w:t>
            </w:r>
          </w:p>
        </w:tc>
        <w:tc>
          <w:tcPr/>
          <w:p>
            <w:pPr>
              <w:pStyle w:val="Compact"/>
              <w:jc w:val="left"/>
            </w:pPr>
            <w:r>
              <w:rPr>
                <w:rFonts w:hint="eastAsia"/>
              </w:rPr>
              <w:t xml:space="preserve">持续放电后能量耗尽</w:t>
            </w:r>
          </w:p>
        </w:tc>
      </w:tr>
      <w:tr>
        <w:tc>
          <w:tcPr/>
          <w:p>
            <w:pPr>
              <w:pStyle w:val="Compact"/>
            </w:pPr>
            <w:r>
              <w:rPr>
                <w:rFonts w:hint="eastAsia"/>
              </w:rPr>
              <w:t xml:space="preserve">工业需求响应</w:t>
            </w:r>
          </w:p>
        </w:tc>
        <w:tc>
          <w:tcPr/>
          <w:p>
            <w:pPr>
              <w:pStyle w:val="Compact"/>
            </w:pPr>
            <w:r>
              <w:rPr>
                <w:rFonts w:hint="eastAsia"/>
              </w:rPr>
              <w:t xml:space="preserve">每兆瓦时被削减电量250-900美元</w:t>
            </w:r>
          </w:p>
        </w:tc>
        <w:tc>
          <w:tcPr/>
          <w:p>
            <w:pPr>
              <w:pStyle w:val="Compact"/>
            </w:pPr>
            <w:r>
              <w:rPr>
                <w:rFonts w:hint="eastAsia"/>
              </w:rPr>
              <w:t xml:space="preserve">10-30分钟</w:t>
            </w:r>
          </w:p>
        </w:tc>
        <w:tc>
          <w:tcPr/>
          <w:p>
            <w:pPr>
              <w:pStyle w:val="Compact"/>
              <w:jc w:val="left"/>
            </w:pPr>
            <w:r>
              <w:rPr>
                <w:rFonts w:hint="eastAsia"/>
              </w:rPr>
              <w:t xml:space="preserve">客户参与度及生产影响</w:t>
            </w:r>
          </w:p>
        </w:tc>
      </w:tr>
      <w:tr>
        <w:tc>
          <w:tcPr/>
          <w:p>
            <w:pPr>
              <w:pStyle w:val="Compact"/>
            </w:pPr>
            <w:r>
              <w:rPr>
                <w:rFonts w:hint="eastAsia"/>
              </w:rPr>
              <w:t xml:space="preserve">强制限电</w:t>
            </w:r>
          </w:p>
        </w:tc>
        <w:tc>
          <w:tcPr/>
          <w:p>
            <w:pPr>
              <w:pStyle w:val="Compact"/>
            </w:pPr>
            <w:r>
              <w:rPr>
                <w:rFonts w:hint="eastAsia"/>
              </w:rPr>
              <w:t xml:space="preserve">不按普通电能计价</w:t>
            </w:r>
          </w:p>
        </w:tc>
        <w:tc>
          <w:tcPr/>
          <w:p>
            <w:pPr>
              <w:pStyle w:val="Compact"/>
            </w:pPr>
            <w:r>
              <w:rPr>
                <w:rFonts w:hint="eastAsia"/>
              </w:rPr>
              <w:t xml:space="preserve">数分钟</w:t>
            </w:r>
          </w:p>
        </w:tc>
        <w:tc>
          <w:tcPr/>
          <w:p>
            <w:pPr>
              <w:pStyle w:val="Compact"/>
              <w:jc w:val="left"/>
            </w:pPr>
            <w:r>
              <w:rPr>
                <w:rFonts w:hint="eastAsia"/>
              </w:rPr>
              <w:t xml:space="preserve">严重的社会、安全及声誉代价</w:t>
            </w:r>
          </w:p>
        </w:tc>
      </w:tr>
    </w:tbl>
    <w:p>
      <w:pPr>
        <w:pStyle w:val="BodyText"/>
      </w:pPr>
      <w:r>
        <w:rPr>
          <w:rFonts w:hint="eastAsia"/>
        </w:rPr>
        <w:t xml:space="preserve">数值均为虚构规划估算，旨在说明成本、速度和持续能力方面的差异。</w:t>
      </w:r>
    </w:p>
    <w:bookmarkEnd w:id="11"/>
    <w:bookmarkStart w:id="12" w:name="塑造未来运营的投资"/>
    <w:p>
      <w:pPr>
        <w:pStyle w:val="Heading1"/>
      </w:pPr>
      <w:r>
        <w:rPr>
          <w:rFonts w:hint="eastAsia"/>
        </w:rPr>
        <w:t xml:space="preserve">塑造未来运营的投资</w:t>
      </w:r>
    </w:p>
    <w:p>
      <w:pPr>
        <w:pStyle w:val="FirstParagraph"/>
      </w:pPr>
      <w:r>
        <w:rPr>
          <w:rFonts w:hint="eastAsia"/>
        </w:rPr>
        <w:t xml:space="preserve">7月22日的运营问题是眼前之急，但董事会已要求马尔克斯为未来十年提出资源战略建议。工作人员已提出五项举措：一座1,000兆瓦燃气电厂；增加3,000兆瓦四小时电池储能；一条连接北方风能资源的500英里输电扩建工程；可能提升可用输电容量的先进传感器和动态线路定值系统；以及面向数据中心、制造商、商业建筑、电动汽车和住宅温控设备的大型需求灵活性项目。</w:t>
      </w:r>
    </w:p>
    <w:p>
      <w:pPr>
        <w:pStyle w:val="BodyText"/>
      </w:pPr>
      <w:r>
        <w:rPr>
          <w:rFonts w:hint="eastAsia"/>
        </w:rPr>
        <w:t xml:space="preserve">每项举措都依赖于BRSO无法掌控的各种假设。天然气价格可能维持温和，也可能大幅上涨。电池成本可能持续下降，但供应链或安全要求也可能推高成本。数据中心或许愿意接受灵活服务，但前提是限电规则可预测。输电线路建设可能因土地所有者、环境审查或各州就费用分摊问题产生分歧而延误。小型模块化核反应堆和长时储能技术或许会实现商业化可行，但其时间进度和成本仍不确定。</w:t>
      </w:r>
    </w:p>
    <w:p>
      <w:pPr>
        <w:pStyle w:val="BodyText"/>
      </w:pPr>
      <w:r>
        <w:rPr>
          <w:rFonts w:hint="eastAsia"/>
        </w:rPr>
        <w:t xml:space="preserve">监管机构的优先事项也各不相同。富兰克林州出于税收和建筑就业考虑，希望加快数据中心的并网速度。门罗州则反对为主要服务于富兰克林州增长需求而建设的输电线路买单。伊斯顿州希望BRSO达成更严格的碳排放目标，并保护低收入客户免受电价上涨的影响。消费者权益倡导者主张，大型新增负荷应自行承担其所需容量的费用。数据中心开发商则反驳称，特殊收费将促使投资转向其他地区。</w:t>
      </w:r>
    </w:p>
    <w:p>
      <w:pPr>
        <w:pStyle w:val="BodyText"/>
      </w:pPr>
      <w:r>
        <w:rPr>
          <w:rFonts w:hint="eastAsia"/>
        </w:rPr>
        <w:t xml:space="preserve">图表4.</w:t>
      </w:r>
      <w:r>
        <w:t xml:space="preserve"> </w:t>
      </w:r>
      <w:r>
        <w:rPr>
          <w:rFonts w:hint="eastAsia"/>
        </w:rPr>
        <w:t xml:space="preserve">正在考虑的长期举措</w:t>
      </w:r>
    </w:p>
    <w:tbl>
      <w:tblPr>
        <w:tblStyle w:val="Table"/>
        <w:tblW w:type="pct" w:w="4931"/>
        <w:tblLayout w:type="fixed"/>
        <w:tblLook w:firstRow="1" w:lastRow="0" w:firstColumn="0" w:lastColumn="0" w:noHBand="0" w:noVBand="0" w:val="0020"/>
      </w:tblPr>
      <w:tblGrid>
        <w:gridCol w:w="2090"/>
        <w:gridCol w:w="1595"/>
        <w:gridCol w:w="1045"/>
        <w:gridCol w:w="3080"/>
      </w:tblGrid>
      <w:tr>
        <w:trPr>
          <w:tblHeader w:val="on"/>
        </w:trPr>
        <w:tc>
          <w:tcPr/>
          <w:p>
            <w:pPr>
              <w:pStyle w:val="Compact"/>
              <w:jc w:val="left"/>
            </w:pPr>
            <w:r>
              <w:rPr>
                <w:rFonts w:hint="eastAsia"/>
              </w:rPr>
              <w:t xml:space="preserve">举措</w:t>
            </w:r>
          </w:p>
        </w:tc>
        <w:tc>
          <w:tcPr/>
          <w:p>
            <w:pPr>
              <w:pStyle w:val="Compact"/>
              <w:jc w:val="left"/>
            </w:pPr>
            <w:r>
              <w:rPr>
                <w:rFonts w:hint="eastAsia"/>
              </w:rPr>
              <w:t xml:space="preserve">示例性资本成本</w:t>
            </w:r>
          </w:p>
        </w:tc>
        <w:tc>
          <w:tcPr/>
          <w:p>
            <w:pPr>
              <w:pStyle w:val="Compact"/>
              <w:jc w:val="center"/>
            </w:pPr>
            <w:r>
              <w:rPr>
                <w:rFonts w:hint="eastAsia"/>
              </w:rPr>
              <w:t xml:space="preserve">最早投运时间</w:t>
            </w:r>
          </w:p>
        </w:tc>
        <w:tc>
          <w:tcPr/>
          <w:p>
            <w:pPr>
              <w:pStyle w:val="Compact"/>
              <w:jc w:val="center"/>
            </w:pPr>
            <w:r>
              <w:rPr>
                <w:rFonts w:hint="eastAsia"/>
              </w:rPr>
              <w:t xml:space="preserve">主要待解决问题</w:t>
            </w:r>
          </w:p>
        </w:tc>
      </w:tr>
      <w:tr>
        <w:tc>
          <w:tcPr/>
          <w:p>
            <w:pPr>
              <w:pStyle w:val="Compact"/>
              <w:jc w:val="left"/>
            </w:pPr>
            <w:r>
              <w:rPr>
                <w:rFonts w:hint="eastAsia"/>
              </w:rPr>
              <w:t xml:space="preserve">1,000兆瓦联合循环燃气电厂</w:t>
            </w:r>
          </w:p>
        </w:tc>
        <w:tc>
          <w:tcPr/>
          <w:p>
            <w:pPr>
              <w:pStyle w:val="Compact"/>
              <w:jc w:val="left"/>
            </w:pPr>
            <w:r>
              <w:rPr>
                <w:rFonts w:hint="eastAsia"/>
              </w:rPr>
              <w:t xml:space="preserve">14亿美元</w:t>
            </w:r>
          </w:p>
        </w:tc>
        <w:tc>
          <w:tcPr/>
          <w:p>
            <w:pPr>
              <w:pStyle w:val="Compact"/>
              <w:jc w:val="center"/>
            </w:pPr>
            <w:r>
              <w:rPr>
                <w:rFonts w:hint="eastAsia"/>
              </w:rPr>
              <w:t xml:space="preserve">2030年</w:t>
            </w:r>
          </w:p>
        </w:tc>
        <w:tc>
          <w:tcPr/>
          <w:p>
            <w:pPr>
              <w:pStyle w:val="Compact"/>
              <w:jc w:val="center"/>
            </w:pPr>
            <w:r>
              <w:rPr>
                <w:rFonts w:hint="eastAsia"/>
              </w:rPr>
              <w:t xml:space="preserve">燃料、排放政策及利用率</w:t>
            </w:r>
          </w:p>
        </w:tc>
      </w:tr>
      <w:tr>
        <w:tc>
          <w:tcPr/>
          <w:p>
            <w:pPr>
              <w:pStyle w:val="Compact"/>
              <w:jc w:val="left"/>
            </w:pPr>
            <w:r>
              <w:rPr>
                <w:rFonts w:hint="eastAsia"/>
              </w:rPr>
              <w:t xml:space="preserve">3,000兆瓦/12,000兆瓦时电池储能</w:t>
            </w:r>
          </w:p>
        </w:tc>
        <w:tc>
          <w:tcPr/>
          <w:p>
            <w:pPr>
              <w:pStyle w:val="Compact"/>
              <w:jc w:val="left"/>
            </w:pPr>
            <w:r>
              <w:rPr>
                <w:rFonts w:hint="eastAsia"/>
              </w:rPr>
              <w:t xml:space="preserve">42亿美元</w:t>
            </w:r>
          </w:p>
        </w:tc>
        <w:tc>
          <w:tcPr/>
          <w:p>
            <w:pPr>
              <w:pStyle w:val="Compact"/>
              <w:jc w:val="center"/>
            </w:pPr>
            <w:r>
              <w:rPr>
                <w:rFonts w:hint="eastAsia"/>
              </w:rPr>
              <w:t xml:space="preserve">2028-2031年</w:t>
            </w:r>
          </w:p>
        </w:tc>
        <w:tc>
          <w:tcPr/>
          <w:p>
            <w:pPr>
              <w:pStyle w:val="Compact"/>
              <w:jc w:val="center"/>
            </w:pPr>
            <w:r>
              <w:rPr>
                <w:rFonts w:hint="eastAsia"/>
              </w:rPr>
              <w:t xml:space="preserve">长期短缺期间的价值及更换成本</w:t>
            </w:r>
          </w:p>
        </w:tc>
      </w:tr>
      <w:tr>
        <w:tc>
          <w:tcPr/>
          <w:p>
            <w:pPr>
              <w:pStyle w:val="Compact"/>
              <w:jc w:val="left"/>
            </w:pPr>
            <w:r>
              <w:rPr>
                <w:rFonts w:hint="eastAsia"/>
              </w:rPr>
              <w:t xml:space="preserve">北方输电项目</w:t>
            </w:r>
          </w:p>
        </w:tc>
        <w:tc>
          <w:tcPr/>
          <w:p>
            <w:pPr>
              <w:pStyle w:val="Compact"/>
              <w:jc w:val="left"/>
            </w:pPr>
            <w:r>
              <w:rPr>
                <w:rFonts w:hint="eastAsia"/>
              </w:rPr>
              <w:t xml:space="preserve">78亿美元</w:t>
            </w:r>
          </w:p>
        </w:tc>
        <w:tc>
          <w:tcPr/>
          <w:p>
            <w:pPr>
              <w:pStyle w:val="Compact"/>
              <w:jc w:val="center"/>
            </w:pPr>
            <w:r>
              <w:rPr>
                <w:rFonts w:hint="eastAsia"/>
              </w:rPr>
              <w:t xml:space="preserve">2034年</w:t>
            </w:r>
          </w:p>
        </w:tc>
        <w:tc>
          <w:tcPr/>
          <w:p>
            <w:pPr>
              <w:pStyle w:val="Compact"/>
              <w:jc w:val="center"/>
            </w:pPr>
            <w:r>
              <w:rPr>
                <w:rFonts w:hint="eastAsia"/>
              </w:rPr>
              <w:t xml:space="preserve">审批许可、成本分摊、可再生能源建设</w:t>
            </w:r>
          </w:p>
        </w:tc>
      </w:tr>
      <w:tr>
        <w:tc>
          <w:tcPr/>
          <w:p>
            <w:pPr>
              <w:pStyle w:val="Compact"/>
              <w:jc w:val="left"/>
            </w:pPr>
            <w:r>
              <w:rPr>
                <w:rFonts w:hint="eastAsia"/>
              </w:rPr>
              <w:t xml:space="preserve">传感器及动态线路定值系统</w:t>
            </w:r>
          </w:p>
        </w:tc>
        <w:tc>
          <w:tcPr/>
          <w:p>
            <w:pPr>
              <w:pStyle w:val="Compact"/>
              <w:jc w:val="left"/>
            </w:pPr>
            <w:r>
              <w:rPr>
                <w:rFonts w:hint="eastAsia"/>
              </w:rPr>
              <w:t xml:space="preserve">6.2亿美元</w:t>
            </w:r>
          </w:p>
        </w:tc>
        <w:tc>
          <w:tcPr/>
          <w:p>
            <w:pPr>
              <w:pStyle w:val="Compact"/>
              <w:jc w:val="center"/>
            </w:pPr>
            <w:r>
              <w:rPr>
                <w:rFonts w:hint="eastAsia"/>
              </w:rPr>
              <w:t xml:space="preserve">2028年</w:t>
            </w:r>
          </w:p>
        </w:tc>
        <w:tc>
          <w:tcPr/>
          <w:p>
            <w:pPr>
              <w:pStyle w:val="Compact"/>
              <w:jc w:val="center"/>
            </w:pPr>
            <w:r>
              <w:rPr>
                <w:rFonts w:hint="eastAsia"/>
              </w:rPr>
              <w:t xml:space="preserve">能创造多少可靠容量</w:t>
            </w:r>
          </w:p>
        </w:tc>
      </w:tr>
      <w:tr>
        <w:tc>
          <w:tcPr/>
          <w:p>
            <w:pPr>
              <w:pStyle w:val="Compact"/>
              <w:jc w:val="left"/>
            </w:pPr>
            <w:r>
              <w:rPr>
                <w:rFonts w:hint="eastAsia"/>
              </w:rPr>
              <w:t xml:space="preserve">灵活负荷平台</w:t>
            </w:r>
          </w:p>
        </w:tc>
        <w:tc>
          <w:tcPr/>
          <w:p>
            <w:pPr>
              <w:pStyle w:val="Compact"/>
              <w:jc w:val="left"/>
            </w:pPr>
            <w:r>
              <w:rPr>
                <w:rFonts w:hint="eastAsia"/>
              </w:rPr>
              <w:t xml:space="preserve">7年内共8.5亿美元</w:t>
            </w:r>
          </w:p>
        </w:tc>
        <w:tc>
          <w:tcPr/>
          <w:p>
            <w:pPr>
              <w:pStyle w:val="Compact"/>
              <w:jc w:val="center"/>
            </w:pPr>
            <w:r>
              <w:rPr>
                <w:rFonts w:hint="eastAsia"/>
              </w:rPr>
              <w:t xml:space="preserve">2028年</w:t>
            </w:r>
          </w:p>
        </w:tc>
        <w:tc>
          <w:tcPr/>
          <w:p>
            <w:pPr>
              <w:pStyle w:val="Compact"/>
              <w:jc w:val="center"/>
            </w:pPr>
            <w:r>
              <w:rPr>
                <w:rFonts w:hint="eastAsia"/>
              </w:rPr>
              <w:t xml:space="preserve">注册率、响应率、网络安全、客户疲劳</w:t>
            </w:r>
          </w:p>
        </w:tc>
      </w:tr>
      <w:tr>
        <w:tc>
          <w:tcPr/>
          <w:p>
            <w:pPr>
              <w:pStyle w:val="Compact"/>
              <w:jc w:val="left"/>
            </w:pPr>
            <w:r>
              <w:rPr>
                <w:rFonts w:hint="eastAsia"/>
              </w:rPr>
              <w:t xml:space="preserve">长时储能示范项目</w:t>
            </w:r>
          </w:p>
        </w:tc>
        <w:tc>
          <w:tcPr/>
          <w:p>
            <w:pPr>
              <w:pStyle w:val="Compact"/>
              <w:jc w:val="left"/>
            </w:pPr>
            <w:r>
              <w:rPr>
                <w:rFonts w:hint="eastAsia"/>
              </w:rPr>
              <w:t xml:space="preserve">11亿美元</w:t>
            </w:r>
          </w:p>
        </w:tc>
        <w:tc>
          <w:tcPr/>
          <w:p>
            <w:pPr>
              <w:pStyle w:val="Compact"/>
              <w:jc w:val="center"/>
            </w:pPr>
            <w:r>
              <w:rPr>
                <w:rFonts w:hint="eastAsia"/>
              </w:rPr>
              <w:t xml:space="preserve">2031年</w:t>
            </w:r>
          </w:p>
        </w:tc>
        <w:tc>
          <w:tcPr/>
          <w:p>
            <w:pPr>
              <w:pStyle w:val="Compact"/>
              <w:jc w:val="center"/>
            </w:pPr>
            <w:r>
              <w:rPr>
                <w:rFonts w:hint="eastAsia"/>
              </w:rPr>
              <w:t xml:space="preserve">技术性能及商业可扩展性</w:t>
            </w:r>
          </w:p>
        </w:tc>
      </w:tr>
    </w:tbl>
    <w:p>
      <w:pPr>
        <w:pStyle w:val="BodyText"/>
      </w:pPr>
      <w:r>
        <w:rPr>
          <w:rFonts w:hint="eastAsia"/>
        </w:rPr>
        <w:t xml:space="preserve">所有成本和日期均为虚构，且将存在重大不确定性。</w:t>
      </w:r>
    </w:p>
    <w:bookmarkEnd w:id="12"/>
    <w:bookmarkStart w:id="13" w:name="下午2点的通话"/>
    <w:p>
      <w:pPr>
        <w:pStyle w:val="Heading1"/>
      </w:pPr>
      <w:r>
        <w:rPr>
          <w:rFonts w:hint="eastAsia"/>
        </w:rPr>
        <w:t xml:space="preserve">下午2点的通话</w:t>
      </w:r>
    </w:p>
    <w:p>
      <w:pPr>
        <w:pStyle w:val="FirstParagraph"/>
      </w:pPr>
      <w:r>
        <w:rPr>
          <w:rFonts w:hint="eastAsia"/>
        </w:rPr>
        <w:t xml:space="preserve">下午1点55分，Riverbend的所有者告知BRSO，4号机组或许可以以500兆瓦出力继续在线运行，但在晚上7点之前，有20%的概率会因振动问题而被迫完全停机。让该机组保持在线可能加剧设备损坏。西部气象部门将预计雷暴到达时间提前了四十五分钟。实时进口电价在十五分钟内翻了一番。</w:t>
      </w:r>
    </w:p>
    <w:p>
      <w:pPr>
        <w:pStyle w:val="BodyText"/>
      </w:pPr>
      <w:r>
        <w:rPr>
          <w:rFonts w:hint="eastAsia"/>
        </w:rPr>
        <w:t xml:space="preserve">运营副总裁建议立即启动两台燃油调峰机组，并将电池储能保留至日落之后再使用。市场总监则倾向于购买进口电力，等待更好的信息，认为燃油机组可能会被不必要地启动。可持续发展总监提议在下午4点前调用600兆瓦需求响应，但工业客户理事会已经抱怨BRSO当年夏天已经调用过四次此类事件。可靠性主管则希望获得授权同时采取上述三项行动。</w:t>
      </w:r>
    </w:p>
    <w:p>
      <w:pPr>
        <w:pStyle w:val="BodyText"/>
      </w:pPr>
      <w:r>
        <w:rPr>
          <w:rFonts w:hint="eastAsia"/>
        </w:rPr>
        <w:t xml:space="preserve">马尔克斯也清楚，无论当晚发生什么，都将影响投资方面的讨论走向。若当晚平稳度过，可以用来论证电池和灵活需求已经足够。若出现紧急情况，则可能强化建设燃气电厂或扩建输电线路的理由。然而，单一一个充满压力的日子，未必能代表未来二十年的情况。</w:t>
      </w:r>
    </w:p>
    <w:p>
      <w:pPr>
        <w:pStyle w:val="BodyText"/>
      </w:pPr>
      <w:r>
        <w:rPr>
          <w:rFonts w:hint="eastAsia"/>
        </w:rPr>
        <w:t xml:space="preserve">下午2点，控制室主任请求下达指示。马尔克斯必须决定现在应承诺哪些资源、应将哪些资源留作备用，以及在等待某些信息——而这些信息只有在部分选项已经消失之后才会到来——的过程中，BRSO应承担多大风险。</w:t>
      </w:r>
    </w:p>
    <w:bookmarkEnd w:id="13"/>
    <w:bookmarkStart w:id="14" w:name="讨论题"/>
    <w:p>
      <w:pPr>
        <w:pStyle w:val="Heading1"/>
      </w:pPr>
      <w:r>
        <w:rPr>
          <w:rFonts w:hint="eastAsia"/>
        </w:rPr>
        <w:t xml:space="preserve">讨论题</w:t>
      </w:r>
    </w:p>
    <w:p>
      <w:pPr>
        <w:numPr>
          <w:ilvl w:val="0"/>
          <w:numId w:val="1001"/>
        </w:numPr>
      </w:pPr>
      <w:r>
        <w:rPr>
          <w:rFonts w:hint="eastAsia"/>
        </w:rPr>
        <w:t xml:space="preserve">马尔克斯在下午2点应授权采取哪些行动？哪些资源应立即投入使用，哪些应保留至稍后使用？</w:t>
      </w:r>
    </w:p>
    <w:p>
      <w:pPr>
        <w:numPr>
          <w:ilvl w:val="0"/>
          <w:numId w:val="1001"/>
        </w:numPr>
      </w:pPr>
      <w:r>
        <w:rPr>
          <w:rFonts w:hint="eastAsia"/>
        </w:rPr>
        <w:t xml:space="preserve">BRSO应如何权衡一项成本高昂的预防性行动，与发生概率虽低但后果严重的短缺风险？</w:t>
      </w:r>
    </w:p>
    <w:p>
      <w:pPr>
        <w:numPr>
          <w:ilvl w:val="0"/>
          <w:numId w:val="1001"/>
        </w:numPr>
      </w:pPr>
      <w:r>
        <w:rPr>
          <w:rFonts w:hint="eastAsia"/>
        </w:rPr>
        <w:t xml:space="preserve">在接下来的两个小时里，哪些信息最具价值？BRSO应如何获取这些信息？</w:t>
      </w:r>
    </w:p>
    <w:p>
      <w:pPr>
        <w:numPr>
          <w:ilvl w:val="0"/>
          <w:numId w:val="1001"/>
        </w:numPr>
      </w:pPr>
      <w:r>
        <w:rPr>
          <w:rFonts w:hint="eastAsia"/>
        </w:rPr>
        <w:t xml:space="preserve">运营商应如何在一天中的不同时段对储存的电池能量进行估值？</w:t>
      </w:r>
    </w:p>
    <w:p>
      <w:pPr>
        <w:numPr>
          <w:ilvl w:val="0"/>
          <w:numId w:val="1001"/>
        </w:numPr>
      </w:pPr>
      <w:r>
        <w:rPr>
          <w:rFonts w:hint="eastAsia"/>
        </w:rPr>
        <w:t xml:space="preserve">在什么情况下应将需求响应视为一种常规运营资源，而在什么情况下频繁使用会削弱其未来价值？</w:t>
      </w:r>
    </w:p>
    <w:p>
      <w:pPr>
        <w:numPr>
          <w:ilvl w:val="0"/>
          <w:numId w:val="1001"/>
        </w:numPr>
      </w:pPr>
      <w:r>
        <w:rPr>
          <w:rFonts w:hint="eastAsia"/>
        </w:rPr>
        <w:t xml:space="preserve">哪些长期投资看起来是互补的，哪些是替代性的，其成本应如何分摊？</w:t>
      </w:r>
    </w:p>
    <w:p>
      <w:pPr>
        <w:pStyle w:val="FirstParagraph"/>
      </w:pPr>
      <w:r>
        <w:rPr>
          <w:rFonts w:hint="eastAsia"/>
        </w:rPr>
        <w:t xml:space="preserve">案例说明：本虚构案例在概念上借鉴自沃伦·B·鲍威尔（Warren</w:t>
      </w:r>
      <w:r>
        <w:t xml:space="preserve"> B. </w:t>
      </w:r>
      <w:r>
        <w:rPr>
          <w:rFonts w:hint="eastAsia"/>
        </w:rPr>
        <w:t xml:space="preserve">Powell）所著《架接决策问题，第一卷：问题的界定》（</w:t>
      </w:r>
      <w:r>
        <w:rPr>
          <w:i/>
          <w:iCs/>
        </w:rPr>
        <w:t xml:space="preserve">Bridging Decision Problems, Volume I: Framing the Problem</w:t>
      </w:r>
      <w:r>
        <w:rPr>
          <w:rFonts w:hint="eastAsia"/>
        </w:rPr>
        <w:t xml:space="preserve">）第2章”电力电网管理”（</w:t>
      </w:r>
      <w:r>
        <w:t xml:space="preserve">“Electric Power Grid Management”</w:t>
      </w:r>
      <w:r>
        <w:rPr>
          <w:rFonts w:hint="eastAsia"/>
        </w:rPr>
        <w:t xml:space="preserve">）。当前背景资料引用了美国能源信息署（U.S.</w:t>
      </w:r>
      <w:r>
        <w:t xml:space="preserve"> Energy Information </w:t>
      </w:r>
      <w:r>
        <w:rPr>
          <w:rFonts w:hint="eastAsia"/>
        </w:rPr>
        <w:t xml:space="preserve">Administration）2026年3月12日的数据，以及北美电力可靠性公司（NERC）2025年长期可靠性评估（2026年1月）。所有蓝河相关实体、事件及数据均为虚构，本案例有意不指定任何最优策略。</w:t>
      </w:r>
    </w:p>
    <w:bookmarkEnd w:id="14"/>
    <w:bookmarkStart w:id="20" w:name="决策框架问题"/>
    <w:p>
      <w:pPr>
        <w:pStyle w:val="Heading1"/>
      </w:pPr>
      <w:r>
        <w:rPr>
          <w:rFonts w:hint="eastAsia"/>
        </w:rPr>
        <w:t xml:space="preserve">决策框架问题</w:t>
      </w:r>
    </w:p>
    <w:p>
      <w:pPr>
        <w:numPr>
          <w:ilvl w:val="0"/>
          <w:numId w:val="1002"/>
        </w:numPr>
      </w:pPr>
      <w:r>
        <w:rPr>
          <w:rFonts w:hint="eastAsia"/>
        </w:rPr>
        <w:t xml:space="preserve">识别并描述决策者的职责范围。这应界定问题的范围。</w:t>
      </w:r>
    </w:p>
    <w:p>
      <w:pPr>
        <w:numPr>
          <w:ilvl w:val="0"/>
          <w:numId w:val="1002"/>
        </w:numPr>
      </w:pPr>
      <w:r>
        <w:rPr>
          <w:rFonts w:hint="eastAsia"/>
        </w:rPr>
        <w:t xml:space="preserve">使用</w:t>
      </w:r>
      <w:hyperlink r:id="rId15">
        <w:r>
          <w:rPr>
            <w:rStyle w:val="Hyperlink"/>
            <w:rFonts w:hint="eastAsia"/>
          </w:rPr>
          <w:t xml:space="preserve">指标金字塔工具</w:t>
        </w:r>
      </w:hyperlink>
      <w:r>
        <w:rPr>
          <w:rFonts w:hint="eastAsia"/>
        </w:rPr>
        <w:t xml:space="preserve">来识别并排列不同绩效指标的优先次序。点击承载该指标的椭圆形，以标明该指标是需要最大化的指标（绿色）、需要最小化的指标（红色）、作为下限的目标值（浅绿色）、作为上限的目标值（浅红色），还是一个目标值（紫色）。</w:t>
      </w:r>
    </w:p>
    <w:p>
      <w:pPr>
        <w:numPr>
          <w:ilvl w:val="0"/>
          <w:numId w:val="1002"/>
        </w:numPr>
      </w:pPr>
      <w:r>
        <w:rPr>
          <w:rFonts w:hint="eastAsia"/>
        </w:rPr>
        <w:t xml:space="preserve">使用</w:t>
      </w:r>
      <w:hyperlink r:id="rId16">
        <w:r>
          <w:rPr>
            <w:rStyle w:val="Hyperlink"/>
            <w:rFonts w:hint="eastAsia"/>
          </w:rPr>
          <w:t xml:space="preserve">决策优先级排序工具</w:t>
        </w:r>
      </w:hyperlink>
      <w:r>
        <w:rPr>
          <w:rFonts w:hint="eastAsia"/>
        </w:rPr>
        <w:t xml:space="preserve">，首先列出不同类型的决策（可参考</w:t>
      </w:r>
      <w:hyperlink r:id="rId17">
        <w:r>
          <w:rPr>
            <w:rStyle w:val="Hyperlink"/>
            <w:rFonts w:hint="eastAsia"/>
          </w:rPr>
          <w:t xml:space="preserve">决策类型</w:t>
        </w:r>
      </w:hyperlink>
      <w:r>
        <w:rPr>
          <w:rFonts w:hint="eastAsia"/>
        </w:rPr>
        <w:t xml:space="preserve">作为指引）。这些决策将随后填充右侧矩阵的各行，而矩阵的列则按上方金字塔中的优先级从左至右排列绩效指标。点击每个单元格，以标明该决策对各项指标的影响程度为高（红色）、中（橙色）、低（黄色）或无（白色）。</w:t>
      </w:r>
    </w:p>
    <w:p>
      <w:pPr>
        <w:numPr>
          <w:ilvl w:val="0"/>
          <w:numId w:val="1002"/>
        </w:numPr>
      </w:pPr>
      <w:r>
        <w:rPr>
          <w:rFonts w:hint="eastAsia"/>
        </w:rPr>
        <w:t xml:space="preserve">你可以抓住每行最左侧的手柄（三道横杠）将其上移或下移。对各行进行排序，使对最重要指标影响最大的决策位于上方。左上角的单元格应集中最多的红色和橙色单元格。此时，识别出在你的研究中最应受到关注的决策。如果没有任何决策对最重要的指标产生中等或高度影响，请重新审视你的决策清单。</w:t>
      </w:r>
    </w:p>
    <w:p>
      <w:pPr>
        <w:numPr>
          <w:ilvl w:val="0"/>
          <w:numId w:val="1002"/>
        </w:numPr>
      </w:pPr>
      <w:r>
        <w:rPr>
          <w:rFonts w:hint="eastAsia"/>
        </w:rPr>
        <w:t xml:space="preserve">使用</w:t>
      </w:r>
      <w:hyperlink r:id="rId18">
        <w:r>
          <w:rPr>
            <w:rStyle w:val="Hyperlink"/>
            <w:rFonts w:hint="eastAsia"/>
          </w:rPr>
          <w:t xml:space="preserve">不确定性优先级排序工具</w:t>
        </w:r>
      </w:hyperlink>
      <w:r>
        <w:rPr>
          <w:rFonts w:hint="eastAsia"/>
        </w:rPr>
        <w:t xml:space="preserve">重复上述过程，列出并排列不确定性因素的优先次序。可参考</w:t>
      </w:r>
      <w:hyperlink r:id="rId19">
        <w:r>
          <w:rPr>
            <w:rStyle w:val="Hyperlink"/>
            <w:rFonts w:hint="eastAsia"/>
          </w:rPr>
          <w:t xml:space="preserve">不确定性类别</w:t>
        </w:r>
      </w:hyperlink>
      <w:r>
        <w:rPr>
          <w:rFonts w:hint="eastAsia"/>
        </w:rPr>
        <w:t xml:space="preserve">作为指引。</w:t>
      </w:r>
    </w:p>
    <w:p>
      <w:pPr>
        <w:numPr>
          <w:ilvl w:val="0"/>
          <w:numId w:val="1002"/>
        </w:numPr>
      </w:pPr>
      <w:r>
        <w:rPr>
          <w:rFonts w:hint="eastAsia"/>
        </w:rPr>
        <w:t xml:space="preserve">区分哪些不确定性可以通过平均绩效来评估、哪些应作为风险事件来评估，这一点十分重要：</w:t>
      </w:r>
    </w:p>
    <w:p>
      <w:pPr>
        <w:numPr>
          <w:ilvl w:val="1"/>
          <w:numId w:val="1003"/>
        </w:numPr>
      </w:pPr>
      <w:r>
        <w:rPr>
          <w:rFonts w:hint="eastAsia"/>
        </w:rPr>
        <w:t xml:space="preserve">哪些不确定性来源可以通过一段时间内的平均绩效来体现？</w:t>
      </w:r>
    </w:p>
    <w:p>
      <w:pPr>
        <w:numPr>
          <w:ilvl w:val="1"/>
          <w:numId w:val="1003"/>
        </w:numPr>
      </w:pPr>
      <w:r>
        <w:rPr>
          <w:rFonts w:hint="eastAsia"/>
        </w:rPr>
        <w:t xml:space="preserve">哪些不确定性来源代表了无法通过取平均值恰当反映的风险形式？</w:t>
      </w:r>
    </w:p>
    <w:p>
      <w:pPr>
        <w:numPr>
          <w:ilvl w:val="0"/>
          <w:numId w:val="1002"/>
        </w:numPr>
      </w:pPr>
      <w:r>
        <w:rPr>
          <w:rFonts w:hint="eastAsia"/>
        </w:rPr>
        <w:t xml:space="preserve">选择对最重要指标似乎具有最高影响的单一决策。</w:t>
      </w:r>
    </w:p>
    <w:p>
      <w:pPr>
        <w:numPr>
          <w:ilvl w:val="1"/>
          <w:numId w:val="1004"/>
        </w:numPr>
      </w:pPr>
      <w:r>
        <w:rPr>
          <w:rFonts w:hint="eastAsia"/>
        </w:rPr>
        <w:t xml:space="preserve">你认为你会采用什么方法来做出这项决策？</w:t>
      </w:r>
    </w:p>
    <w:p>
      <w:pPr>
        <w:numPr>
          <w:ilvl w:val="1"/>
          <w:numId w:val="1004"/>
        </w:numPr>
      </w:pPr>
      <w:r>
        <w:rPr>
          <w:rFonts w:hint="eastAsia"/>
        </w:rPr>
        <w:t xml:space="preserve">做出这项决策似乎需要哪些数据，包括该决策具有高或中等影响的任何绩效指标的计算所需数据。</w:t>
      </w:r>
    </w:p>
    <w:p>
      <w:pPr>
        <w:numPr>
          <w:ilvl w:val="0"/>
          <w:numId w:val="1002"/>
        </w:numPr>
      </w:pPr>
      <w:r>
        <w:rPr>
          <w:rFonts w:hint="eastAsia"/>
        </w:rPr>
        <w:t xml:space="preserve">针对你在第（7）题中所确定的同一决策，识别出你在实施该决策时需要合作的人员、部门、团体或组织。</w:t>
      </w:r>
    </w:p>
    <w:bookmarkEnd w:id="20"/>
    <w:bookmarkStart w:id="23" w:name="chatgpt-说明"/>
    <w:p>
      <w:pPr>
        <w:pStyle w:val="Heading1"/>
      </w:pPr>
      <w:r>
        <w:t xml:space="preserve">ChatGPT </w:t>
      </w:r>
      <w:r>
        <w:rPr>
          <w:rFonts w:hint="eastAsia"/>
        </w:rPr>
        <w:t xml:space="preserve">说明</w:t>
      </w:r>
    </w:p>
    <w:bookmarkStart w:id="21" w:name="提示词"/>
    <w:p>
      <w:pPr>
        <w:pStyle w:val="Heading2"/>
      </w:pPr>
      <w:r>
        <w:rPr>
          <w:rFonts w:hint="eastAsia"/>
        </w:rPr>
        <w:t xml:space="preserve">提示词</w:t>
      </w:r>
    </w:p>
    <w:p>
      <w:pPr>
        <w:pStyle w:val="FirstParagraph"/>
      </w:pPr>
      <w:r>
        <w:rPr>
          <w:rFonts w:hint="eastAsia"/>
        </w:rPr>
        <w:t xml:space="preserve">请基于</w:t>
      </w:r>
      <w:r>
        <w:t xml:space="preserve"> https://warrenpowell.org/bridging-vol1/chapter-2/#electric-power-grid-management </w:t>
      </w:r>
      <w:r>
        <w:rPr>
          <w:rFonts w:hint="eastAsia"/>
        </w:rPr>
        <w:t xml:space="preserve">该章节中的内容，撰写一篇4-6页的案例研究。请根据该章节中的指标、决策和不确定性因素来构建背景设定，但不要明确指出这些要素。请用数据来支撑你的案例问题。</w:t>
      </w:r>
    </w:p>
    <w:bookmarkEnd w:id="21"/>
    <w:bookmarkStart w:id="22" w:name="摘要"/>
    <w:p>
      <w:pPr>
        <w:pStyle w:val="Heading2"/>
      </w:pPr>
      <w:r>
        <w:rPr>
          <w:rFonts w:hint="eastAsia"/>
        </w:rPr>
        <w:t xml:space="preserve">摘要</w:t>
      </w:r>
    </w:p>
    <w:p>
      <w:pPr>
        <w:pStyle w:val="FirstParagraph"/>
      </w:pPr>
      <w:r>
        <w:rPr>
          <w:rFonts w:hint="eastAsia"/>
        </w:rPr>
        <w:t xml:space="preserve">本案例将一家虚构的区域电网运营商置于创纪录的夏季用电高峰日的紧要关头。它必须决定如何应对不确定的太阳能和风能出力、一台可能出现故障的燃气发电机组、不断上涨的市场价格、有限的电池持续时间、输电约束以及不可靠的需求响应参与情况。</w:t>
      </w:r>
    </w:p>
    <w:p>
      <w:pPr>
        <w:pStyle w:val="BodyText"/>
      </w:pPr>
      <w:r>
        <w:rPr>
          <w:rFonts w:hint="eastAsia"/>
        </w:rPr>
        <w:t xml:space="preserve">案例包含：</w:t>
      </w:r>
    </w:p>
    <w:p>
      <w:pPr>
        <w:numPr>
          <w:ilvl w:val="0"/>
          <w:numId w:val="1005"/>
        </w:numPr>
      </w:pPr>
      <w:r>
        <w:rPr>
          <w:rFonts w:hint="eastAsia"/>
        </w:rPr>
        <w:t xml:space="preserve">提前一小时及实时的运营决策</w:t>
      </w:r>
    </w:p>
    <w:p>
      <w:pPr>
        <w:numPr>
          <w:ilvl w:val="0"/>
          <w:numId w:val="1005"/>
        </w:numPr>
      </w:pPr>
      <w:r>
        <w:rPr>
          <w:rFonts w:hint="eastAsia"/>
        </w:rPr>
        <w:t xml:space="preserve">核能、燃煤、燃气、燃油、风能、太阳能、水电、进口电力及电池等多种资源</w:t>
      </w:r>
    </w:p>
    <w:p>
      <w:pPr>
        <w:numPr>
          <w:ilvl w:val="0"/>
          <w:numId w:val="1005"/>
        </w:numPr>
      </w:pPr>
      <w:r>
        <w:rPr>
          <w:rFonts w:hint="eastAsia"/>
        </w:rPr>
        <w:t xml:space="preserve">发电机组的启动时间及运行成本差异</w:t>
      </w:r>
    </w:p>
    <w:p>
      <w:pPr>
        <w:numPr>
          <w:ilvl w:val="0"/>
          <w:numId w:val="1005"/>
        </w:numPr>
      </w:pPr>
      <w:r>
        <w:rPr>
          <w:rFonts w:hint="eastAsia"/>
        </w:rPr>
        <w:t xml:space="preserve">五分钟电力市场及秒级频率调节</w:t>
      </w:r>
    </w:p>
    <w:p>
      <w:pPr>
        <w:numPr>
          <w:ilvl w:val="0"/>
          <w:numId w:val="1005"/>
        </w:numPr>
      </w:pPr>
      <w:r>
        <w:rPr>
          <w:rFonts w:hint="eastAsia"/>
        </w:rPr>
        <w:t xml:space="preserve">天气、设备故障、燃料价格、监管及技术方面的不确定性</w:t>
      </w:r>
    </w:p>
    <w:p>
      <w:pPr>
        <w:numPr>
          <w:ilvl w:val="0"/>
          <w:numId w:val="1005"/>
        </w:numPr>
      </w:pPr>
      <w:r>
        <w:rPr>
          <w:rFonts w:hint="eastAsia"/>
        </w:rPr>
        <w:t xml:space="preserve">可靠性、客户成本、排放和服务连续性之间的冲突</w:t>
      </w:r>
    </w:p>
    <w:p>
      <w:pPr>
        <w:numPr>
          <w:ilvl w:val="0"/>
          <w:numId w:val="1005"/>
        </w:numPr>
      </w:pPr>
      <w:r>
        <w:rPr>
          <w:rFonts w:hint="eastAsia"/>
        </w:rPr>
        <w:t xml:space="preserve">涉及燃气发电、电池储能、输电线路、电网传感器、灵活需求及长时储能的长期备选方案</w:t>
      </w:r>
    </w:p>
    <w:p>
      <w:pPr>
        <w:numPr>
          <w:ilvl w:val="0"/>
          <w:numId w:val="1005"/>
        </w:numPr>
      </w:pPr>
      <w:r>
        <w:rPr>
          <w:rFonts w:hint="eastAsia"/>
        </w:rPr>
        <w:t xml:space="preserve">四张定量图表及一个悬而未决的决策点</w:t>
      </w:r>
    </w:p>
    <w:p>
      <w:pPr>
        <w:pStyle w:val="FirstParagraph"/>
      </w:pPr>
      <w:r>
        <w:rPr>
          <w:rFonts w:hint="eastAsia"/>
        </w:rPr>
        <w:t xml:space="preserve">该商业背景的设定源于美国能源信息署（EIA）的调查结果，即2020年至2025年间美国电力需求年均增长约1.7%，此前约十年增长几乎停滞。NERC</w:t>
      </w:r>
      <w:r>
        <w:t xml:space="preserve"> </w:t>
      </w:r>
      <w:r>
        <w:rPr>
          <w:rFonts w:hint="eastAsia"/>
        </w:rPr>
        <w:t xml:space="preserve">2025年的评估预测，未来十年夏季峰值需求将新增224吉瓦，其中数据中心贡献了增量的主要部分。</w:t>
      </w:r>
    </w:p>
    <w:p>
      <w:pPr>
        <w:pStyle w:val="BodyText"/>
      </w:pPr>
      <w:r>
        <w:rPr>
          <w:rFonts w:hint="eastAsia"/>
        </w:rPr>
        <w:t xml:space="preserve">本案例遵循指定的”电力电网管理”章节的结构，但未明确区分其背后的绩效指标、可用行动方案及不确定性来源。</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16" Target="https://warrenpowell.org/decision-framing-tool/#decision-prioritization-tool" TargetMode="External" /><Relationship Type="http://schemas.openxmlformats.org/officeDocument/2006/relationships/hyperlink" Id="rId15" Target="https://warrenpowell.org/decision-framing-tool/#metrics-pyramid-tool" TargetMode="External" /><Relationship Type="http://schemas.openxmlformats.org/officeDocument/2006/relationships/hyperlink" Id="rId18" Target="https://warrenpowell.org/decision-framing-tool/#uncertainty-prioritization-tool" TargetMode="External" /><Relationship Type="http://schemas.openxmlformats.org/officeDocument/2006/relationships/hyperlink" Id="rId17" Target="https://warrenpowell.org/decisionsdecisions/#types-of-decision-settings" TargetMode="External" /><Relationship Type="http://schemas.openxmlformats.org/officeDocument/2006/relationships/hyperlink" Id="rId19"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2026-09-11T17:03:14Z</dcterms:created>
  <dcterms:modified xsi:type="dcterms:W3CDTF">2026-09-11T17:03:14Z</dcterms:modified>
</cp:coreProperties>
</file>

<file path=docProps/custom.xml><?xml version="1.0" encoding="utf-8"?>
<Properties xmlns="http://schemas.openxmlformats.org/officeDocument/2006/custom-properties" xmlns:vt="http://schemas.openxmlformats.org/officeDocument/2006/docPropsVTypes"/>
</file>