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一份商学院教学案例</w:t>
      </w:r>
      <w:r>
        <w:t xml:space="preserve"> | </w:t>
      </w:r>
      <w:r>
        <w:rPr>
          <w:rFonts w:hint="eastAsia"/>
        </w:rPr>
        <w:t xml:space="preserve">2026年7月</w:t>
      </w:r>
    </w:p>
    <w:p>
      <w:pPr>
        <w:pStyle w:val="BodyText"/>
      </w:pPr>
      <w:r>
        <w:t xml:space="preserve">BrightNest Home </w:t>
      </w:r>
      <w:r>
        <w:rPr>
          <w:rFonts w:hint="eastAsia"/>
        </w:rPr>
        <w:t xml:space="preserve">Services（明巢家政服务）</w:t>
      </w:r>
    </w:p>
    <w:p>
      <w:pPr>
        <w:pStyle w:val="BodyText"/>
      </w:pPr>
      <w:r>
        <w:rPr>
          <w:rFonts w:hint="eastAsia"/>
        </w:rPr>
        <w:t xml:space="preserve">双边启动困境</w:t>
      </w:r>
    </w:p>
    <w:p>
      <w:pPr>
        <w:pStyle w:val="BodyText"/>
      </w:pPr>
      <w:r>
        <w:rPr>
          <w:rFonts w:hint="eastAsia"/>
        </w:rPr>
        <w:t xml:space="preserve">本案例中的所有组织和个人均为虚构。公开统计数据仅用于建立市场和劳动力背景。本案例有意不指明首选解决方案。</w:t>
      </w:r>
    </w:p>
    <w:p>
      <w:pPr>
        <w:pStyle w:val="BodyText"/>
      </w:pPr>
      <w:r>
        <w:rPr>
          <w:rFonts w:hint="eastAsia"/>
        </w:rPr>
        <w:t xml:space="preserve">2026年7月的一个周一早上7点15分，BrightNest</w:t>
      </w:r>
      <w:r>
        <w:t xml:space="preserve"> Home </w:t>
      </w:r>
      <w:r>
        <w:rPr>
          <w:rFonts w:hint="eastAsia"/>
        </w:rPr>
        <w:t xml:space="preserve">Services的创始人兼首席执行官Maya</w:t>
      </w:r>
      <w:r>
        <w:t xml:space="preserve"> </w:t>
      </w:r>
      <w:r>
        <w:rPr>
          <w:rFonts w:hint="eastAsia"/>
        </w:rPr>
        <w:t xml:space="preserve">Chen打开了一个仪表盘，这个仪表盘似乎同时印证了她所创建公司的前景与危险。在其三个试点市场中，过去六周内有2,840户家庭申请了首次清洁服务。然而BrightNest只完成了1,910次预约。近五分之一的顾客等待时间超过七天，14%的预约工作在清洁工取消或未能确认后被重新分配。</w:t>
      </w:r>
    </w:p>
    <w:p>
      <w:pPr>
        <w:pStyle w:val="BodyText"/>
      </w:pPr>
      <w:r>
        <w:rPr>
          <w:rFonts w:hint="eastAsia"/>
        </w:rPr>
        <w:t xml:space="preserve">该公司已筹集了1,800万美元用于打造一项技术赋能的家政清洁服务。顾客可以通过应用程序申请一次性或定期清洁服务，即时获得报价，选择时间窗口，并对工作进行评分。BrightNest计划通过一个全国性求职平台招募清洁工，该平台可以在美国每个主要劳动力市场发布灵活的清洁工作机会。这一概念看起来具有可扩展性：广告可以带来顾客，求职平台可以带来工人。但经济账并不那么容易平衡。</w:t>
      </w:r>
    </w:p>
    <w:p>
      <w:pPr>
        <w:pStyle w:val="BodyText"/>
      </w:pPr>
      <w:r>
        <w:rPr>
          <w:rFonts w:hint="eastAsia"/>
        </w:rPr>
        <w:t xml:space="preserve">BrightNest标准首次清洁的平均收费为168美元，定期上门清洁为142美元。为了吸引顾客，公司测试了从20美元到40%不等的折扣。为了吸引清洁工，公司宣传的活跃清洁时薪为24至30美元，并提供灵活排班、即时付款以及部分地区的里程补贴。计入交通时间、工资税或承包商费用、保险、获客支出、清洁用品、退款和支持成本后，若干顾客-清洁工组合出现了亏损。</w:t>
      </w:r>
    </w:p>
    <w:p>
      <w:pPr>
        <w:pStyle w:val="BodyText"/>
      </w:pPr>
      <w:r>
        <w:rPr>
          <w:rFonts w:hint="eastAsia"/>
        </w:rPr>
        <w:t xml:space="preserve">Chen已向董事会承诺在四周内提供启动建议。董事会希望了解BrightNest应进入五个精心挑选的大都市区、利用求职平台在25个城市启动，还是在全国范围内开放并让供需自然形成。这一决策取决于市场规模之外的更多因素。BrightNest需要在每个社区、在合适的时段拥有足够的清洁工，他们要有可靠的交通工具和适当的设备。公司还需要顾客的支付意愿能够支撑有吸引力的薪酬水平。</w:t>
      </w:r>
    </w:p>
    <w:bookmarkStart w:id="9" w:name="一个庞大但难以衡量的市场"/>
    <w:p>
      <w:pPr>
        <w:pStyle w:val="Heading1"/>
      </w:pPr>
      <w:r>
        <w:rPr>
          <w:rFonts w:hint="eastAsia"/>
        </w:rPr>
        <w:t xml:space="preserve">一个庞大但难以衡量的市场</w:t>
      </w:r>
    </w:p>
    <w:p>
      <w:pPr>
        <w:pStyle w:val="FirstParagraph"/>
      </w:pPr>
      <w:r>
        <w:rPr>
          <w:rFonts w:hint="eastAsia"/>
        </w:rPr>
        <w:t xml:space="preserve">家政清洁属于一个分散的市场，其中包括本地公司、加盟商、个体经营者、非正式安排以及应用程序中介服务。2020年代中期，美国约有1.32亿户家庭。BrightNest估计，5%至12%的家庭每年至少购买一次付费家政清洁服务，而每周或每两周购买一次服务的比例要小得多。由于许多交易涉及个体经营者或非正式安排，全国性收入很难直接观测。</w:t>
      </w:r>
    </w:p>
    <w:p>
      <w:pPr>
        <w:pStyle w:val="BodyText"/>
      </w:pPr>
      <w:r>
        <w:rPr>
          <w:rFonts w:hint="eastAsia"/>
        </w:rPr>
        <w:t xml:space="preserve">人口普查数据显示了独立服务提供者在相邻清洁工作中的重要性：2023年，清洁服务行业的个体经营者产生了约200亿美元的营业收入。BrightNest认为住宅清洁代表着一个数十亿美元级别的机会，但管理层就以能够支撑质量、保险和可靠劳动力的价格水平面向品牌应用程序的可服务市场规模存在激烈分歧。</w:t>
      </w:r>
    </w:p>
    <w:bookmarkEnd w:id="9"/>
    <w:bookmarkStart w:id="11" w:name="获客机器"/>
    <w:p>
      <w:pPr>
        <w:pStyle w:val="Heading1"/>
      </w:pPr>
      <w:r>
        <w:rPr>
          <w:rFonts w:hint="eastAsia"/>
        </w:rPr>
        <w:t xml:space="preserve">获客机器</w:t>
      </w:r>
    </w:p>
    <w:p>
      <w:pPr>
        <w:pStyle w:val="FirstParagraph"/>
      </w:pPr>
      <w:r>
        <w:rPr>
          <w:rFonts w:hint="eastAsia"/>
        </w:rPr>
        <w:t xml:space="preserve">增长团队围绕四个渠道组织获客工作：付费搜索、社交媒体、本地数字市场以及社区推荐计划。每个渠道产生不同的顾客组合。搜索广告吸引有即时意向的人群，但成本高昂。社交媒体能低成本产生潜在客户，但预约转化率低。推荐信用能带来回头客，但需要时间来发展。与公寓管理者、房地产经纪人和雇主的合作能提供更大规模的需求，但通常需要折扣或服务保证。</w:t>
      </w:r>
    </w:p>
    <w:p>
      <w:pPr>
        <w:pStyle w:val="BodyText"/>
      </w:pPr>
      <w:r>
        <w:rPr>
          <w:rFonts w:hint="eastAsia"/>
        </w:rPr>
        <w:t xml:space="preserve">首次清洁折扣引发了最大的分歧。首席增长官认为，打折的首次上门服务能降低顾客的感知风险，并为公司提供将其转化为定期服务的机会。首席财务官则认为大幅折扣是一种吸引价格敏感型顾客的机制，而这些顾客可能永远不会再次下单。运营经理担心促销活动可能在本地清洁工储备尚未准备好之前造成预约激增。</w:t>
      </w:r>
    </w:p>
    <w:bookmarkStart w:id="10" w:name="图表-1.-试点获客结果"/>
    <w:p>
      <w:pPr>
        <w:pStyle w:val="Heading2"/>
      </w:pPr>
      <w:r>
        <w:rPr>
          <w:rFonts w:hint="eastAsia"/>
        </w:rPr>
        <w:t xml:space="preserve">图表</w:t>
      </w:r>
      <w:r>
        <w:t xml:space="preserve"> 1. </w:t>
      </w:r>
      <w:r>
        <w:rPr>
          <w:rFonts w:hint="eastAsia"/>
        </w:rPr>
        <w:t xml:space="preserve">试点获客结果</w:t>
      </w:r>
    </w:p>
    <w:tbl>
      <w:tblPr>
        <w:tblStyle w:val="Table"/>
        <w:tblW w:type="pct" w:w="4922"/>
        <w:tblLayout w:type="fixed"/>
        <w:tblLook w:firstRow="1" w:lastRow="0" w:firstColumn="0" w:lastColumn="0" w:noHBand="0" w:noVBand="0" w:val="0020"/>
      </w:tblPr>
      <w:tblGrid>
        <w:gridCol w:w="1794"/>
        <w:gridCol w:w="1856"/>
        <w:gridCol w:w="1175"/>
        <w:gridCol w:w="1299"/>
        <w:gridCol w:w="1670"/>
      </w:tblGrid>
      <w:tr>
        <w:trPr>
          <w:tblHeader w:val="on"/>
        </w:trPr>
        <w:tc>
          <w:tcPr/>
          <w:p>
            <w:pPr>
              <w:pStyle w:val="Compact"/>
              <w:jc w:val="left"/>
            </w:pPr>
            <w:r>
              <w:rPr>
                <w:rFonts w:hint="eastAsia"/>
              </w:rPr>
              <w:t xml:space="preserve">渠道</w:t>
            </w:r>
          </w:p>
        </w:tc>
        <w:tc>
          <w:tcPr/>
          <w:p>
            <w:pPr>
              <w:pStyle w:val="Compact"/>
              <w:jc w:val="center"/>
            </w:pPr>
            <w:r>
              <w:rPr>
                <w:rFonts w:hint="eastAsia"/>
              </w:rPr>
              <w:t xml:space="preserve">每次预约首次清洁的成本</w:t>
            </w:r>
          </w:p>
        </w:tc>
        <w:tc>
          <w:tcPr/>
          <w:p>
            <w:pPr>
              <w:pStyle w:val="Compact"/>
              <w:jc w:val="center"/>
            </w:pPr>
            <w:r>
              <w:rPr>
                <w:rFonts w:hint="eastAsia"/>
              </w:rPr>
              <w:t xml:space="preserve">平均折扣</w:t>
            </w:r>
          </w:p>
        </w:tc>
        <w:tc>
          <w:tcPr/>
          <w:p>
            <w:pPr>
              <w:pStyle w:val="Compact"/>
              <w:jc w:val="center"/>
            </w:pPr>
            <w:r>
              <w:rPr>
                <w:rFonts w:hint="eastAsia"/>
              </w:rPr>
              <w:t xml:space="preserve">30天内复购率</w:t>
            </w:r>
          </w:p>
        </w:tc>
        <w:tc>
          <w:tcPr/>
          <w:p>
            <w:pPr>
              <w:pStyle w:val="Compact"/>
              <w:jc w:val="center"/>
            </w:pPr>
            <w:r>
              <w:rPr>
                <w:rFonts w:hint="eastAsia"/>
              </w:rPr>
              <w:t xml:space="preserve">取消/退款率</w:t>
            </w:r>
          </w:p>
        </w:tc>
      </w:tr>
      <w:tr>
        <w:tc>
          <w:tcPr/>
          <w:p>
            <w:pPr>
              <w:pStyle w:val="Compact"/>
              <w:jc w:val="left"/>
            </w:pPr>
            <w:r>
              <w:rPr>
                <w:rFonts w:hint="eastAsia"/>
              </w:rPr>
              <w:t xml:space="preserve">付费搜索</w:t>
            </w:r>
          </w:p>
        </w:tc>
        <w:tc>
          <w:tcPr/>
          <w:p>
            <w:pPr>
              <w:pStyle w:val="Compact"/>
              <w:jc w:val="center"/>
            </w:pPr>
            <w:r>
              <w:rPr>
                <w:rFonts w:hint="eastAsia"/>
              </w:rPr>
              <w:t xml:space="preserve">72美元</w:t>
            </w:r>
          </w:p>
        </w:tc>
        <w:tc>
          <w:tcPr/>
          <w:p>
            <w:pPr>
              <w:pStyle w:val="Compact"/>
              <w:jc w:val="center"/>
            </w:pPr>
            <w:r>
              <w:t xml:space="preserve">25%</w:t>
            </w:r>
          </w:p>
        </w:tc>
        <w:tc>
          <w:tcPr/>
          <w:p>
            <w:pPr>
              <w:pStyle w:val="Compact"/>
              <w:jc w:val="center"/>
            </w:pPr>
            <w:r>
              <w:t xml:space="preserve">31%</w:t>
            </w:r>
          </w:p>
        </w:tc>
        <w:tc>
          <w:tcPr/>
          <w:p>
            <w:pPr>
              <w:pStyle w:val="Compact"/>
              <w:jc w:val="center"/>
            </w:pPr>
            <w:r>
              <w:t xml:space="preserve">9%</w:t>
            </w:r>
          </w:p>
        </w:tc>
      </w:tr>
      <w:tr>
        <w:tc>
          <w:tcPr/>
          <w:p>
            <w:pPr>
              <w:pStyle w:val="Compact"/>
              <w:jc w:val="left"/>
            </w:pPr>
            <w:r>
              <w:rPr>
                <w:rFonts w:hint="eastAsia"/>
              </w:rPr>
              <w:t xml:space="preserve">社交媒体</w:t>
            </w:r>
          </w:p>
        </w:tc>
        <w:tc>
          <w:tcPr/>
          <w:p>
            <w:pPr>
              <w:pStyle w:val="Compact"/>
              <w:jc w:val="center"/>
            </w:pPr>
            <w:r>
              <w:rPr>
                <w:rFonts w:hint="eastAsia"/>
              </w:rPr>
              <w:t xml:space="preserve">48美元</w:t>
            </w:r>
          </w:p>
        </w:tc>
        <w:tc>
          <w:tcPr/>
          <w:p>
            <w:pPr>
              <w:pStyle w:val="Compact"/>
              <w:jc w:val="center"/>
            </w:pPr>
            <w:r>
              <w:t xml:space="preserve">35%</w:t>
            </w:r>
          </w:p>
        </w:tc>
        <w:tc>
          <w:tcPr/>
          <w:p>
            <w:pPr>
              <w:pStyle w:val="Compact"/>
              <w:jc w:val="center"/>
            </w:pPr>
            <w:r>
              <w:t xml:space="preserve">18%</w:t>
            </w:r>
          </w:p>
        </w:tc>
        <w:tc>
          <w:tcPr/>
          <w:p>
            <w:pPr>
              <w:pStyle w:val="Compact"/>
              <w:jc w:val="center"/>
            </w:pPr>
            <w:r>
              <w:t xml:space="preserve">14%</w:t>
            </w:r>
          </w:p>
        </w:tc>
      </w:tr>
      <w:tr>
        <w:tc>
          <w:tcPr/>
          <w:p>
            <w:pPr>
              <w:pStyle w:val="Compact"/>
              <w:jc w:val="left"/>
            </w:pPr>
            <w:r>
              <w:rPr>
                <w:rFonts w:hint="eastAsia"/>
              </w:rPr>
              <w:t xml:space="preserve">社区推荐</w:t>
            </w:r>
          </w:p>
        </w:tc>
        <w:tc>
          <w:tcPr/>
          <w:p>
            <w:pPr>
              <w:pStyle w:val="Compact"/>
              <w:jc w:val="center"/>
            </w:pPr>
            <w:r>
              <w:rPr>
                <w:rFonts w:hint="eastAsia"/>
              </w:rPr>
              <w:t xml:space="preserve">39美元</w:t>
            </w:r>
          </w:p>
        </w:tc>
        <w:tc>
          <w:tcPr/>
          <w:p>
            <w:pPr>
              <w:pStyle w:val="Compact"/>
              <w:jc w:val="center"/>
            </w:pPr>
            <w:r>
              <w:t xml:space="preserve">15%</w:t>
            </w:r>
          </w:p>
        </w:tc>
        <w:tc>
          <w:tcPr/>
          <w:p>
            <w:pPr>
              <w:pStyle w:val="Compact"/>
              <w:jc w:val="center"/>
            </w:pPr>
            <w:r>
              <w:t xml:space="preserve">46%</w:t>
            </w:r>
          </w:p>
        </w:tc>
        <w:tc>
          <w:tcPr/>
          <w:p>
            <w:pPr>
              <w:pStyle w:val="Compact"/>
              <w:jc w:val="center"/>
            </w:pPr>
            <w:r>
              <w:t xml:space="preserve">6%</w:t>
            </w:r>
          </w:p>
        </w:tc>
      </w:tr>
      <w:tr>
        <w:tc>
          <w:tcPr/>
          <w:p>
            <w:pPr>
              <w:pStyle w:val="Compact"/>
              <w:jc w:val="left"/>
            </w:pPr>
            <w:r>
              <w:rPr>
                <w:rFonts w:hint="eastAsia"/>
              </w:rPr>
              <w:t xml:space="preserve">物业/雇主合作伙伴</w:t>
            </w:r>
          </w:p>
        </w:tc>
        <w:tc>
          <w:tcPr/>
          <w:p>
            <w:pPr>
              <w:pStyle w:val="Compact"/>
              <w:jc w:val="center"/>
            </w:pPr>
            <w:r>
              <w:rPr>
                <w:rFonts w:hint="eastAsia"/>
              </w:rPr>
              <w:t xml:space="preserve">61美元</w:t>
            </w:r>
          </w:p>
        </w:tc>
        <w:tc>
          <w:tcPr/>
          <w:p>
            <w:pPr>
              <w:pStyle w:val="Compact"/>
              <w:jc w:val="center"/>
            </w:pPr>
            <w:r>
              <w:t xml:space="preserve">22%</w:t>
            </w:r>
          </w:p>
        </w:tc>
        <w:tc>
          <w:tcPr/>
          <w:p>
            <w:pPr>
              <w:pStyle w:val="Compact"/>
              <w:jc w:val="center"/>
            </w:pPr>
            <w:r>
              <w:t xml:space="preserve">38%</w:t>
            </w:r>
          </w:p>
        </w:tc>
        <w:tc>
          <w:tcPr/>
          <w:p>
            <w:pPr>
              <w:pStyle w:val="Compact"/>
              <w:jc w:val="center"/>
            </w:pPr>
            <w:r>
              <w:t xml:space="preserve">7%</w:t>
            </w:r>
          </w:p>
        </w:tc>
      </w:tr>
      <w:tr>
        <w:tc>
          <w:tcPr/>
          <w:p>
            <w:pPr>
              <w:pStyle w:val="Compact"/>
              <w:jc w:val="left"/>
            </w:pPr>
            <w:r>
              <w:rPr>
                <w:rFonts w:hint="eastAsia"/>
              </w:rPr>
              <w:t xml:space="preserve">本地服务市场</w:t>
            </w:r>
          </w:p>
        </w:tc>
        <w:tc>
          <w:tcPr/>
          <w:p>
            <w:pPr>
              <w:pStyle w:val="Compact"/>
              <w:jc w:val="center"/>
            </w:pPr>
            <w:r>
              <w:rPr>
                <w:rFonts w:hint="eastAsia"/>
              </w:rPr>
              <w:t xml:space="preserve">84美元</w:t>
            </w:r>
          </w:p>
        </w:tc>
        <w:tc>
          <w:tcPr/>
          <w:p>
            <w:pPr>
              <w:pStyle w:val="Compact"/>
              <w:jc w:val="center"/>
            </w:pPr>
            <w:r>
              <w:t xml:space="preserve">18%</w:t>
            </w:r>
          </w:p>
        </w:tc>
        <w:tc>
          <w:tcPr/>
          <w:p>
            <w:pPr>
              <w:pStyle w:val="Compact"/>
              <w:jc w:val="center"/>
            </w:pPr>
            <w:r>
              <w:t xml:space="preserve">27%</w:t>
            </w:r>
          </w:p>
        </w:tc>
        <w:tc>
          <w:tcPr/>
          <w:p>
            <w:pPr>
              <w:pStyle w:val="Compact"/>
              <w:jc w:val="center"/>
            </w:pPr>
            <w:r>
              <w:t xml:space="preserve">12%</w:t>
            </w:r>
          </w:p>
        </w:tc>
      </w:tr>
    </w:tbl>
    <w:p>
      <w:pPr>
        <w:pStyle w:val="BodyText"/>
      </w:pPr>
      <w:r>
        <w:rPr>
          <w:rFonts w:hint="eastAsia"/>
        </w:rPr>
        <w:t xml:space="preserve">预约一次的顾客能立即带来收入，但长期价值不大。一位定期顾客一年可能预约12到24次，但前提是首次清洁达到预期，并且公司能提供一致的预约时间。BrightNest尚未了解顾客究竟忠诚于品牌、忠诚于某位特定清洁工，还是仅仅忠诚于最低的可获得价格。</w:t>
      </w:r>
    </w:p>
    <w:bookmarkEnd w:id="10"/>
    <w:bookmarkEnd w:id="11"/>
    <w:bookmarkStart w:id="13" w:name="需求估算"/>
    <w:p>
      <w:pPr>
        <w:pStyle w:val="Heading1"/>
      </w:pPr>
      <w:r>
        <w:rPr>
          <w:rFonts w:hint="eastAsia"/>
        </w:rPr>
        <w:t xml:space="preserve">需求估算</w:t>
      </w:r>
    </w:p>
    <w:p>
      <w:pPr>
        <w:pStyle w:val="FirstParagraph"/>
      </w:pPr>
      <w:r>
        <w:rPr>
          <w:rFonts w:hint="eastAsia"/>
        </w:rPr>
        <w:t xml:space="preserve">管理层构建了一个自上而下的需求估算。从约1.32亿美国家庭出发，假设7.5%的家庭一年内至少购买一次专业清洁服务。按平均六次上门、每次150美元计算，这意味着年度支出接近90亿美元。若采用更宽泛的假设——12%的参与率和每年八次上门——则意味着超过190亿美元。团队将这两个数字都标记为“市场假设”，而非预测。</w:t>
      </w:r>
    </w:p>
    <w:p>
      <w:pPr>
        <w:pStyle w:val="BodyText"/>
      </w:pPr>
      <w:r>
        <w:rPr>
          <w:rFonts w:hint="eastAsia"/>
        </w:rPr>
        <w:t xml:space="preserve">自下而上的估算则不那么乐观。在最初筛选的30个大都市区中，BrightNest识别出2,400万户家庭。根据收入、家庭构成、住房类型、数字购买行为和当地服务价格，公司将其中370万户归类为潜在的定期服务顾客。若能获取该群体1%的份额，将产生37,000名顾客。以每位顾客每年15次清洁计算，这将需要每年完成超过55万次上门服务——大约每个工作日2,200次。</w:t>
      </w:r>
    </w:p>
    <w:bookmarkStart w:id="12" w:name="图表-2.-全国需求情景示例"/>
    <w:p>
      <w:pPr>
        <w:pStyle w:val="Heading2"/>
      </w:pPr>
      <w:r>
        <w:rPr>
          <w:rFonts w:hint="eastAsia"/>
        </w:rPr>
        <w:t xml:space="preserve">图表</w:t>
      </w:r>
      <w:r>
        <w:t xml:space="preserve"> 2. </w:t>
      </w:r>
      <w:r>
        <w:rPr>
          <w:rFonts w:hint="eastAsia"/>
        </w:rPr>
        <w:t xml:space="preserve">全国需求情景示例</w:t>
      </w:r>
    </w:p>
    <w:tbl>
      <w:tblPr>
        <w:tblStyle w:val="Table"/>
        <w:tblW w:type="pct" w:w="4914"/>
        <w:tblLayout w:type="fixed"/>
        <w:tblLook w:firstRow="1" w:lastRow="0" w:firstColumn="0" w:lastColumn="0" w:noHBand="0" w:noVBand="0" w:val="0020"/>
      </w:tblPr>
      <w:tblGrid>
        <w:gridCol w:w="1024"/>
        <w:gridCol w:w="2253"/>
        <w:gridCol w:w="1638"/>
        <w:gridCol w:w="1092"/>
        <w:gridCol w:w="1775"/>
      </w:tblGrid>
      <w:tr>
        <w:trPr>
          <w:tblHeader w:val="on"/>
        </w:trPr>
        <w:tc>
          <w:tcPr/>
          <w:p>
            <w:pPr>
              <w:pStyle w:val="Compact"/>
              <w:jc w:val="left"/>
            </w:pPr>
            <w:r>
              <w:rPr>
                <w:rFonts w:hint="eastAsia"/>
              </w:rPr>
              <w:t xml:space="preserve">情景</w:t>
            </w:r>
          </w:p>
        </w:tc>
        <w:tc>
          <w:tcPr/>
          <w:p>
            <w:pPr>
              <w:pStyle w:val="Compact"/>
              <w:jc w:val="left"/>
            </w:pPr>
            <w:r>
              <w:rPr>
                <w:rFonts w:hint="eastAsia"/>
              </w:rPr>
              <w:t xml:space="preserve">使用付费清洁服务的家庭数</w:t>
            </w:r>
          </w:p>
        </w:tc>
        <w:tc>
          <w:tcPr/>
          <w:p>
            <w:pPr>
              <w:pStyle w:val="Compact"/>
              <w:jc w:val="center"/>
            </w:pPr>
            <w:r>
              <w:rPr>
                <w:rFonts w:hint="eastAsia"/>
              </w:rPr>
              <w:t xml:space="preserve">平均年度上门次数</w:t>
            </w:r>
          </w:p>
        </w:tc>
        <w:tc>
          <w:tcPr/>
          <w:p>
            <w:pPr>
              <w:pStyle w:val="Compact"/>
              <w:jc w:val="center"/>
            </w:pPr>
            <w:r>
              <w:rPr>
                <w:rFonts w:hint="eastAsia"/>
              </w:rPr>
              <w:t xml:space="preserve">平均价格</w:t>
            </w:r>
          </w:p>
        </w:tc>
        <w:tc>
          <w:tcPr/>
          <w:p>
            <w:pPr>
              <w:pStyle w:val="Compact"/>
              <w:jc w:val="center"/>
            </w:pPr>
            <w:r>
              <w:rPr>
                <w:rFonts w:hint="eastAsia"/>
              </w:rPr>
              <w:t xml:space="preserve">预估年度需求</w:t>
            </w:r>
          </w:p>
        </w:tc>
      </w:tr>
      <w:tr>
        <w:tc>
          <w:tcPr/>
          <w:p>
            <w:pPr>
              <w:pStyle w:val="Compact"/>
              <w:jc w:val="left"/>
            </w:pPr>
            <w:r>
              <w:rPr>
                <w:rFonts w:hint="eastAsia"/>
              </w:rPr>
              <w:t xml:space="preserve">保守情景</w:t>
            </w:r>
          </w:p>
        </w:tc>
        <w:tc>
          <w:tcPr/>
          <w:p>
            <w:pPr>
              <w:pStyle w:val="Compact"/>
              <w:jc w:val="left"/>
            </w:pPr>
            <w:r>
              <w:rPr>
                <w:rFonts w:hint="eastAsia"/>
              </w:rPr>
              <w:t xml:space="preserve">660万户（5%）</w:t>
            </w:r>
          </w:p>
        </w:tc>
        <w:tc>
          <w:tcPr/>
          <w:p>
            <w:pPr>
              <w:pStyle w:val="Compact"/>
              <w:jc w:val="center"/>
            </w:pPr>
            <w:r>
              <w:t xml:space="preserve">4</w:t>
            </w:r>
          </w:p>
        </w:tc>
        <w:tc>
          <w:tcPr/>
          <w:p>
            <w:pPr>
              <w:pStyle w:val="Compact"/>
              <w:jc w:val="center"/>
            </w:pPr>
            <w:r>
              <w:rPr>
                <w:rFonts w:hint="eastAsia"/>
              </w:rPr>
              <w:t xml:space="preserve">145美元</w:t>
            </w:r>
          </w:p>
        </w:tc>
        <w:tc>
          <w:tcPr/>
          <w:p>
            <w:pPr>
              <w:pStyle w:val="Compact"/>
              <w:jc w:val="center"/>
            </w:pPr>
            <w:r>
              <w:rPr>
                <w:rFonts w:hint="eastAsia"/>
              </w:rPr>
              <w:t xml:space="preserve">38亿美元</w:t>
            </w:r>
          </w:p>
        </w:tc>
      </w:tr>
      <w:tr>
        <w:tc>
          <w:tcPr/>
          <w:p>
            <w:pPr>
              <w:pStyle w:val="Compact"/>
              <w:jc w:val="left"/>
            </w:pPr>
            <w:r>
              <w:rPr>
                <w:rFonts w:hint="eastAsia"/>
              </w:rPr>
              <w:t xml:space="preserve">基准情景</w:t>
            </w:r>
          </w:p>
        </w:tc>
        <w:tc>
          <w:tcPr/>
          <w:p>
            <w:pPr>
              <w:pStyle w:val="Compact"/>
              <w:jc w:val="left"/>
            </w:pPr>
            <w:r>
              <w:rPr>
                <w:rFonts w:hint="eastAsia"/>
              </w:rPr>
              <w:t xml:space="preserve">990万户（7.5%）</w:t>
            </w:r>
          </w:p>
        </w:tc>
        <w:tc>
          <w:tcPr/>
          <w:p>
            <w:pPr>
              <w:pStyle w:val="Compact"/>
              <w:jc w:val="center"/>
            </w:pPr>
            <w:r>
              <w:t xml:space="preserve">6</w:t>
            </w:r>
          </w:p>
        </w:tc>
        <w:tc>
          <w:tcPr/>
          <w:p>
            <w:pPr>
              <w:pStyle w:val="Compact"/>
              <w:jc w:val="center"/>
            </w:pPr>
            <w:r>
              <w:rPr>
                <w:rFonts w:hint="eastAsia"/>
              </w:rPr>
              <w:t xml:space="preserve">150美元</w:t>
            </w:r>
          </w:p>
        </w:tc>
        <w:tc>
          <w:tcPr/>
          <w:p>
            <w:pPr>
              <w:pStyle w:val="Compact"/>
              <w:jc w:val="center"/>
            </w:pPr>
            <w:r>
              <w:rPr>
                <w:rFonts w:hint="eastAsia"/>
              </w:rPr>
              <w:t xml:space="preserve">89亿美元</w:t>
            </w:r>
          </w:p>
        </w:tc>
      </w:tr>
      <w:tr>
        <w:tc>
          <w:tcPr/>
          <w:p>
            <w:pPr>
              <w:pStyle w:val="Compact"/>
              <w:jc w:val="left"/>
            </w:pPr>
            <w:r>
              <w:rPr>
                <w:rFonts w:hint="eastAsia"/>
              </w:rPr>
              <w:t xml:space="preserve">高情景</w:t>
            </w:r>
          </w:p>
        </w:tc>
        <w:tc>
          <w:tcPr/>
          <w:p>
            <w:pPr>
              <w:pStyle w:val="Compact"/>
              <w:jc w:val="left"/>
            </w:pPr>
            <w:r>
              <w:rPr>
                <w:rFonts w:hint="eastAsia"/>
              </w:rPr>
              <w:t xml:space="preserve">1,580万户（12%）</w:t>
            </w:r>
          </w:p>
        </w:tc>
        <w:tc>
          <w:tcPr/>
          <w:p>
            <w:pPr>
              <w:pStyle w:val="Compact"/>
              <w:jc w:val="center"/>
            </w:pPr>
            <w:r>
              <w:t xml:space="preserve">8</w:t>
            </w:r>
          </w:p>
        </w:tc>
        <w:tc>
          <w:tcPr/>
          <w:p>
            <w:pPr>
              <w:pStyle w:val="Compact"/>
              <w:jc w:val="center"/>
            </w:pPr>
            <w:r>
              <w:rPr>
                <w:rFonts w:hint="eastAsia"/>
              </w:rPr>
              <w:t xml:space="preserve">155美元</w:t>
            </w:r>
          </w:p>
        </w:tc>
        <w:tc>
          <w:tcPr/>
          <w:p>
            <w:pPr>
              <w:pStyle w:val="Compact"/>
              <w:jc w:val="center"/>
            </w:pPr>
            <w:r>
              <w:rPr>
                <w:rFonts w:hint="eastAsia"/>
              </w:rPr>
              <w:t xml:space="preserve">196亿美元</w:t>
            </w:r>
          </w:p>
        </w:tc>
      </w:tr>
    </w:tbl>
    <w:bookmarkEnd w:id="12"/>
    <w:bookmarkEnd w:id="13"/>
    <w:bookmarkStart w:id="15" w:name="招募清洁工网络"/>
    <w:p>
      <w:pPr>
        <w:pStyle w:val="Heading1"/>
      </w:pPr>
      <w:r>
        <w:rPr>
          <w:rFonts w:hint="eastAsia"/>
        </w:rPr>
        <w:t xml:space="preserve">招募清洁工网络</w:t>
      </w:r>
    </w:p>
    <w:p>
      <w:pPr>
        <w:pStyle w:val="FirstParagraph"/>
      </w:pPr>
      <w:r>
        <w:rPr>
          <w:rFonts w:hint="eastAsia"/>
        </w:rPr>
        <w:t xml:space="preserve">BrightNest并不拥有清洁分支机构，也没有雇佣大型本地招聘团队。相反，公司计划通过WorkReach——一个虚构的全国求职应用程序——发布工作机会。申请人可以查看预估收入、选择偏好的工作区域和时段、上传身份和就业证明文件、完成背景调查、观看培训模块，并订购经批准的用品套件。</w:t>
      </w:r>
    </w:p>
    <w:p>
      <w:pPr>
        <w:pStyle w:val="BodyText"/>
      </w:pPr>
      <w:r>
        <w:rPr>
          <w:rFonts w:hint="eastAsia"/>
        </w:rPr>
        <w:t xml:space="preserve">全国劳动力储备看起来规模庞大。美国劳工统计局估计，截至2025年5月，全国有860,670名女佣及家政清洁工，平均时薪为17.83美元，中位时薪为17.07美元。2024年，建筑物及场地清洁类职业雇用了超过570万人，尽管其中大多数并不从事住宅清洁工作。这些数字表明存在劳动力供给，但并未回答有多少工人愿意接受由应用程序调度的、时间可变的家政清洁任务。</w:t>
      </w:r>
    </w:p>
    <w:p>
      <w:pPr>
        <w:pStyle w:val="BodyText"/>
      </w:pPr>
      <w:r>
        <w:rPr>
          <w:rFonts w:hint="eastAsia"/>
        </w:rPr>
        <w:t xml:space="preserve">这项工作对体力要求较高，某些模式下住宅之间的通勤时间不计薪酬，顾客有时还会要求在晚间或周末服务。申请人还会将BrightNest与酒店、医院、商业清洁公司、居家护理工作、配送平台和直接私人客户进行比较。每小时28美元的标称费率，对于一名花费75分钟通勤、购买用品、与顾客沟通或在工作之间等待的工人而言，实际到手金额可能要少得多。</w:t>
      </w:r>
    </w:p>
    <w:bookmarkStart w:id="14" w:name="图表-3.-试点清洁工漏斗"/>
    <w:p>
      <w:pPr>
        <w:pStyle w:val="Heading2"/>
      </w:pPr>
      <w:r>
        <w:rPr>
          <w:rFonts w:hint="eastAsia"/>
        </w:rPr>
        <w:t xml:space="preserve">图表</w:t>
      </w:r>
      <w:r>
        <w:t xml:space="preserve"> 3. </w:t>
      </w:r>
      <w:r>
        <w:rPr>
          <w:rFonts w:hint="eastAsia"/>
        </w:rPr>
        <w:t xml:space="preserve">试点清洁工漏斗</w:t>
      </w:r>
    </w:p>
    <w:tbl>
      <w:tblPr>
        <w:tblStyle w:val="Table"/>
        <w:tblW w:type="pct" w:w="4912"/>
        <w:tblLayout w:type="fixed"/>
        <w:tblLook w:firstRow="1" w:lastRow="0" w:firstColumn="0" w:lastColumn="0" w:noHBand="0" w:noVBand="0" w:val="0020"/>
      </w:tblPr>
      <w:tblGrid>
        <w:gridCol w:w="1962"/>
        <w:gridCol w:w="911"/>
        <w:gridCol w:w="1612"/>
        <w:gridCol w:w="3294"/>
      </w:tblGrid>
      <w:tr>
        <w:trPr>
          <w:tblHeader w:val="on"/>
        </w:trPr>
        <w:tc>
          <w:tcPr/>
          <w:p>
            <w:pPr>
              <w:pStyle w:val="Compact"/>
              <w:jc w:val="left"/>
            </w:pPr>
            <w:r>
              <w:rPr>
                <w:rFonts w:hint="eastAsia"/>
              </w:rPr>
              <w:t xml:space="preserve">阶段</w:t>
            </w:r>
          </w:p>
        </w:tc>
        <w:tc>
          <w:tcPr/>
          <w:p>
            <w:pPr>
              <w:pStyle w:val="Compact"/>
              <w:jc w:val="center"/>
            </w:pPr>
            <w:r>
              <w:rPr>
                <w:rFonts w:hint="eastAsia"/>
              </w:rPr>
              <w:t xml:space="preserve">申请人数</w:t>
            </w:r>
          </w:p>
        </w:tc>
        <w:tc>
          <w:tcPr/>
          <w:p>
            <w:pPr>
              <w:pStyle w:val="Compact"/>
              <w:jc w:val="center"/>
            </w:pPr>
            <w:r>
              <w:rPr>
                <w:rFonts w:hint="eastAsia"/>
              </w:rPr>
              <w:t xml:space="preserve">占上一阶段的比例</w:t>
            </w:r>
          </w:p>
        </w:tc>
        <w:tc>
          <w:tcPr/>
          <w:p>
            <w:pPr>
              <w:pStyle w:val="Compact"/>
              <w:jc w:val="center"/>
            </w:pPr>
            <w:r>
              <w:rPr>
                <w:rFonts w:hint="eastAsia"/>
              </w:rPr>
              <w:t xml:space="preserve">主要流失原因</w:t>
            </w:r>
          </w:p>
        </w:tc>
      </w:tr>
      <w:tr>
        <w:tc>
          <w:tcPr/>
          <w:p>
            <w:pPr>
              <w:pStyle w:val="Compact"/>
              <w:jc w:val="left"/>
            </w:pPr>
            <w:r>
              <w:rPr>
                <w:rFonts w:hint="eastAsia"/>
              </w:rPr>
              <w:t xml:space="preserve">点击招聘广告</w:t>
            </w:r>
          </w:p>
        </w:tc>
        <w:tc>
          <w:tcPr/>
          <w:p>
            <w:pPr>
              <w:pStyle w:val="Compact"/>
              <w:jc w:val="center"/>
            </w:pPr>
            <w:r>
              <w:t xml:space="preserve">18,400</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开始申请</w:t>
            </w:r>
          </w:p>
        </w:tc>
        <w:tc>
          <w:tcPr/>
          <w:p>
            <w:pPr>
              <w:pStyle w:val="Compact"/>
              <w:jc w:val="center"/>
            </w:pPr>
            <w:r>
              <w:t xml:space="preserve">7,920</w:t>
            </w:r>
          </w:p>
        </w:tc>
        <w:tc>
          <w:tcPr/>
          <w:p>
            <w:pPr>
              <w:pStyle w:val="Compact"/>
              <w:jc w:val="center"/>
            </w:pPr>
            <w:r>
              <w:t xml:space="preserve">43%</w:t>
            </w:r>
          </w:p>
        </w:tc>
        <w:tc>
          <w:tcPr/>
          <w:p>
            <w:pPr>
              <w:pStyle w:val="Compact"/>
              <w:jc w:val="center"/>
            </w:pPr>
            <w:r>
              <w:rPr>
                <w:rFonts w:hint="eastAsia"/>
              </w:rPr>
              <w:t xml:space="preserve">薪酬或地点不明确</w:t>
            </w:r>
          </w:p>
        </w:tc>
      </w:tr>
      <w:tr>
        <w:tc>
          <w:tcPr/>
          <w:p>
            <w:pPr>
              <w:pStyle w:val="Compact"/>
              <w:jc w:val="left"/>
            </w:pPr>
            <w:r>
              <w:rPr>
                <w:rFonts w:hint="eastAsia"/>
              </w:rPr>
              <w:t xml:space="preserve">通过筛选</w:t>
            </w:r>
          </w:p>
        </w:tc>
        <w:tc>
          <w:tcPr/>
          <w:p>
            <w:pPr>
              <w:pStyle w:val="Compact"/>
              <w:jc w:val="center"/>
            </w:pPr>
            <w:r>
              <w:t xml:space="preserve">4,110</w:t>
            </w:r>
          </w:p>
        </w:tc>
        <w:tc>
          <w:tcPr/>
          <w:p>
            <w:pPr>
              <w:pStyle w:val="Compact"/>
              <w:jc w:val="center"/>
            </w:pPr>
            <w:r>
              <w:t xml:space="preserve">52%</w:t>
            </w:r>
          </w:p>
        </w:tc>
        <w:tc>
          <w:tcPr/>
          <w:p>
            <w:pPr>
              <w:pStyle w:val="Compact"/>
              <w:jc w:val="center"/>
            </w:pPr>
            <w:r>
              <w:rPr>
                <w:rFonts w:hint="eastAsia"/>
              </w:rPr>
              <w:t xml:space="preserve">证件/背景调查</w:t>
            </w:r>
          </w:p>
        </w:tc>
      </w:tr>
      <w:tr>
        <w:tc>
          <w:tcPr/>
          <w:p>
            <w:pPr>
              <w:pStyle w:val="Compact"/>
              <w:jc w:val="left"/>
            </w:pPr>
            <w:r>
              <w:rPr>
                <w:rFonts w:hint="eastAsia"/>
              </w:rPr>
              <w:t xml:space="preserve">完成培训</w:t>
            </w:r>
          </w:p>
        </w:tc>
        <w:tc>
          <w:tcPr/>
          <w:p>
            <w:pPr>
              <w:pStyle w:val="Compact"/>
              <w:jc w:val="center"/>
            </w:pPr>
            <w:r>
              <w:t xml:space="preserve">2,380</w:t>
            </w:r>
          </w:p>
        </w:tc>
        <w:tc>
          <w:tcPr/>
          <w:p>
            <w:pPr>
              <w:pStyle w:val="Compact"/>
              <w:jc w:val="center"/>
            </w:pPr>
            <w:r>
              <w:t xml:space="preserve">58%</w:t>
            </w:r>
          </w:p>
        </w:tc>
        <w:tc>
          <w:tcPr/>
          <w:p>
            <w:pPr>
              <w:pStyle w:val="Compact"/>
              <w:jc w:val="center"/>
            </w:pPr>
            <w:r>
              <w:rPr>
                <w:rFonts w:hint="eastAsia"/>
              </w:rPr>
              <w:t xml:space="preserve">时间和设备要求</w:t>
            </w:r>
          </w:p>
        </w:tc>
      </w:tr>
      <w:tr>
        <w:tc>
          <w:tcPr/>
          <w:p>
            <w:pPr>
              <w:pStyle w:val="Compact"/>
              <w:jc w:val="left"/>
            </w:pPr>
            <w:r>
              <w:rPr>
                <w:rFonts w:hint="eastAsia"/>
              </w:rPr>
              <w:t xml:space="preserve">接受首个工作</w:t>
            </w:r>
          </w:p>
        </w:tc>
        <w:tc>
          <w:tcPr/>
          <w:p>
            <w:pPr>
              <w:pStyle w:val="Compact"/>
              <w:jc w:val="center"/>
            </w:pPr>
            <w:r>
              <w:t xml:space="preserve">1,420</w:t>
            </w:r>
          </w:p>
        </w:tc>
        <w:tc>
          <w:tcPr/>
          <w:p>
            <w:pPr>
              <w:pStyle w:val="Compact"/>
              <w:jc w:val="center"/>
            </w:pPr>
            <w:r>
              <w:t xml:space="preserve">60%</w:t>
            </w:r>
          </w:p>
        </w:tc>
        <w:tc>
          <w:tcPr/>
          <w:p>
            <w:pPr>
              <w:pStyle w:val="Compact"/>
              <w:jc w:val="center"/>
            </w:pPr>
            <w:r>
              <w:rPr>
                <w:rFonts w:hint="eastAsia"/>
              </w:rPr>
              <w:t xml:space="preserve">交通或时间安排不匹配</w:t>
            </w:r>
          </w:p>
        </w:tc>
      </w:tr>
      <w:tr>
        <w:tc>
          <w:tcPr/>
          <w:p>
            <w:pPr>
              <w:pStyle w:val="Compact"/>
              <w:jc w:val="left"/>
            </w:pPr>
            <w:r>
              <w:rPr>
                <w:rFonts w:hint="eastAsia"/>
              </w:rPr>
              <w:t xml:space="preserve">60天后仍活跃</w:t>
            </w:r>
          </w:p>
        </w:tc>
        <w:tc>
          <w:tcPr/>
          <w:p>
            <w:pPr>
              <w:pStyle w:val="Compact"/>
              <w:jc w:val="center"/>
            </w:pPr>
            <w:r>
              <w:t xml:space="preserve">690</w:t>
            </w:r>
          </w:p>
        </w:tc>
        <w:tc>
          <w:tcPr/>
          <w:p>
            <w:pPr>
              <w:pStyle w:val="Compact"/>
              <w:jc w:val="center"/>
            </w:pPr>
            <w:r>
              <w:t xml:space="preserve">49%</w:t>
            </w:r>
          </w:p>
        </w:tc>
        <w:tc>
          <w:tcPr/>
          <w:p>
            <w:pPr>
              <w:pStyle w:val="Compact"/>
              <w:jc w:val="center"/>
            </w:pPr>
            <w:r>
              <w:rPr>
                <w:rFonts w:hint="eastAsia"/>
              </w:rPr>
              <w:t xml:space="preserve">工时不稳定、通勤、顾客评分</w:t>
            </w:r>
          </w:p>
        </w:tc>
      </w:tr>
    </w:tbl>
    <w:p>
      <w:pPr>
        <w:pStyle w:val="BodyText"/>
      </w:pPr>
      <w:r>
        <w:rPr>
          <w:rFonts w:hint="eastAsia"/>
        </w:rPr>
        <w:t xml:space="preserve">运营部门提议，对于预留六小时时段的清洁工，即使需求不足，也保证最低120美元的收入。财务部门估计，这种保证措施可能提高接受率和留存率，但会在市场启动期间产生大量闲置时间成本。另一项提议是让清洁工自行定价。增长部门经理反对这一提议，理由是顾客期望获得简单、统一的报价。</w:t>
      </w:r>
    </w:p>
    <w:bookmarkEnd w:id="14"/>
    <w:bookmarkEnd w:id="15"/>
    <w:bookmarkStart w:id="16" w:name="用工模式与移民政策不确定性"/>
    <w:p>
      <w:pPr>
        <w:pStyle w:val="Heading1"/>
      </w:pPr>
      <w:r>
        <w:rPr>
          <w:rFonts w:hint="eastAsia"/>
        </w:rPr>
        <w:t xml:space="preserve">用工模式与移民政策不确定性</w:t>
      </w:r>
    </w:p>
    <w:p>
      <w:pPr>
        <w:pStyle w:val="FirstParagraph"/>
      </w:pPr>
      <w:r>
        <w:rPr>
          <w:rFonts w:hint="eastAsia"/>
        </w:rPr>
        <w:t xml:space="preserve">法务团队警告称，BrightNest必须决定清洁工究竟是雇员、独立承包商，还是因州而异的混合模式。这一答案会影响公司对排班、培训、用品、保险、工资税、福利及就业核实的控制程度。如果清洁工被认定为雇员，联邦法律要求公司为每一位雇员完成I-9表格，无论其公民身份或原国籍如何。各州规定可能施加额外要求，或使承包商分类变得困难。</w:t>
      </w:r>
    </w:p>
    <w:p>
      <w:pPr>
        <w:pStyle w:val="BodyText"/>
      </w:pPr>
      <w:r>
        <w:rPr>
          <w:rFonts w:hint="eastAsia"/>
        </w:rPr>
        <w:t xml:space="preserve">劳动力供给也受到移民政策的影响。2025年，外国出生的工人比本土出生的工人更可能从事服务性职业——比例分别为21.2%和15.6%。BrightNest没有关于其潜在清洁工出生地或身份状态的可靠数据，管理层一致认为不能从语言、外貌或职业推断工作授权状态。尽管如此，移民执法力度加强、授权项目变化以及对执法的担忧，可能会在某些本地服务劳动力市场中减少申请或降低流动性，其中甚至包括那些完全获得工作授权、但担心家人或社区受到牵连的人。</w:t>
      </w:r>
    </w:p>
    <w:p>
      <w:pPr>
        <w:pStyle w:val="BodyText"/>
      </w:pPr>
      <w:r>
        <w:rPr>
          <w:rFonts w:hint="eastAsia"/>
        </w:rPr>
        <w:t xml:space="preserve">公司还面临一种相关的声誉风险。超出法律要求的激进核查可能会吓退合格工人，并招致歧视指控。而薄弱的管控则可能使公司面临处罚、顾客担忧和运营中断。全国性的启动将使这些问题在不同州劳动法和地方劳动力市场条件下成倍放大。</w:t>
      </w:r>
    </w:p>
    <w:bookmarkEnd w:id="16"/>
    <w:bookmarkStart w:id="18" w:name="工具产品与服务质量"/>
    <w:p>
      <w:pPr>
        <w:pStyle w:val="Heading1"/>
      </w:pPr>
      <w:r>
        <w:rPr>
          <w:rFonts w:hint="eastAsia"/>
        </w:rPr>
        <w:t xml:space="preserve">工具、产品与服务质量</w:t>
      </w:r>
    </w:p>
    <w:p>
      <w:pPr>
        <w:pStyle w:val="FirstParagraph"/>
      </w:pPr>
      <w:r>
        <w:rPr>
          <w:rFonts w:hint="eastAsia"/>
        </w:rPr>
        <w:t xml:space="preserve">BrightNest最初要求清洁工自备吸尘器、拖把、基本工具和经批准的清洁产品。申请人可以通过工资扣款购买一套310美元的入门套件，或在完成20次工作后获得150美元的设备补贴。对清洁工的访谈表明，这一政策造成了三个问题。一些申请人缺乏购买设备的现金或储存空间。另一些人已经拥有自己偏好的产品，并对购买标准化套件感到不满。顾客有时会要求无香型、宠物安全或环保认证的产品，而这些并不在标准套件中。</w:t>
      </w:r>
    </w:p>
    <w:p>
      <w:pPr>
        <w:pStyle w:val="BodyText"/>
      </w:pPr>
      <w:r>
        <w:rPr>
          <w:rFonts w:hint="eastAsia"/>
        </w:rPr>
        <w:t xml:space="preserve">运营团队考虑了四种用品模式：清洁工自备设备；公司资助的入门套件；本地用品储物柜；以及每次预约由公司提供并配送的套件。每种模式都会改变经济效益、质量管控以及员工分类的争论。公司自有设备提高了一致性，但也增加了库存、维护、清洁、盗窃和最后一公里物流方面的负担。</w:t>
      </w:r>
    </w:p>
    <w:bookmarkStart w:id="17" w:name="图表-4.-清洁工薪酬与单位经济效益"/>
    <w:p>
      <w:pPr>
        <w:pStyle w:val="Heading2"/>
      </w:pPr>
      <w:r>
        <w:rPr>
          <w:rFonts w:hint="eastAsia"/>
        </w:rPr>
        <w:t xml:space="preserve">图表</w:t>
      </w:r>
      <w:r>
        <w:t xml:space="preserve"> 4. </w:t>
      </w:r>
      <w:r>
        <w:rPr>
          <w:rFonts w:hint="eastAsia"/>
        </w:rPr>
        <w:t xml:space="preserve">清洁工薪酬与单位经济效益</w:t>
      </w:r>
    </w:p>
    <w:tbl>
      <w:tblPr>
        <w:tblStyle w:val="Table"/>
        <w:tblW w:type="pct" w:w="4896"/>
        <w:tblLayout w:type="fixed"/>
        <w:tblLook w:firstRow="1" w:lastRow="0" w:firstColumn="0" w:lastColumn="0" w:noHBand="0" w:noVBand="0" w:val="0020"/>
      </w:tblPr>
      <w:tblGrid>
        <w:gridCol w:w="3300"/>
        <w:gridCol w:w="2227"/>
        <w:gridCol w:w="2227"/>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标准定期清洁</w:t>
            </w:r>
          </w:p>
        </w:tc>
        <w:tc>
          <w:tcPr/>
          <w:p>
            <w:pPr>
              <w:pStyle w:val="Compact"/>
              <w:jc w:val="center"/>
            </w:pPr>
            <w:r>
              <w:rPr>
                <w:rFonts w:hint="eastAsia"/>
              </w:rPr>
              <w:t xml:space="preserve">折扣首次清洁</w:t>
            </w:r>
          </w:p>
        </w:tc>
      </w:tr>
      <w:tr>
        <w:tc>
          <w:tcPr/>
          <w:p>
            <w:pPr>
              <w:pStyle w:val="Compact"/>
              <w:jc w:val="left"/>
            </w:pPr>
            <w:r>
              <w:rPr>
                <w:rFonts w:hint="eastAsia"/>
              </w:rPr>
              <w:t xml:space="preserve">顾客价格</w:t>
            </w:r>
          </w:p>
        </w:tc>
        <w:tc>
          <w:tcPr/>
          <w:p>
            <w:pPr>
              <w:pStyle w:val="Compact"/>
              <w:jc w:val="left"/>
            </w:pPr>
            <w:r>
              <w:rPr>
                <w:rFonts w:hint="eastAsia"/>
              </w:rPr>
              <w:t xml:space="preserve">142美元</w:t>
            </w:r>
          </w:p>
        </w:tc>
        <w:tc>
          <w:tcPr/>
          <w:p>
            <w:pPr>
              <w:pStyle w:val="Compact"/>
              <w:jc w:val="center"/>
            </w:pPr>
            <w:r>
              <w:rPr>
                <w:rFonts w:hint="eastAsia"/>
              </w:rPr>
              <w:t xml:space="preserve">107美元（25%折扣）</w:t>
            </w:r>
          </w:p>
        </w:tc>
      </w:tr>
      <w:tr>
        <w:tc>
          <w:tcPr/>
          <w:p>
            <w:pPr>
              <w:pStyle w:val="Compact"/>
              <w:jc w:val="left"/>
            </w:pPr>
            <w:r>
              <w:rPr>
                <w:rFonts w:hint="eastAsia"/>
              </w:rPr>
              <w:t xml:space="preserve">清洁工活跃工作时间</w:t>
            </w:r>
          </w:p>
        </w:tc>
        <w:tc>
          <w:tcPr/>
          <w:p>
            <w:pPr>
              <w:pStyle w:val="Compact"/>
              <w:jc w:val="left"/>
            </w:pPr>
            <w:r>
              <w:rPr>
                <w:rFonts w:hint="eastAsia"/>
              </w:rPr>
              <w:t xml:space="preserve">3.0小时</w:t>
            </w:r>
          </w:p>
        </w:tc>
        <w:tc>
          <w:tcPr/>
          <w:p>
            <w:pPr>
              <w:pStyle w:val="Compact"/>
              <w:jc w:val="center"/>
            </w:pPr>
            <w:r>
              <w:rPr>
                <w:rFonts w:hint="eastAsia"/>
              </w:rPr>
              <w:t xml:space="preserve">3.5小时</w:t>
            </w:r>
          </w:p>
        </w:tc>
      </w:tr>
      <w:tr>
        <w:tc>
          <w:tcPr/>
          <w:p>
            <w:pPr>
              <w:pStyle w:val="Compact"/>
              <w:jc w:val="left"/>
            </w:pPr>
            <w:r>
              <w:rPr>
                <w:rFonts w:hint="eastAsia"/>
              </w:rPr>
              <w:t xml:space="preserve">清洁工薪酬</w:t>
            </w:r>
          </w:p>
        </w:tc>
        <w:tc>
          <w:tcPr/>
          <w:p>
            <w:pPr>
              <w:pStyle w:val="Compact"/>
              <w:jc w:val="left"/>
            </w:pPr>
            <w:r>
              <w:rPr>
                <w:rFonts w:hint="eastAsia"/>
              </w:rPr>
              <w:t xml:space="preserve">78美元</w:t>
            </w:r>
          </w:p>
        </w:tc>
        <w:tc>
          <w:tcPr/>
          <w:p>
            <w:pPr>
              <w:pStyle w:val="Compact"/>
              <w:jc w:val="center"/>
            </w:pPr>
            <w:r>
              <w:rPr>
                <w:rFonts w:hint="eastAsia"/>
              </w:rPr>
              <w:t xml:space="preserve">91美元</w:t>
            </w:r>
          </w:p>
        </w:tc>
      </w:tr>
      <w:tr>
        <w:tc>
          <w:tcPr/>
          <w:p>
            <w:pPr>
              <w:pStyle w:val="Compact"/>
              <w:jc w:val="left"/>
            </w:pPr>
            <w:r>
              <w:rPr>
                <w:rFonts w:hint="eastAsia"/>
              </w:rPr>
              <w:t xml:space="preserve">工资/承包商费用及保险</w:t>
            </w:r>
          </w:p>
        </w:tc>
        <w:tc>
          <w:tcPr/>
          <w:p>
            <w:pPr>
              <w:pStyle w:val="Compact"/>
              <w:jc w:val="left"/>
            </w:pPr>
            <w:r>
              <w:rPr>
                <w:rFonts w:hint="eastAsia"/>
              </w:rPr>
              <w:t xml:space="preserve">14美元</w:t>
            </w:r>
          </w:p>
        </w:tc>
        <w:tc>
          <w:tcPr/>
          <w:p>
            <w:pPr>
              <w:pStyle w:val="Compact"/>
              <w:jc w:val="center"/>
            </w:pPr>
            <w:r>
              <w:rPr>
                <w:rFonts w:hint="eastAsia"/>
              </w:rPr>
              <w:t xml:space="preserve">17美元</w:t>
            </w:r>
          </w:p>
        </w:tc>
      </w:tr>
      <w:tr>
        <w:tc>
          <w:tcPr/>
          <w:p>
            <w:pPr>
              <w:pStyle w:val="Compact"/>
              <w:jc w:val="left"/>
            </w:pPr>
            <w:r>
              <w:rPr>
                <w:rFonts w:hint="eastAsia"/>
              </w:rPr>
              <w:t xml:space="preserve">用品与设备补贴</w:t>
            </w:r>
          </w:p>
        </w:tc>
        <w:tc>
          <w:tcPr/>
          <w:p>
            <w:pPr>
              <w:pStyle w:val="Compact"/>
              <w:jc w:val="left"/>
            </w:pPr>
            <w:r>
              <w:rPr>
                <w:rFonts w:hint="eastAsia"/>
              </w:rPr>
              <w:t xml:space="preserve">9美元</w:t>
            </w:r>
          </w:p>
        </w:tc>
        <w:tc>
          <w:tcPr/>
          <w:p>
            <w:pPr>
              <w:pStyle w:val="Compact"/>
              <w:jc w:val="center"/>
            </w:pPr>
            <w:r>
              <w:rPr>
                <w:rFonts w:hint="eastAsia"/>
              </w:rPr>
              <w:t xml:space="preserve">12美元</w:t>
            </w:r>
          </w:p>
        </w:tc>
      </w:tr>
      <w:tr>
        <w:tc>
          <w:tcPr/>
          <w:p>
            <w:pPr>
              <w:pStyle w:val="Compact"/>
              <w:jc w:val="left"/>
            </w:pPr>
            <w:r>
              <w:rPr>
                <w:rFonts w:hint="eastAsia"/>
              </w:rPr>
              <w:t xml:space="preserve">交通/里程补贴</w:t>
            </w:r>
          </w:p>
        </w:tc>
        <w:tc>
          <w:tcPr/>
          <w:p>
            <w:pPr>
              <w:pStyle w:val="Compact"/>
              <w:jc w:val="left"/>
            </w:pPr>
            <w:r>
              <w:rPr>
                <w:rFonts w:hint="eastAsia"/>
              </w:rPr>
              <w:t xml:space="preserve">8美元</w:t>
            </w:r>
          </w:p>
        </w:tc>
        <w:tc>
          <w:tcPr/>
          <w:p>
            <w:pPr>
              <w:pStyle w:val="Compact"/>
              <w:jc w:val="center"/>
            </w:pPr>
            <w:r>
              <w:rPr>
                <w:rFonts w:hint="eastAsia"/>
              </w:rPr>
              <w:t xml:space="preserve">10美元</w:t>
            </w:r>
          </w:p>
        </w:tc>
      </w:tr>
      <w:tr>
        <w:tc>
          <w:tcPr/>
          <w:p>
            <w:pPr>
              <w:pStyle w:val="Compact"/>
              <w:jc w:val="left"/>
            </w:pPr>
            <w:r>
              <w:rPr>
                <w:rFonts w:hint="eastAsia"/>
              </w:rPr>
              <w:t xml:space="preserve">分摊的获客成本</w:t>
            </w:r>
          </w:p>
        </w:tc>
        <w:tc>
          <w:tcPr/>
          <w:p>
            <w:pPr>
              <w:pStyle w:val="Compact"/>
              <w:jc w:val="left"/>
            </w:pPr>
            <w:r>
              <w:rPr>
                <w:rFonts w:hint="eastAsia"/>
              </w:rPr>
              <w:t xml:space="preserve">12美元</w:t>
            </w:r>
          </w:p>
        </w:tc>
        <w:tc>
          <w:tcPr/>
          <w:p>
            <w:pPr>
              <w:pStyle w:val="Compact"/>
              <w:jc w:val="center"/>
            </w:pPr>
            <w:r>
              <w:rPr>
                <w:rFonts w:hint="eastAsia"/>
              </w:rPr>
              <w:t xml:space="preserve">61美元</w:t>
            </w:r>
          </w:p>
        </w:tc>
      </w:tr>
      <w:tr>
        <w:tc>
          <w:tcPr/>
          <w:p>
            <w:pPr>
              <w:pStyle w:val="Compact"/>
              <w:jc w:val="left"/>
            </w:pPr>
            <w:r>
              <w:rPr>
                <w:rFonts w:hint="eastAsia"/>
              </w:rPr>
              <w:t xml:space="preserve">支持、退款、支付处理</w:t>
            </w:r>
          </w:p>
        </w:tc>
        <w:tc>
          <w:tcPr/>
          <w:p>
            <w:pPr>
              <w:pStyle w:val="Compact"/>
              <w:jc w:val="left"/>
            </w:pPr>
            <w:r>
              <w:rPr>
                <w:rFonts w:hint="eastAsia"/>
              </w:rPr>
              <w:t xml:space="preserve">10美元</w:t>
            </w:r>
          </w:p>
        </w:tc>
        <w:tc>
          <w:tcPr/>
          <w:p>
            <w:pPr>
              <w:pStyle w:val="Compact"/>
              <w:jc w:val="center"/>
            </w:pPr>
            <w:r>
              <w:rPr>
                <w:rFonts w:hint="eastAsia"/>
              </w:rPr>
              <w:t xml:space="preserve">13美元</w:t>
            </w:r>
          </w:p>
        </w:tc>
      </w:tr>
      <w:tr>
        <w:tc>
          <w:tcPr/>
          <w:p>
            <w:pPr>
              <w:pStyle w:val="Compact"/>
              <w:jc w:val="left"/>
            </w:pPr>
            <w:r>
              <w:rPr>
                <w:rFonts w:hint="eastAsia"/>
              </w:rPr>
              <w:t xml:space="preserve">扣除间接费用前的贡献</w:t>
            </w:r>
          </w:p>
        </w:tc>
        <w:tc>
          <w:tcPr/>
          <w:p>
            <w:pPr>
              <w:pStyle w:val="Compact"/>
              <w:jc w:val="left"/>
            </w:pPr>
            <w:r>
              <w:rPr>
                <w:rFonts w:hint="eastAsia"/>
              </w:rPr>
              <w:t xml:space="preserve">11美元</w:t>
            </w:r>
          </w:p>
        </w:tc>
        <w:tc>
          <w:tcPr/>
          <w:p>
            <w:pPr>
              <w:pStyle w:val="Compact"/>
              <w:jc w:val="center"/>
            </w:pPr>
            <w:r>
              <w:rPr>
                <w:rFonts w:hint="eastAsia"/>
              </w:rPr>
              <w:t xml:space="preserve">-97美元</w:t>
            </w:r>
          </w:p>
        </w:tc>
      </w:tr>
    </w:tbl>
    <w:p>
      <w:pPr>
        <w:pStyle w:val="BodyText"/>
      </w:pPr>
      <w:r>
        <w:rPr>
          <w:rFonts w:hint="eastAsia"/>
        </w:rPr>
        <w:t xml:space="preserve">该图表反映的是平均值。一间靠近另一预约地点的紧凑型公寓可能产生可观的利润率，而一栋需要35分钟车程的郊区大房子，即使按全价收费也可能亏损。BrightNest的即时定价模型使用卧室数量、浴室数量、面积、宠物及所需任务作为参数，但尚未很好地考虑杂乱程度、停车、进入延误或房屋状况等因素。</w:t>
      </w:r>
    </w:p>
    <w:bookmarkEnd w:id="17"/>
    <w:bookmarkEnd w:id="18"/>
    <w:bookmarkStart w:id="20" w:name="地域启动决策"/>
    <w:p>
      <w:pPr>
        <w:pStyle w:val="Heading1"/>
      </w:pPr>
      <w:r>
        <w:rPr>
          <w:rFonts w:hint="eastAsia"/>
        </w:rPr>
        <w:t xml:space="preserve">地域启动决策</w:t>
      </w:r>
    </w:p>
    <w:p>
      <w:pPr>
        <w:pStyle w:val="FirstParagraph"/>
      </w:pPr>
      <w:r>
        <w:rPr>
          <w:rFonts w:hint="eastAsia"/>
        </w:rPr>
        <w:t xml:space="preserve">全国性推广提供了速度、品牌可见度和庞大的招聘漏斗。但它也带来了“稀薄市场”的风险：顾客和清洁工可能存在于同一座城市，却不存在于同一个社区或兼容的时间段内。一位愿意在北部郊区周二上午工作的清洁工，并不能解决市中心周六的需求高峰问题。</w:t>
      </w:r>
    </w:p>
    <w:p>
      <w:pPr>
        <w:pStyle w:val="BodyText"/>
      </w:pPr>
      <w:r>
        <w:rPr>
          <w:rFonts w:hint="eastAsia"/>
        </w:rPr>
        <w:t xml:space="preserve">区域性启动可以集中广告投放、本地监督、推荐和清洁工密度。然而，仅选择富裕的大都市区可能会导致高顾客价格与高工资、拥堵和高获客成本并存。成本较低的地区可能提供更容易的招聘，但支付意愿较低。移民执法力度和当地态度也可能以难以量化的方式影响申请人的信心和顾客的观感。</w:t>
      </w:r>
    </w:p>
    <w:bookmarkStart w:id="19" w:name="图表-5.-候选启动市场概况"/>
    <w:p>
      <w:pPr>
        <w:pStyle w:val="Heading2"/>
      </w:pPr>
      <w:r>
        <w:rPr>
          <w:rFonts w:hint="eastAsia"/>
        </w:rPr>
        <w:t xml:space="preserve">图表</w:t>
      </w:r>
      <w:r>
        <w:t xml:space="preserve"> 5. </w:t>
      </w:r>
      <w:r>
        <w:rPr>
          <w:rFonts w:hint="eastAsia"/>
        </w:rPr>
        <w:t xml:space="preserve">候选启动市场概况</w:t>
      </w:r>
    </w:p>
    <w:tbl>
      <w:tblPr>
        <w:tblStyle w:val="Table"/>
        <w:tblW w:type="pct" w:w="4939"/>
        <w:tblLayout w:type="fixed"/>
        <w:tblLook w:firstRow="1" w:lastRow="0" w:firstColumn="0" w:lastColumn="0" w:noHBand="0" w:noVBand="0" w:val="0020"/>
      </w:tblPr>
      <w:tblGrid>
        <w:gridCol w:w="1207"/>
        <w:gridCol w:w="1448"/>
        <w:gridCol w:w="1014"/>
        <w:gridCol w:w="1207"/>
        <w:gridCol w:w="1110"/>
        <w:gridCol w:w="1835"/>
      </w:tblGrid>
      <w:tr>
        <w:trPr>
          <w:tblHeader w:val="on"/>
        </w:trPr>
        <w:tc>
          <w:tcPr/>
          <w:p>
            <w:pPr>
              <w:pStyle w:val="Compact"/>
              <w:jc w:val="left"/>
            </w:pPr>
            <w:r>
              <w:rPr>
                <w:rFonts w:hint="eastAsia"/>
              </w:rPr>
              <w:t xml:space="preserve">市场类型</w:t>
            </w:r>
          </w:p>
        </w:tc>
        <w:tc>
          <w:tcPr/>
          <w:p>
            <w:pPr>
              <w:pStyle w:val="Compact"/>
              <w:jc w:val="left"/>
            </w:pPr>
            <w:r>
              <w:rPr>
                <w:rFonts w:hint="eastAsia"/>
              </w:rPr>
              <w:t xml:space="preserve">示例顾客价格</w:t>
            </w:r>
          </w:p>
        </w:tc>
        <w:tc>
          <w:tcPr/>
          <w:p>
            <w:pPr>
              <w:pStyle w:val="Compact"/>
              <w:jc w:val="center"/>
            </w:pPr>
            <w:r>
              <w:rPr>
                <w:rFonts w:hint="eastAsia"/>
              </w:rPr>
              <w:t xml:space="preserve">目标清洁工时薪</w:t>
            </w:r>
          </w:p>
        </w:tc>
        <w:tc>
          <w:tcPr/>
          <w:p>
            <w:pPr>
              <w:pStyle w:val="Compact"/>
              <w:jc w:val="center"/>
            </w:pPr>
            <w:r>
              <w:rPr>
                <w:rFonts w:hint="eastAsia"/>
              </w:rPr>
              <w:t xml:space="preserve">预估首次预约获客成本</w:t>
            </w:r>
          </w:p>
        </w:tc>
        <w:tc>
          <w:tcPr/>
          <w:p>
            <w:pPr>
              <w:pStyle w:val="Compact"/>
              <w:jc w:val="center"/>
            </w:pPr>
            <w:r>
              <w:rPr>
                <w:rFonts w:hint="eastAsia"/>
              </w:rPr>
              <w:t xml:space="preserve">清洁工密度风险</w:t>
            </w:r>
          </w:p>
        </w:tc>
        <w:tc>
          <w:tcPr/>
          <w:p>
            <w:pPr>
              <w:pStyle w:val="Compact"/>
              <w:jc w:val="center"/>
            </w:pPr>
            <w:r>
              <w:rPr>
                <w:rFonts w:hint="eastAsia"/>
              </w:rPr>
              <w:t xml:space="preserve">其他关注点</w:t>
            </w:r>
          </w:p>
        </w:tc>
      </w:tr>
      <w:tr>
        <w:tc>
          <w:tcPr/>
          <w:p>
            <w:pPr>
              <w:pStyle w:val="Compact"/>
              <w:jc w:val="left"/>
            </w:pPr>
            <w:r>
              <w:rPr>
                <w:rFonts w:hint="eastAsia"/>
              </w:rPr>
              <w:t xml:space="preserve">高收入沿海地区</w:t>
            </w:r>
          </w:p>
        </w:tc>
        <w:tc>
          <w:tcPr/>
          <w:p>
            <w:pPr>
              <w:pStyle w:val="Compact"/>
              <w:jc w:val="left"/>
            </w:pPr>
            <w:r>
              <w:rPr>
                <w:rFonts w:hint="eastAsia"/>
              </w:rPr>
              <w:t xml:space="preserve">175美元</w:t>
            </w:r>
          </w:p>
        </w:tc>
        <w:tc>
          <w:tcPr/>
          <w:p>
            <w:pPr>
              <w:pStyle w:val="Compact"/>
              <w:jc w:val="center"/>
            </w:pPr>
            <w:r>
              <w:rPr>
                <w:rFonts w:hint="eastAsia"/>
              </w:rPr>
              <w:t xml:space="preserve">31美元/小时</w:t>
            </w:r>
          </w:p>
        </w:tc>
        <w:tc>
          <w:tcPr/>
          <w:p>
            <w:pPr>
              <w:pStyle w:val="Compact"/>
              <w:jc w:val="center"/>
            </w:pPr>
            <w:r>
              <w:rPr>
                <w:rFonts w:hint="eastAsia"/>
              </w:rPr>
              <w:t xml:space="preserve">78美元</w:t>
            </w:r>
          </w:p>
        </w:tc>
        <w:tc>
          <w:tcPr/>
          <w:p>
            <w:pPr>
              <w:pStyle w:val="Compact"/>
              <w:jc w:val="center"/>
            </w:pPr>
            <w:r>
              <w:rPr>
                <w:rFonts w:hint="eastAsia"/>
              </w:rPr>
              <w:t xml:space="preserve">中等</w:t>
            </w:r>
          </w:p>
        </w:tc>
        <w:tc>
          <w:tcPr/>
          <w:p>
            <w:pPr>
              <w:pStyle w:val="Compact"/>
              <w:jc w:val="center"/>
            </w:pPr>
            <w:r>
              <w:rPr>
                <w:rFonts w:hint="eastAsia"/>
              </w:rPr>
              <w:t xml:space="preserve">高通勤及工资成本</w:t>
            </w:r>
          </w:p>
        </w:tc>
      </w:tr>
      <w:tr>
        <w:tc>
          <w:tcPr/>
          <w:p>
            <w:pPr>
              <w:pStyle w:val="Compact"/>
              <w:jc w:val="left"/>
            </w:pPr>
            <w:r>
              <w:rPr>
                <w:rFonts w:hint="eastAsia"/>
              </w:rPr>
              <w:t xml:space="preserve">快速增长的阳光地带</w:t>
            </w:r>
          </w:p>
        </w:tc>
        <w:tc>
          <w:tcPr/>
          <w:p>
            <w:pPr>
              <w:pStyle w:val="Compact"/>
              <w:jc w:val="left"/>
            </w:pPr>
            <w:r>
              <w:rPr>
                <w:rFonts w:hint="eastAsia"/>
              </w:rPr>
              <w:t xml:space="preserve">145美元</w:t>
            </w:r>
          </w:p>
        </w:tc>
        <w:tc>
          <w:tcPr/>
          <w:p>
            <w:pPr>
              <w:pStyle w:val="Compact"/>
              <w:jc w:val="center"/>
            </w:pPr>
            <w:r>
              <w:rPr>
                <w:rFonts w:hint="eastAsia"/>
              </w:rPr>
              <w:t xml:space="preserve">25美元/小时</w:t>
            </w:r>
          </w:p>
        </w:tc>
        <w:tc>
          <w:tcPr/>
          <w:p>
            <w:pPr>
              <w:pStyle w:val="Compact"/>
              <w:jc w:val="center"/>
            </w:pPr>
            <w:r>
              <w:rPr>
                <w:rFonts w:hint="eastAsia"/>
              </w:rPr>
              <w:t xml:space="preserve">54美元</w:t>
            </w:r>
          </w:p>
        </w:tc>
        <w:tc>
          <w:tcPr/>
          <w:p>
            <w:pPr>
              <w:pStyle w:val="Compact"/>
              <w:jc w:val="center"/>
            </w:pPr>
            <w:r>
              <w:rPr>
                <w:rFonts w:hint="eastAsia"/>
              </w:rPr>
              <w:t xml:space="preserve">低-中等</w:t>
            </w:r>
          </w:p>
        </w:tc>
        <w:tc>
          <w:tcPr/>
          <w:p>
            <w:pPr>
              <w:pStyle w:val="Compact"/>
              <w:jc w:val="center"/>
            </w:pPr>
            <w:r>
              <w:rPr>
                <w:rFonts w:hint="eastAsia"/>
              </w:rPr>
              <w:t xml:space="preserve">分散布局及对车辆的依赖</w:t>
            </w:r>
          </w:p>
        </w:tc>
      </w:tr>
      <w:tr>
        <w:tc>
          <w:tcPr/>
          <w:p>
            <w:pPr>
              <w:pStyle w:val="Compact"/>
              <w:jc w:val="left"/>
            </w:pPr>
            <w:r>
              <w:rPr>
                <w:rFonts w:hint="eastAsia"/>
              </w:rPr>
              <w:t xml:space="preserve">中西部大都市</w:t>
            </w:r>
          </w:p>
        </w:tc>
        <w:tc>
          <w:tcPr/>
          <w:p>
            <w:pPr>
              <w:pStyle w:val="Compact"/>
              <w:jc w:val="left"/>
            </w:pPr>
            <w:r>
              <w:rPr>
                <w:rFonts w:hint="eastAsia"/>
              </w:rPr>
              <w:t xml:space="preserve">132美元</w:t>
            </w:r>
          </w:p>
        </w:tc>
        <w:tc>
          <w:tcPr/>
          <w:p>
            <w:pPr>
              <w:pStyle w:val="Compact"/>
              <w:jc w:val="center"/>
            </w:pPr>
            <w:r>
              <w:rPr>
                <w:rFonts w:hint="eastAsia"/>
              </w:rPr>
              <w:t xml:space="preserve">23美元/小时</w:t>
            </w:r>
          </w:p>
        </w:tc>
        <w:tc>
          <w:tcPr/>
          <w:p>
            <w:pPr>
              <w:pStyle w:val="Compact"/>
              <w:jc w:val="center"/>
            </w:pPr>
            <w:r>
              <w:rPr>
                <w:rFonts w:hint="eastAsia"/>
              </w:rPr>
              <w:t xml:space="preserve">49美元</w:t>
            </w:r>
          </w:p>
        </w:tc>
        <w:tc>
          <w:tcPr/>
          <w:p>
            <w:pPr>
              <w:pStyle w:val="Compact"/>
              <w:jc w:val="center"/>
            </w:pPr>
            <w:r>
              <w:rPr>
                <w:rFonts w:hint="eastAsia"/>
              </w:rPr>
              <w:t xml:space="preserve">低</w:t>
            </w:r>
          </w:p>
        </w:tc>
        <w:tc>
          <w:tcPr/>
          <w:p>
            <w:pPr>
              <w:pStyle w:val="Compact"/>
              <w:jc w:val="center"/>
            </w:pPr>
            <w:r>
              <w:rPr>
                <w:rFonts w:hint="eastAsia"/>
              </w:rPr>
              <w:t xml:space="preserve">定期服务渗透率较低</w:t>
            </w:r>
          </w:p>
        </w:tc>
      </w:tr>
      <w:tr>
        <w:tc>
          <w:tcPr/>
          <w:p>
            <w:pPr>
              <w:pStyle w:val="Compact"/>
              <w:jc w:val="left"/>
            </w:pPr>
            <w:r>
              <w:rPr>
                <w:rFonts w:hint="eastAsia"/>
              </w:rPr>
              <w:t xml:space="preserve">大学城/次级城市</w:t>
            </w:r>
          </w:p>
        </w:tc>
        <w:tc>
          <w:tcPr/>
          <w:p>
            <w:pPr>
              <w:pStyle w:val="Compact"/>
              <w:jc w:val="left"/>
            </w:pPr>
            <w:r>
              <w:rPr>
                <w:rFonts w:hint="eastAsia"/>
              </w:rPr>
              <w:t xml:space="preserve">118美元</w:t>
            </w:r>
          </w:p>
        </w:tc>
        <w:tc>
          <w:tcPr/>
          <w:p>
            <w:pPr>
              <w:pStyle w:val="Compact"/>
              <w:jc w:val="center"/>
            </w:pPr>
            <w:r>
              <w:rPr>
                <w:rFonts w:hint="eastAsia"/>
              </w:rPr>
              <w:t xml:space="preserve">21美元/小时</w:t>
            </w:r>
          </w:p>
        </w:tc>
        <w:tc>
          <w:tcPr/>
          <w:p>
            <w:pPr>
              <w:pStyle w:val="Compact"/>
              <w:jc w:val="center"/>
            </w:pPr>
            <w:r>
              <w:rPr>
                <w:rFonts w:hint="eastAsia"/>
              </w:rPr>
              <w:t xml:space="preserve">42美元</w:t>
            </w:r>
          </w:p>
        </w:tc>
        <w:tc>
          <w:tcPr/>
          <w:p>
            <w:pPr>
              <w:pStyle w:val="Compact"/>
              <w:jc w:val="center"/>
            </w:pPr>
            <w:r>
              <w:rPr>
                <w:rFonts w:hint="eastAsia"/>
              </w:rPr>
              <w:t xml:space="preserve">高</w:t>
            </w:r>
          </w:p>
        </w:tc>
        <w:tc>
          <w:tcPr/>
          <w:p>
            <w:pPr>
              <w:pStyle w:val="Compact"/>
              <w:jc w:val="center"/>
            </w:pPr>
            <w:r>
              <w:rPr>
                <w:rFonts w:hint="eastAsia"/>
              </w:rPr>
              <w:t xml:space="preserve">季节性工人及顾客流失</w:t>
            </w:r>
          </w:p>
        </w:tc>
      </w:tr>
      <w:tr>
        <w:tc>
          <w:tcPr/>
          <w:p>
            <w:pPr>
              <w:pStyle w:val="Compact"/>
              <w:jc w:val="left"/>
            </w:pPr>
            <w:r>
              <w:rPr>
                <w:rFonts w:hint="eastAsia"/>
              </w:rPr>
              <w:t xml:space="preserve">全国自助式</w:t>
            </w:r>
          </w:p>
        </w:tc>
        <w:tc>
          <w:tcPr/>
          <w:p>
            <w:pPr>
              <w:pStyle w:val="Compact"/>
              <w:jc w:val="left"/>
            </w:pPr>
            <w:r>
              <w:rPr>
                <w:rFonts w:hint="eastAsia"/>
              </w:rPr>
              <w:t xml:space="preserve">平均135美元</w:t>
            </w:r>
          </w:p>
        </w:tc>
        <w:tc>
          <w:tcPr/>
          <w:p>
            <w:pPr>
              <w:pStyle w:val="Compact"/>
              <w:jc w:val="center"/>
            </w:pPr>
            <w:r>
              <w:rPr>
                <w:rFonts w:hint="eastAsia"/>
              </w:rPr>
              <w:t xml:space="preserve">24-31美元/小时</w:t>
            </w:r>
          </w:p>
        </w:tc>
        <w:tc>
          <w:tcPr/>
          <w:p>
            <w:pPr>
              <w:pStyle w:val="Compact"/>
              <w:jc w:val="center"/>
            </w:pPr>
            <w:r>
              <w:rPr>
                <w:rFonts w:hint="eastAsia"/>
              </w:rPr>
              <w:t xml:space="preserve">平均60美元</w:t>
            </w:r>
          </w:p>
        </w:tc>
        <w:tc>
          <w:tcPr/>
          <w:p>
            <w:pPr>
              <w:pStyle w:val="Compact"/>
              <w:jc w:val="center"/>
            </w:pPr>
            <w:r>
              <w:rPr>
                <w:rFonts w:hint="eastAsia"/>
              </w:rPr>
              <w:t xml:space="preserve">极高</w:t>
            </w:r>
          </w:p>
        </w:tc>
        <w:tc>
          <w:tcPr/>
          <w:p>
            <w:pPr>
              <w:pStyle w:val="Compact"/>
              <w:jc w:val="center"/>
            </w:pPr>
            <w:r>
              <w:rPr>
                <w:rFonts w:hint="eastAsia"/>
              </w:rPr>
              <w:t xml:space="preserve">质量与合规性参差不齐</w:t>
            </w:r>
          </w:p>
        </w:tc>
      </w:tr>
    </w:tbl>
    <w:bookmarkEnd w:id="19"/>
    <w:bookmarkEnd w:id="20"/>
    <w:bookmarkStart w:id="24" w:name="三项启动方案"/>
    <w:p>
      <w:pPr>
        <w:pStyle w:val="Heading1"/>
      </w:pPr>
      <w:r>
        <w:rPr>
          <w:rFonts w:hint="eastAsia"/>
        </w:rPr>
        <w:t xml:space="preserve">三项启动方案</w:t>
      </w:r>
    </w:p>
    <w:p>
      <w:pPr>
        <w:pStyle w:val="FirstParagraph"/>
      </w:pPr>
      <w:r>
        <w:rPr>
          <w:rFonts w:hint="eastAsia"/>
        </w:rPr>
        <w:t xml:space="preserve">试点结束后，高管团队制定了三项方案。</w:t>
      </w:r>
    </w:p>
    <w:bookmarkStart w:id="21" w:name="方案a五城密度策略"/>
    <w:p>
      <w:pPr>
        <w:pStyle w:val="Heading2"/>
      </w:pPr>
      <w:r>
        <w:rPr>
          <w:rFonts w:hint="eastAsia"/>
        </w:rPr>
        <w:t xml:space="preserve">方案A——五城密度策略。</w:t>
      </w:r>
    </w:p>
    <w:p>
      <w:pPr>
        <w:pStyle w:val="FirstParagraph"/>
      </w:pPr>
      <w:r>
        <w:rPr>
          <w:rFonts w:hint="eastAsia"/>
        </w:rPr>
        <w:t xml:space="preserve">BrightNest只会在能够在大规模顾客广告投放前招募到至少150名经审核清洁工的地区启动。公司将建立本地合作伙伴关系，提供入门套件，保证有限的工作时段，并强调推荐机制。该计划需要在18个月内投入约1,100万美元，目标是获取22,000名定期顾客。支持者认为，密度和服务质量是增长的先决条件。批评者则担心竞争对手可能率先占领其他市场。</w:t>
      </w:r>
    </w:p>
    <w:bookmarkEnd w:id="21"/>
    <w:bookmarkStart w:id="22" w:name="方案b25城市场策略"/>
    <w:p>
      <w:pPr>
        <w:pStyle w:val="Heading2"/>
      </w:pPr>
      <w:r>
        <w:rPr>
          <w:rFonts w:hint="eastAsia"/>
        </w:rPr>
        <w:t xml:space="preserve">方案B——25城市场策略。</w:t>
      </w:r>
    </w:p>
    <w:p>
      <w:pPr>
        <w:pStyle w:val="FirstParagraph"/>
      </w:pPr>
      <w:r>
        <w:rPr>
          <w:rFonts w:hint="eastAsia"/>
        </w:rPr>
        <w:t xml:space="preserve">公司将在全国范围内使用WorkReach，但在25个城市启动顾客营销。清洁工薪酬、顾客价格、折扣和服务区域将根据市场进行调整。BrightNest将投入1,600万美元，目标是获取48,000名定期顾客。这一方法能产生更多学习成果，但需要尚未得到验证的复杂本地定价、合规和供需管控机制。</w:t>
      </w:r>
    </w:p>
    <w:bookmarkEnd w:id="22"/>
    <w:bookmarkStart w:id="23" w:name="方案c全国可用性策略"/>
    <w:p>
      <w:pPr>
        <w:pStyle w:val="Heading2"/>
      </w:pPr>
      <w:r>
        <w:rPr>
          <w:rFonts w:hint="eastAsia"/>
        </w:rPr>
        <w:t xml:space="preserve">方案C——全国可用性策略。</w:t>
      </w:r>
    </w:p>
    <w:p>
      <w:pPr>
        <w:pStyle w:val="FirstParagraph"/>
      </w:pPr>
      <w:r>
        <w:rPr>
          <w:rFonts w:hint="eastAsia"/>
        </w:rPr>
        <w:t xml:space="preserve">美国本土任何地方的顾客都可以申请服务。BrightNest只有在匹配到可用清洁工后才会确认预约。清洁工招募将在全国范围内进行，没有保证工时，设备支持也有限。该计划可以以相对较低的固定成本快速产生数据，但漫长的确认时间、稀缺的供给和参差不齐的服务，可能会在公司了解哪些市场行之有效之前就损害品牌声誉。</w:t>
      </w:r>
    </w:p>
    <w:bookmarkEnd w:id="23"/>
    <w:bookmarkEnd w:id="24"/>
    <w:bookmarkStart w:id="26" w:name="试点未能回答的问题"/>
    <w:p>
      <w:pPr>
        <w:pStyle w:val="Heading1"/>
      </w:pPr>
      <w:r>
        <w:rPr>
          <w:rFonts w:hint="eastAsia"/>
        </w:rPr>
        <w:t xml:space="preserve">试点未能回答的问题</w:t>
      </w:r>
    </w:p>
    <w:p>
      <w:pPr>
        <w:pStyle w:val="FirstParagraph"/>
      </w:pPr>
      <w:r>
        <w:rPr>
          <w:rFonts w:hint="eastAsia"/>
        </w:rPr>
        <w:t xml:space="preserve">试点产生了数据，但并未形成共识。较高的清洁工薪酬提高了工作接受率，但仅在预约地理位置集中时才有效。折扣提高了预约量，但价格最低的顾客也最不可能再次下单。顾客更倾向于选择同一位清洁工，而排班系统却通过分配任何附近可用的清洁工来实现更高的利用率。清洁工的灵活性改善了招聘效果，但不受限制的排班选择却使公司更难向顾客承诺具体的服务时间。</w:t>
      </w:r>
    </w:p>
    <w:p>
      <w:pPr>
        <w:pStyle w:val="BodyText"/>
      </w:pPr>
      <w:r>
        <w:rPr>
          <w:rFonts w:hint="eastAsia"/>
        </w:rPr>
        <w:t xml:space="preserve">管理层也缺乏对成功的共同定义。增长部门强调预约量和市场进入。运营部门强调完成率和顾客评分。清洁工网络团队强调时薪、留存率和排班选择。财务部门强调扣除获客成本后的贡献利润率。同一座城市按一种衡量标准可能显得成功，按另一种标准却可能显得不成功。</w:t>
      </w:r>
    </w:p>
    <w:bookmarkStart w:id="25" w:name="图表-6.-拟议的18个月启动结果"/>
    <w:p>
      <w:pPr>
        <w:pStyle w:val="Heading2"/>
      </w:pPr>
      <w:r>
        <w:rPr>
          <w:rFonts w:hint="eastAsia"/>
        </w:rPr>
        <w:t xml:space="preserve">图表</w:t>
      </w:r>
      <w:r>
        <w:t xml:space="preserve"> 6. </w:t>
      </w:r>
      <w:r>
        <w:rPr>
          <w:rFonts w:hint="eastAsia"/>
        </w:rPr>
        <w:t xml:space="preserve">拟议的18个月启动结果</w:t>
      </w:r>
    </w:p>
    <w:tbl>
      <w:tblPr>
        <w:tblStyle w:val="Table"/>
        <w:tblW w:type="pct" w:w="4914"/>
        <w:tblLayout w:type="fixed"/>
        <w:tblLook w:firstRow="1" w:lastRow="0" w:firstColumn="0" w:lastColumn="0" w:noHBand="0" w:noVBand="0" w:val="0020"/>
      </w:tblPr>
      <w:tblGrid>
        <w:gridCol w:w="3277"/>
        <w:gridCol w:w="1365"/>
        <w:gridCol w:w="1502"/>
        <w:gridCol w:w="1638"/>
      </w:tblGrid>
      <w:tr>
        <w:trPr>
          <w:tblHeader w:val="on"/>
        </w:trPr>
        <w:tc>
          <w:tcPr/>
          <w:p>
            <w:pPr>
              <w:pStyle w:val="Compact"/>
              <w:jc w:val="left"/>
            </w:pPr>
            <w:r>
              <w:rPr>
                <w:rFonts w:hint="eastAsia"/>
              </w:rPr>
              <w:t xml:space="preserve">衡量指标</w:t>
            </w:r>
          </w:p>
        </w:tc>
        <w:tc>
          <w:tcPr/>
          <w:p>
            <w:pPr>
              <w:pStyle w:val="Compact"/>
              <w:jc w:val="center"/>
            </w:pPr>
            <w:r>
              <w:rPr>
                <w:rFonts w:hint="eastAsia"/>
              </w:rPr>
              <w:t xml:space="preserve">五城密度策略</w:t>
            </w:r>
          </w:p>
        </w:tc>
        <w:tc>
          <w:tcPr/>
          <w:p>
            <w:pPr>
              <w:pStyle w:val="Compact"/>
              <w:jc w:val="center"/>
            </w:pPr>
            <w:r>
              <w:rPr>
                <w:rFonts w:hint="eastAsia"/>
              </w:rPr>
              <w:t xml:space="preserve">25城市场策略</w:t>
            </w:r>
          </w:p>
        </w:tc>
        <w:tc>
          <w:tcPr/>
          <w:p>
            <w:pPr>
              <w:pStyle w:val="Compact"/>
              <w:jc w:val="center"/>
            </w:pPr>
            <w:r>
              <w:rPr>
                <w:rFonts w:hint="eastAsia"/>
              </w:rPr>
              <w:t xml:space="preserve">全国可用性策略</w:t>
            </w:r>
          </w:p>
        </w:tc>
      </w:tr>
      <w:tr>
        <w:tc>
          <w:tcPr/>
          <w:p>
            <w:pPr>
              <w:pStyle w:val="Compact"/>
              <w:jc w:val="left"/>
            </w:pPr>
            <w:r>
              <w:rPr>
                <w:rFonts w:hint="eastAsia"/>
              </w:rPr>
              <w:t xml:space="preserve">所需投资</w:t>
            </w:r>
          </w:p>
        </w:tc>
        <w:tc>
          <w:tcPr/>
          <w:p>
            <w:pPr>
              <w:pStyle w:val="Compact"/>
              <w:jc w:val="center"/>
            </w:pPr>
            <w:r>
              <w:rPr>
                <w:rFonts w:hint="eastAsia"/>
              </w:rPr>
              <w:t xml:space="preserve">1,100万美元</w:t>
            </w:r>
          </w:p>
        </w:tc>
        <w:tc>
          <w:tcPr/>
          <w:p>
            <w:pPr>
              <w:pStyle w:val="Compact"/>
              <w:jc w:val="center"/>
            </w:pPr>
            <w:r>
              <w:rPr>
                <w:rFonts w:hint="eastAsia"/>
              </w:rPr>
              <w:t xml:space="preserve">1,600万美元</w:t>
            </w:r>
          </w:p>
        </w:tc>
        <w:tc>
          <w:tcPr/>
          <w:p>
            <w:pPr>
              <w:pStyle w:val="Compact"/>
              <w:jc w:val="center"/>
            </w:pPr>
            <w:r>
              <w:rPr>
                <w:rFonts w:hint="eastAsia"/>
              </w:rPr>
              <w:t xml:space="preserve">1,300万美元</w:t>
            </w:r>
          </w:p>
        </w:tc>
      </w:tr>
      <w:tr>
        <w:tc>
          <w:tcPr/>
          <w:p>
            <w:pPr>
              <w:pStyle w:val="Compact"/>
              <w:jc w:val="left"/>
            </w:pPr>
            <w:r>
              <w:rPr>
                <w:rFonts w:hint="eastAsia"/>
              </w:rPr>
              <w:t xml:space="preserve">第18个月的定期顾客数</w:t>
            </w:r>
          </w:p>
        </w:tc>
        <w:tc>
          <w:tcPr/>
          <w:p>
            <w:pPr>
              <w:pStyle w:val="Compact"/>
              <w:jc w:val="center"/>
            </w:pPr>
            <w:r>
              <w:t xml:space="preserve">22,000</w:t>
            </w:r>
          </w:p>
        </w:tc>
        <w:tc>
          <w:tcPr/>
          <w:p>
            <w:pPr>
              <w:pStyle w:val="Compact"/>
              <w:jc w:val="center"/>
            </w:pPr>
            <w:r>
              <w:t xml:space="preserve">48,000</w:t>
            </w:r>
          </w:p>
        </w:tc>
        <w:tc>
          <w:tcPr/>
          <w:p>
            <w:pPr>
              <w:pStyle w:val="Compact"/>
              <w:jc w:val="center"/>
            </w:pPr>
            <w:r>
              <w:t xml:space="preserve">55,000</w:t>
            </w:r>
          </w:p>
        </w:tc>
      </w:tr>
      <w:tr>
        <w:tc>
          <w:tcPr/>
          <w:p>
            <w:pPr>
              <w:pStyle w:val="Compact"/>
              <w:jc w:val="left"/>
            </w:pPr>
            <w:r>
              <w:rPr>
                <w:rFonts w:hint="eastAsia"/>
              </w:rPr>
              <w:t xml:space="preserve">活跃清洁工人数</w:t>
            </w:r>
          </w:p>
        </w:tc>
        <w:tc>
          <w:tcPr/>
          <w:p>
            <w:pPr>
              <w:pStyle w:val="Compact"/>
              <w:jc w:val="center"/>
            </w:pPr>
            <w:r>
              <w:t xml:space="preserve">1,050</w:t>
            </w:r>
          </w:p>
        </w:tc>
        <w:tc>
          <w:tcPr/>
          <w:p>
            <w:pPr>
              <w:pStyle w:val="Compact"/>
              <w:jc w:val="center"/>
            </w:pPr>
            <w:r>
              <w:t xml:space="preserve">2,750</w:t>
            </w:r>
          </w:p>
        </w:tc>
        <w:tc>
          <w:tcPr/>
          <w:p>
            <w:pPr>
              <w:pStyle w:val="Compact"/>
              <w:jc w:val="center"/>
            </w:pPr>
            <w:r>
              <w:t xml:space="preserve">4,200</w:t>
            </w:r>
          </w:p>
        </w:tc>
      </w:tr>
      <w:tr>
        <w:tc>
          <w:tcPr/>
          <w:p>
            <w:pPr>
              <w:pStyle w:val="Compact"/>
              <w:jc w:val="left"/>
            </w:pPr>
            <w:r>
              <w:rPr>
                <w:rFonts w:hint="eastAsia"/>
              </w:rPr>
              <w:t xml:space="preserve">预计完成率</w:t>
            </w:r>
          </w:p>
        </w:tc>
        <w:tc>
          <w:tcPr/>
          <w:p>
            <w:pPr>
              <w:pStyle w:val="Compact"/>
              <w:jc w:val="center"/>
            </w:pPr>
            <w:r>
              <w:t xml:space="preserve">94%</w:t>
            </w:r>
          </w:p>
        </w:tc>
        <w:tc>
          <w:tcPr/>
          <w:p>
            <w:pPr>
              <w:pStyle w:val="Compact"/>
              <w:jc w:val="center"/>
            </w:pPr>
            <w:r>
              <w:t xml:space="preserve">88%</w:t>
            </w:r>
          </w:p>
        </w:tc>
        <w:tc>
          <w:tcPr/>
          <w:p>
            <w:pPr>
              <w:pStyle w:val="Compact"/>
              <w:jc w:val="center"/>
            </w:pPr>
            <w:r>
              <w:t xml:space="preserve">77%</w:t>
            </w:r>
          </w:p>
        </w:tc>
      </w:tr>
      <w:tr>
        <w:tc>
          <w:tcPr/>
          <w:p>
            <w:pPr>
              <w:pStyle w:val="Compact"/>
              <w:jc w:val="left"/>
            </w:pPr>
            <w:r>
              <w:rPr>
                <w:rFonts w:hint="eastAsia"/>
              </w:rPr>
              <w:t xml:space="preserve">每次定期上门的贡献利润率</w:t>
            </w:r>
          </w:p>
        </w:tc>
        <w:tc>
          <w:tcPr/>
          <w:p>
            <w:pPr>
              <w:pStyle w:val="Compact"/>
              <w:jc w:val="center"/>
            </w:pPr>
            <w:r>
              <w:rPr>
                <w:rFonts w:hint="eastAsia"/>
              </w:rPr>
              <w:t xml:space="preserve">18美元</w:t>
            </w:r>
          </w:p>
        </w:tc>
        <w:tc>
          <w:tcPr/>
          <w:p>
            <w:pPr>
              <w:pStyle w:val="Compact"/>
              <w:jc w:val="center"/>
            </w:pPr>
            <w:r>
              <w:rPr>
                <w:rFonts w:hint="eastAsia"/>
              </w:rPr>
              <w:t xml:space="preserve">12美元</w:t>
            </w:r>
          </w:p>
        </w:tc>
        <w:tc>
          <w:tcPr/>
          <w:p>
            <w:pPr>
              <w:pStyle w:val="Compact"/>
              <w:jc w:val="center"/>
            </w:pPr>
            <w:r>
              <w:rPr>
                <w:rFonts w:hint="eastAsia"/>
              </w:rPr>
              <w:t xml:space="preserve">7美元</w:t>
            </w:r>
          </w:p>
        </w:tc>
      </w:tr>
      <w:tr>
        <w:tc>
          <w:tcPr/>
          <w:p>
            <w:pPr>
              <w:pStyle w:val="Compact"/>
              <w:jc w:val="left"/>
            </w:pPr>
            <w:r>
              <w:rPr>
                <w:rFonts w:hint="eastAsia"/>
              </w:rPr>
              <w:t xml:space="preserve">实现计划的概率（团队估计）</w:t>
            </w:r>
          </w:p>
        </w:tc>
        <w:tc>
          <w:tcPr/>
          <w:p>
            <w:pPr>
              <w:pStyle w:val="Compact"/>
              <w:jc w:val="center"/>
            </w:pPr>
            <w:r>
              <w:t xml:space="preserve">65%</w:t>
            </w:r>
          </w:p>
        </w:tc>
        <w:tc>
          <w:tcPr/>
          <w:p>
            <w:pPr>
              <w:pStyle w:val="Compact"/>
              <w:jc w:val="center"/>
            </w:pPr>
            <w:r>
              <w:t xml:space="preserve">45%</w:t>
            </w:r>
          </w:p>
        </w:tc>
        <w:tc>
          <w:tcPr/>
          <w:p>
            <w:pPr>
              <w:pStyle w:val="Compact"/>
              <w:jc w:val="center"/>
            </w:pPr>
            <w:r>
              <w:t xml:space="preserve">30%</w:t>
            </w:r>
          </w:p>
        </w:tc>
      </w:tr>
    </w:tbl>
    <w:bookmarkEnd w:id="25"/>
    <w:bookmarkEnd w:id="26"/>
    <w:bookmarkStart w:id="27" w:name="决策"/>
    <w:p>
      <w:pPr>
        <w:pStyle w:val="Heading1"/>
      </w:pPr>
      <w:r>
        <w:rPr>
          <w:rFonts w:hint="eastAsia"/>
        </w:rPr>
        <w:t xml:space="preserve">决策</w:t>
      </w:r>
    </w:p>
    <w:p>
      <w:pPr>
        <w:pStyle w:val="FirstParagraph"/>
      </w:pPr>
      <w:r>
        <w:rPr>
          <w:rFonts w:hint="eastAsia"/>
        </w:rPr>
        <w:t xml:space="preserve">Chen再次审视仪表盘。BrightNest已有证据表明顾客希望获得便捷的家政清洁服务，也有成千上万的人愿意点击灵活的清洁工作机会。但公司尚不知道自己是否能在合适的时间、以能让双方都满意的价格，反复将合适的清洁工安排到合适的家庭。</w:t>
      </w:r>
    </w:p>
    <w:p>
      <w:pPr>
        <w:pStyle w:val="BodyText"/>
      </w:pPr>
      <w:r>
        <w:rPr>
          <w:rFonts w:hint="eastAsia"/>
        </w:rPr>
        <w:t xml:space="preserve">董事会会议还有四周就要召开。在此之前，Chen必须决定推荐哪一项启动方案、在首单折扣上投入多少、为清洁工提供何种薪酬和设备方案，以及哪些不确定性值得进一步实验。等待可以保留资本，但可能削弱招聘势头。扩张可以更快产生信息，但可能将本地匹配失败转变为全国性的声誉问题。</w:t>
      </w:r>
    </w:p>
    <w:bookmarkEnd w:id="27"/>
    <w:bookmarkStart w:id="28" w:name="讨论题"/>
    <w:p>
      <w:pPr>
        <w:pStyle w:val="Heading1"/>
      </w:pPr>
      <w:r>
        <w:rPr>
          <w:rFonts w:hint="eastAsia"/>
        </w:rPr>
        <w:t xml:space="preserve">讨论题</w:t>
      </w:r>
    </w:p>
    <w:p>
      <w:pPr>
        <w:numPr>
          <w:ilvl w:val="0"/>
          <w:numId w:val="1001"/>
        </w:numPr>
      </w:pPr>
      <w:r>
        <w:rPr>
          <w:rFonts w:hint="eastAsia"/>
        </w:rPr>
        <w:t xml:space="preserve">BrightNest应如何界定其可触达市场、可服务市场以及现实可获得的市场？</w:t>
      </w:r>
    </w:p>
    <w:p>
      <w:pPr>
        <w:numPr>
          <w:ilvl w:val="0"/>
          <w:numId w:val="1001"/>
        </w:numPr>
      </w:pPr>
      <w:r>
        <w:rPr>
          <w:rFonts w:hint="eastAsia"/>
        </w:rPr>
        <w:t xml:space="preserve">首要制约因素是顾客需求、清洁工供给、地理匹配、服务质量，还是单位经济效益？有哪些证据支持你的答案？</w:t>
      </w:r>
    </w:p>
    <w:p>
      <w:pPr>
        <w:numPr>
          <w:ilvl w:val="0"/>
          <w:numId w:val="1001"/>
        </w:numPr>
      </w:pPr>
      <w:r>
        <w:rPr>
          <w:rFonts w:hint="eastAsia"/>
        </w:rPr>
        <w:t xml:space="preserve">当留存率可能取决于能否留住同一位清洁工时，公司应如何衡量顾客的终身价值？</w:t>
      </w:r>
    </w:p>
    <w:p>
      <w:pPr>
        <w:numPr>
          <w:ilvl w:val="0"/>
          <w:numId w:val="1001"/>
        </w:numPr>
      </w:pPr>
      <w:r>
        <w:rPr>
          <w:rFonts w:hint="eastAsia"/>
        </w:rPr>
        <w:t xml:space="preserve">BrightNest应提供何种首单折扣（如果有的话）？该折扣应如何按市场或顾客而异？</w:t>
      </w:r>
    </w:p>
    <w:p>
      <w:pPr>
        <w:numPr>
          <w:ilvl w:val="0"/>
          <w:numId w:val="1001"/>
        </w:numPr>
      </w:pPr>
      <w:r>
        <w:rPr>
          <w:rFonts w:hint="eastAsia"/>
        </w:rPr>
        <w:t xml:space="preserve">何种薪酬体系能够在有吸引力的收入、排班灵活性、通勤时间、服务质量与公司利润率之间取得平衡？</w:t>
      </w:r>
    </w:p>
    <w:p>
      <w:pPr>
        <w:numPr>
          <w:ilvl w:val="0"/>
          <w:numId w:val="1001"/>
        </w:numPr>
      </w:pPr>
      <w:r>
        <w:rPr>
          <w:rFonts w:hint="eastAsia"/>
        </w:rPr>
        <w:t xml:space="preserve">BrightNest应该提供清洁工具和产品吗？每种供应模式会带来哪些运营和法律后果？</w:t>
      </w:r>
    </w:p>
    <w:p>
      <w:pPr>
        <w:numPr>
          <w:ilvl w:val="0"/>
          <w:numId w:val="1001"/>
        </w:numPr>
      </w:pPr>
      <w:r>
        <w:rPr>
          <w:rFonts w:hint="eastAsia"/>
        </w:rPr>
        <w:t xml:space="preserve">管理层应监控哪些清洁工指标：活跃工时薪酬、总工时薪酬、接受率、取消率、留存率、评分，还是其他指标？</w:t>
      </w:r>
    </w:p>
    <w:p>
      <w:pPr>
        <w:numPr>
          <w:ilvl w:val="0"/>
          <w:numId w:val="1001"/>
        </w:numPr>
      </w:pPr>
      <w:r>
        <w:rPr>
          <w:rFonts w:hint="eastAsia"/>
        </w:rPr>
        <w:t xml:space="preserve">在不助长歧视性假设的前提下，移民政策的不确定性应如何影响市场选择、招聘、合规和情景规划？</w:t>
      </w:r>
    </w:p>
    <w:p>
      <w:pPr>
        <w:numPr>
          <w:ilvl w:val="0"/>
          <w:numId w:val="1001"/>
        </w:numPr>
      </w:pPr>
      <w:r>
        <w:rPr>
          <w:rFonts w:hint="eastAsia"/>
        </w:rPr>
        <w:t xml:space="preserve">BrightNest应采取五城密度策略、25城市场策略、全国可用性策略，还是另一种扩张顺序？</w:t>
      </w:r>
    </w:p>
    <w:p>
      <w:pPr>
        <w:numPr>
          <w:ilvl w:val="0"/>
          <w:numId w:val="1001"/>
        </w:numPr>
      </w:pPr>
      <w:r>
        <w:rPr>
          <w:rFonts w:hint="eastAsia"/>
        </w:rPr>
        <w:t xml:space="preserve">在公司投入大部分资本之前，哪些实验能够提供最大的信息价值？</w:t>
      </w:r>
    </w:p>
    <w:bookmarkEnd w:id="28"/>
    <w:bookmarkStart w:id="34"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识别并描述决策者的职责。这应当为问题设定范围。</w:t>
      </w:r>
    </w:p>
    <w:p>
      <w:pPr>
        <w:numPr>
          <w:ilvl w:val="0"/>
          <w:numId w:val="1002"/>
        </w:numPr>
      </w:pPr>
      <w:r>
        <w:rPr>
          <w:rFonts w:hint="eastAsia"/>
        </w:rPr>
        <w:t xml:space="preserve">使用</w:t>
      </w:r>
      <w:hyperlink r:id="rId29">
        <w:r>
          <w:rPr>
            <w:rStyle w:val="Hyperlink"/>
            <w:rFonts w:hint="eastAsia"/>
          </w:rPr>
          <w:t xml:space="preserve">指标金字塔工具</w:t>
        </w:r>
      </w:hyperlink>
      <w:r>
        <w:rPr>
          <w:rFonts w:hint="eastAsia"/>
        </w:rPr>
        <w:t xml:space="preserve">来识别并对不同的绩效指标进行优先级排序。点击承载指标的椭圆形，以标明该指标是需要最大化的（绿色）、需要最小化的（红色）、作为下限的目标值（浅绿色）、作为上限的目标值（浅红色），还是一个目标值（紫色）。</w:t>
      </w:r>
    </w:p>
    <w:p>
      <w:pPr>
        <w:numPr>
          <w:ilvl w:val="0"/>
          <w:numId w:val="1002"/>
        </w:numPr>
      </w:pPr>
      <w:r>
        <w:rPr>
          <w:rFonts w:hint="eastAsia"/>
        </w:rPr>
        <w:t xml:space="preserve">使用</w:t>
      </w:r>
      <w:hyperlink r:id="rId30">
        <w:r>
          <w:rPr>
            <w:rStyle w:val="Hyperlink"/>
            <w:rFonts w:hint="eastAsia"/>
          </w:rPr>
          <w:t xml:space="preserve">决策优先级排序工具</w:t>
        </w:r>
      </w:hyperlink>
      <w:r>
        <w:rPr>
          <w:rFonts w:hint="eastAsia"/>
        </w:rPr>
        <w:t xml:space="preserve">，首先列出不同类型的决策（可参考</w:t>
      </w:r>
      <w:hyperlink r:id="rId31">
        <w:r>
          <w:rPr>
            <w:rStyle w:val="Hyperlink"/>
            <w:rFonts w:hint="eastAsia"/>
          </w:rPr>
          <w:t xml:space="preserve">决策类型</w:t>
        </w:r>
      </w:hyperlink>
      <w:r>
        <w:rPr>
          <w:rFonts w:hint="eastAsia"/>
        </w:rPr>
        <w:t xml:space="preserve">作为指引）。这些决策随后将填充右侧矩阵的各行，而矩阵的列则按照上方金字塔中的优先级从左到右排列绩效指标。点击每个单元格，以标明该决策对每项指标的影响程度是高（红色）、中（橙色）、低（黄色）还是无（白色）。</w:t>
      </w:r>
    </w:p>
    <w:p>
      <w:pPr>
        <w:numPr>
          <w:ilvl w:val="0"/>
          <w:numId w:val="1002"/>
        </w:numPr>
      </w:pPr>
      <w:r>
        <w:rPr>
          <w:rFonts w:hint="eastAsia"/>
        </w:rPr>
        <w:t xml:space="preserve">你可以抓住每行最左侧的把手（三条横杠）将其上移或下移。对各行进行排序，使对最重要指标影响最大的决策位于顶部。左上角的单元格应集中最多的红色和橙色单元格。此时，识别出你的研究中应给予最多关注的决策。如果没有任何决策对最重要的指标产生中等或高度影响，请重新审视你的决策清单。</w:t>
      </w:r>
    </w:p>
    <w:p>
      <w:pPr>
        <w:numPr>
          <w:ilvl w:val="0"/>
          <w:numId w:val="1002"/>
        </w:numPr>
      </w:pPr>
      <w:r>
        <w:rPr>
          <w:rFonts w:hint="eastAsia"/>
        </w:rPr>
        <w:t xml:space="preserve">使用</w:t>
      </w:r>
      <w:hyperlink r:id="rId32">
        <w:r>
          <w:rPr>
            <w:rStyle w:val="Hyperlink"/>
            <w:rFonts w:hint="eastAsia"/>
          </w:rPr>
          <w:t xml:space="preserve">不确定性优先级排序工具</w:t>
        </w:r>
      </w:hyperlink>
      <w:r>
        <w:rPr>
          <w:rFonts w:hint="eastAsia"/>
        </w:rPr>
        <w:t xml:space="preserve">，重复上述过程来列出并排序不确定性。可使用</w:t>
      </w:r>
      <w:hyperlink r:id="rId33">
        <w:r>
          <w:rPr>
            <w:rStyle w:val="Hyperlink"/>
            <w:rFonts w:hint="eastAsia"/>
          </w:rPr>
          <w:t xml:space="preserve">不确定性类别</w:t>
        </w:r>
      </w:hyperlink>
      <w:r>
        <w:rPr>
          <w:rFonts w:hint="eastAsia"/>
        </w:rPr>
        <w:t xml:space="preserve">来帮助你识别这些不确定性。</w:t>
      </w:r>
    </w:p>
    <w:p>
      <w:pPr>
        <w:numPr>
          <w:ilvl w:val="0"/>
          <w:numId w:val="1002"/>
        </w:numPr>
      </w:pPr>
      <w:r>
        <w:rPr>
          <w:rFonts w:hint="eastAsia"/>
        </w:rPr>
        <w:t xml:space="preserve">区分那些可以按平均表现来评估的不确定性，以及那些属于风险事件的不确定性，这一点非常重要：</w:t>
      </w:r>
    </w:p>
    <w:p>
      <w:pPr>
        <w:numPr>
          <w:ilvl w:val="1"/>
          <w:numId w:val="1003"/>
        </w:numPr>
      </w:pPr>
      <w:r>
        <w:rPr>
          <w:rFonts w:hint="eastAsia"/>
        </w:rPr>
        <w:t xml:space="preserve">哪些不确定性来源可以通过一段时间内的平均表现来体现？</w:t>
      </w:r>
    </w:p>
    <w:p>
      <w:pPr>
        <w:numPr>
          <w:ilvl w:val="1"/>
          <w:numId w:val="1003"/>
        </w:numPr>
      </w:pPr>
      <w:r>
        <w:rPr>
          <w:rFonts w:hint="eastAsia"/>
        </w:rPr>
        <w:t xml:space="preserve">哪些不确定性来源代表了无法通过平均值恰当体现的风险形式？</w:t>
      </w:r>
    </w:p>
    <w:p>
      <w:pPr>
        <w:numPr>
          <w:ilvl w:val="0"/>
          <w:numId w:val="1002"/>
        </w:numPr>
      </w:pPr>
      <w:r>
        <w:rPr>
          <w:rFonts w:hint="eastAsia"/>
        </w:rPr>
        <w:t xml:space="preserve">选择对最重要指标似乎影响最大的单一决策。</w:t>
      </w:r>
    </w:p>
    <w:p>
      <w:pPr>
        <w:numPr>
          <w:ilvl w:val="1"/>
          <w:numId w:val="1004"/>
        </w:numPr>
      </w:pPr>
      <w:r>
        <w:rPr>
          <w:rFonts w:hint="eastAsia"/>
        </w:rPr>
        <w:t xml:space="preserve">你认为你会采用什么方法来做出这一决策？</w:t>
      </w:r>
    </w:p>
    <w:p>
      <w:pPr>
        <w:numPr>
          <w:ilvl w:val="1"/>
          <w:numId w:val="1004"/>
        </w:numPr>
      </w:pPr>
      <w:r>
        <w:rPr>
          <w:rFonts w:hint="eastAsia"/>
        </w:rPr>
        <w:t xml:space="preserve">做出这一决策似乎需要哪些数据，包括该决策具有高或中等影响的任何绩效指标的计算所需数据。</w:t>
      </w:r>
    </w:p>
    <w:p>
      <w:pPr>
        <w:numPr>
          <w:ilvl w:val="0"/>
          <w:numId w:val="1002"/>
        </w:numPr>
      </w:pPr>
      <w:r>
        <w:rPr>
          <w:rFonts w:hint="eastAsia"/>
        </w:rPr>
        <w:t xml:space="preserve">针对你在第(7)题中确定的同一决策，识别为实施该决策你需要合作的人员、部门、团队或组织。</w:t>
      </w:r>
    </w:p>
    <w:bookmarkEnd w:id="34"/>
    <w:bookmarkStart w:id="35" w:name="公开数据与案例假设"/>
    <w:p>
      <w:pPr>
        <w:pStyle w:val="Heading1"/>
      </w:pPr>
      <w:r>
        <w:rPr>
          <w:rFonts w:hint="eastAsia"/>
        </w:rPr>
        <w:t xml:space="preserve">公开数据与案例假设</w:t>
      </w:r>
    </w:p>
    <w:p>
      <w:pPr>
        <w:pStyle w:val="FirstParagraph"/>
      </w:pPr>
      <w:r>
        <w:rPr>
          <w:rFonts w:hint="eastAsia"/>
        </w:rPr>
        <w:t xml:space="preserve">本案例结合了公开统计数据与虚构的公司数据。市场规模估算属于情景计算，而非住宅清洁支出的官方衡量数据。关键的公开背景信息包括：</w:t>
      </w:r>
    </w:p>
    <w:p>
      <w:pPr>
        <w:numPr>
          <w:ilvl w:val="0"/>
          <w:numId w:val="1005"/>
        </w:numPr>
      </w:pPr>
      <w:r>
        <w:rPr>
          <w:rFonts w:hint="eastAsia"/>
        </w:rPr>
        <w:t xml:space="preserve">美国人口普查局QuickFacts：2020-2024年间，每户家庭约2.53人，结合全国人口估计数据，支持大约1.32亿户家庭这一数量级的估计。</w:t>
      </w:r>
    </w:p>
    <w:p>
      <w:pPr>
        <w:numPr>
          <w:ilvl w:val="0"/>
          <w:numId w:val="1005"/>
        </w:numPr>
      </w:pPr>
      <w:r>
        <w:rPr>
          <w:rFonts w:hint="eastAsia"/>
        </w:rPr>
        <w:t xml:space="preserve">美国劳工统计局，2025年5月职业就业与工资统计：860,670名女佣及家政清洁工；平均时薪17.83美元；中位时薪17.07美元。</w:t>
      </w:r>
    </w:p>
    <w:p>
      <w:pPr>
        <w:numPr>
          <w:ilvl w:val="0"/>
          <w:numId w:val="1005"/>
        </w:numPr>
      </w:pPr>
      <w:r>
        <w:rPr>
          <w:rFonts w:hint="eastAsia"/>
        </w:rPr>
        <w:t xml:space="preserve">美国劳工统计局，外国出生工人，2025年：外国出生的工人比本土出生的工人更可能从事服务性职业，比例分别为21.2%和15.6%。</w:t>
      </w:r>
    </w:p>
    <w:p>
      <w:pPr>
        <w:numPr>
          <w:ilvl w:val="0"/>
          <w:numId w:val="1005"/>
        </w:numPr>
      </w:pPr>
      <w:r>
        <w:rPr>
          <w:rFonts w:hint="eastAsia"/>
        </w:rPr>
        <w:t xml:space="preserve">人口普查局无雇员统计：清洁服务业是最大的可能属于零工经济的行业之一，2023年个体经营者的营业收入约为200亿美元。</w:t>
      </w:r>
    </w:p>
    <w:p>
      <w:pPr>
        <w:numPr>
          <w:ilvl w:val="0"/>
          <w:numId w:val="1005"/>
        </w:numPr>
      </w:pPr>
      <w:r>
        <w:rPr>
          <w:rFonts w:hint="eastAsia"/>
        </w:rPr>
        <w:t xml:space="preserve">美国公民及移民服务局I-9表格指南：美国雇主必须核实每一位被雇用员工的就业资格，包括美国公民，同时须遵守反歧视相关要求。</w:t>
      </w:r>
    </w:p>
    <w:p>
      <w:pPr>
        <w:pStyle w:val="FirstParagraph"/>
      </w:pPr>
      <w:r>
        <w:rPr>
          <w:rFonts w:hint="eastAsia"/>
        </w:rPr>
        <w:t xml:space="preserve">参考资料来源（2026年7月访问）：美国劳工统计局，职业就业与工资统计，2025年5月；美国劳工统计局，外国出生工人劳动力特征，2025年；美国人口普查局，QuickFacts及2023年无雇员统计；美国公民及移民服务局，I-9表格中心。所有BrightNest的价格、转化率、成本、预测及公司事件均为虚构。</w:t>
      </w:r>
    </w:p>
    <w:bookmarkEnd w:id="35"/>
    <w:bookmarkStart w:id="36" w:name="chatgpt-评论"/>
    <w:p>
      <w:pPr>
        <w:pStyle w:val="Heading1"/>
      </w:pPr>
      <w:r>
        <w:t xml:space="preserve">ChatGPT </w:t>
      </w:r>
      <w:r>
        <w:rPr>
          <w:rFonts w:hint="eastAsia"/>
        </w:rPr>
        <w:t xml:space="preserve">评论</w:t>
      </w:r>
    </w:p>
    <w:p>
      <w:pPr>
        <w:pStyle w:val="FirstParagraph"/>
      </w:pPr>
      <w:r>
        <w:rPr>
          <w:rFonts w:hint="eastAsia"/>
        </w:rPr>
        <w:t xml:space="preserve">本案例考察了一家虚构的初创公司，该公司必须同时建立顾客需求并招募地理上密集、可靠的清洁工网络。案例内容包括：</w:t>
      </w:r>
    </w:p>
    <w:p>
      <w:pPr>
        <w:numPr>
          <w:ilvl w:val="0"/>
          <w:numId w:val="1006"/>
        </w:numPr>
      </w:pPr>
      <w:r>
        <w:rPr>
          <w:rFonts w:hint="eastAsia"/>
        </w:rPr>
        <w:t xml:space="preserve">涵盖搜索、社交媒体、推荐、市场平台及机构合作伙伴关系的获客替代方案</w:t>
      </w:r>
    </w:p>
    <w:p>
      <w:pPr>
        <w:numPr>
          <w:ilvl w:val="0"/>
          <w:numId w:val="1006"/>
        </w:numPr>
      </w:pPr>
      <w:r>
        <w:rPr>
          <w:rFonts w:hint="eastAsia"/>
        </w:rPr>
        <w:t xml:space="preserve">首单折扣与顾客终身价值的不确定性</w:t>
      </w:r>
    </w:p>
    <w:p>
      <w:pPr>
        <w:numPr>
          <w:ilvl w:val="0"/>
          <w:numId w:val="1006"/>
        </w:numPr>
      </w:pPr>
      <w:r>
        <w:rPr>
          <w:rFonts w:hint="eastAsia"/>
        </w:rPr>
        <w:t xml:space="preserve">清洁工薪酬、灵活性、通勤时间、留存率与设备政策</w:t>
      </w:r>
    </w:p>
    <w:p>
      <w:pPr>
        <w:numPr>
          <w:ilvl w:val="0"/>
          <w:numId w:val="1006"/>
        </w:numPr>
      </w:pPr>
      <w:r>
        <w:rPr>
          <w:rFonts w:hint="eastAsia"/>
        </w:rPr>
        <w:t xml:space="preserve">雇员与独立承包商的考量</w:t>
      </w:r>
    </w:p>
    <w:p>
      <w:pPr>
        <w:numPr>
          <w:ilvl w:val="0"/>
          <w:numId w:val="1006"/>
        </w:numPr>
      </w:pPr>
      <w:r>
        <w:rPr>
          <w:rFonts w:hint="eastAsia"/>
        </w:rPr>
        <w:t xml:space="preserve">移民政策与就业核实方面的不确定性</w:t>
      </w:r>
    </w:p>
    <w:p>
      <w:pPr>
        <w:numPr>
          <w:ilvl w:val="0"/>
          <w:numId w:val="1006"/>
        </w:numPr>
      </w:pPr>
      <w:r>
        <w:rPr>
          <w:rFonts w:hint="eastAsia"/>
        </w:rPr>
        <w:t xml:space="preserve">区域性、多城市及全国性的推广策略</w:t>
      </w:r>
    </w:p>
    <w:p>
      <w:pPr>
        <w:numPr>
          <w:ilvl w:val="0"/>
          <w:numId w:val="1006"/>
        </w:numPr>
      </w:pPr>
      <w:r>
        <w:rPr>
          <w:rFonts w:hint="eastAsia"/>
        </w:rPr>
        <w:t xml:space="preserve">市场需求估算、单位经济效益、招聘漏斗与启动情景</w:t>
      </w:r>
    </w:p>
    <w:p>
      <w:pPr>
        <w:numPr>
          <w:ilvl w:val="0"/>
          <w:numId w:val="1006"/>
        </w:numPr>
      </w:pPr>
      <w:r>
        <w:rPr>
          <w:rFonts w:hint="eastAsia"/>
        </w:rPr>
        <w:t xml:space="preserve">十道讨论题，且不提供首选解决方案</w:t>
      </w:r>
    </w:p>
    <w:p>
      <w:pPr>
        <w:pStyle w:val="FirstParagraph"/>
      </w:pPr>
      <w:r>
        <w:rPr>
          <w:rFonts w:hint="eastAsia"/>
        </w:rPr>
        <w:t xml:space="preserve">劳动力背景数据采用了美国劳工统计局的最新估计，即截至2025年5月约有860,670名女佣及家政清洁工，平均时薪为17.83美元。案例还纳入了劳工统计局的调查结果，即2025年外国出生的工人在服务性职业中的集中程度高于本土出生的工人。</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2026-09-11T17:05:06Z</dcterms:created>
  <dcterms:modified xsi:type="dcterms:W3CDTF">2026-09-11T17:05:06Z</dcterms:modified>
</cp:coreProperties>
</file>

<file path=docProps/custom.xml><?xml version="1.0" encoding="utf-8"?>
<Properties xmlns="http://schemas.openxmlformats.org/officeDocument/2006/custom-properties" xmlns:vt="http://schemas.openxmlformats.org/officeDocument/2006/docPropsVTypes"/>
</file>