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Biotherapeutics</w:t>
      </w:r>
    </w:p>
    <w:p>
      <w:pPr>
        <w:pStyle w:val="BodyText"/>
      </w:pPr>
      <w:r>
        <w:rPr>
          <w:rFonts w:hint="eastAsia"/>
        </w:rPr>
        <w:t xml:space="preserve">第28周决策</w:t>
      </w:r>
    </w:p>
    <w:p>
      <w:pPr>
        <w:pStyle w:val="BodyText"/>
      </w:pPr>
      <w:r>
        <w:rPr>
          <w:rFonts w:hint="eastAsia"/>
          <w:i/>
          <w:iCs/>
        </w:rPr>
        <w:t xml:space="preserve">一个关于在时间、患者、资本和专利有效期均有限的情况下决定下一步学什么的临床开发案例</w:t>
      </w:r>
    </w:p>
    <w:p>
      <w:pPr>
        <w:pStyle w:val="BodyText"/>
      </w:pPr>
      <w:r>
        <w:rPr>
          <w:rFonts w:hint="eastAsia"/>
        </w:rPr>
        <w:t xml:space="preserve">本案例为虚构内容，旨在用于教学讨论。人名、事件、产品及公司数据均为虚构；公开统计数据在资料来源说明中列出。</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10月，Crestline必须决定是扩大、重新设计、暂停还是终止针对一种实验性炎症性肺病治疗药物的II期试验。早期结果显示部分患者出现明显改善，另一些患者受益甚微，且存在一个可能与也可能不与治疗相关的安全信号。入组进度落后六个月，一家竞争对手已宣布启动关键性试验，而Crestline的现金仅够推进一个主要开发项目。</w:t>
            </w:r>
          </w:p>
        </w:tc>
      </w:tr>
    </w:tbl>
    <w:p>
      <w:r>
        <w:pict>
          <v:rect style="width:0;height:1.5pt" o:hralign="center" o:hrstd="t" o:hr="t"/>
        </w:pict>
      </w:r>
    </w:p>
    <w:p>
      <w:pPr>
        <w:pStyle w:val="FirstParagraph"/>
      </w:pPr>
      <w:r>
        <w:rPr>
          <w:rFonts w:hint="eastAsia"/>
        </w:rPr>
        <w:t xml:space="preserve">本案例为虚构内容，旨在用于教学讨论。人名、事件、临床结果及内部财务数据均为本案例虚构创作。公开统计数据在资料来源说明中汇总。</w:t>
      </w:r>
    </w:p>
    <w:bookmarkStart w:id="9" w:name="期中审查"/>
    <w:p>
      <w:pPr>
        <w:pStyle w:val="Heading1"/>
      </w:pPr>
      <w:r>
        <w:rPr>
          <w:rFonts w:hint="eastAsia"/>
        </w:rPr>
        <w:t xml:space="preserve">期中审查</w:t>
      </w:r>
    </w:p>
    <w:p>
      <w:pPr>
        <w:pStyle w:val="FirstParagraph"/>
      </w:pPr>
      <w:r>
        <w:rPr>
          <w:rFonts w:hint="eastAsia"/>
        </w:rPr>
        <w:t xml:space="preserve">周一早上7点30分，Crestline</w:t>
      </w:r>
      <w:r>
        <w:t xml:space="preserve"> </w:t>
      </w:r>
      <w:r>
        <w:rPr>
          <w:rFonts w:hint="eastAsia"/>
        </w:rPr>
        <w:t xml:space="preserve">Biotherapeutics首席医学官Elena</w:t>
      </w:r>
      <w:r>
        <w:t xml:space="preserve"> </w:t>
      </w:r>
      <w:r>
        <w:rPr>
          <w:rFonts w:hint="eastAsia"/>
        </w:rPr>
        <w:t xml:space="preserve">Marquez博士打开了独立数据监察委员会的机密报告。该公司的主要候选药物CLN-47正在成人渐进性炎症性肺病患者中进行测试，这些患者在标准疗法下症状仍未得到良好控制。试验已入组164名随机分组患者，远低于计划的240名，但由于入组放缓且报告了多起不良事件，董事会已批准进行期中审查。</w:t>
      </w:r>
    </w:p>
    <w:p>
      <w:pPr>
        <w:pStyle w:val="BodyText"/>
      </w:pPr>
      <w:r>
        <w:rPr>
          <w:rFonts w:hint="eastAsia"/>
        </w:rPr>
        <w:t xml:space="preserve">报告并未给出Marquez所期望的简单答案。接受高剂量治疗的患者肺功能平均改善程度高于接受安慰剂的患者，但差异勉强未达到方案中规定的统计学阈值。通过血液生物标志物识别出的一个亚组似乎反应强烈。该亚组在试验开始时并未被指定为主要人群，且用于识别该亚组的实验室检测在两个试验点产生了不一致的结果。</w:t>
      </w:r>
    </w:p>
    <w:p>
      <w:pPr>
        <w:pStyle w:val="BodyText"/>
      </w:pPr>
      <w:r>
        <w:rPr>
          <w:rFonts w:hint="eastAsia"/>
        </w:rPr>
        <w:t xml:space="preserve">接受CLN-47治疗的患者中有5名出现严重肝酶升高，而接受安慰剂的患者中仅1名出现此情况。所有患者在中断治疗后均已恢复。研究者对这些事件是反映了药物本身、其他药物还是潜在疾病存在分歧。委员会未建议停止试验，但要求Crestline加强监测并明确暂停给药的条件。</w:t>
      </w:r>
    </w:p>
    <w:bookmarkEnd w:id="9"/>
    <w:bookmarkStart w:id="11" w:name="一条高成本低到达概率的路径"/>
    <w:p>
      <w:pPr>
        <w:pStyle w:val="Heading1"/>
      </w:pPr>
      <w:r>
        <w:rPr>
          <w:rFonts w:hint="eastAsia"/>
        </w:rPr>
        <w:t xml:space="preserve">一条高成本、低到达概率的路径</w:t>
      </w:r>
    </w:p>
    <w:p>
      <w:pPr>
        <w:pStyle w:val="FirstParagraph"/>
      </w:pPr>
      <w:r>
        <w:rPr>
          <w:rFonts w:hint="eastAsia"/>
        </w:rPr>
        <w:t xml:space="preserve">临床开发要求公司在不知道治疗方案是否安全、有效、可获批、可生产或能被市场接受之前，就投入大量资本。III期试验通常招募数百至数千名参与者，并提供监管审查所用证据的大部分内容。行业估计通常将一种获批药物的完整开发成本（包括失败项目在内）定为数十亿美元，耗时10至15年。</w:t>
      </w:r>
    </w:p>
    <w:p>
      <w:pPr>
        <w:pStyle w:val="BodyText"/>
      </w:pPr>
      <w:r>
        <w:rPr>
          <w:rFonts w:hint="eastAsia"/>
        </w:rPr>
        <w:t xml:space="preserve">失败很常见。已发表的估计因疾病领域和方法学不同而各异，但进入人体试验的化合物中只有少数最终获得批准。招募本身可能成为延误的主要来源：研究综述报告称，许多试验未能达到最初的入组目标或时间表，而一项对已注册试验的分析发现，已完成研究的中位延误约为十二个月，样本中超过五分之一的试验被中止。</w:t>
      </w:r>
    </w:p>
    <w:p>
      <w:pPr>
        <w:pStyle w:val="BodyText"/>
      </w:pPr>
      <w:r>
        <w:rPr>
          <w:rFonts w:hint="eastAsia"/>
        </w:rPr>
        <w:t xml:space="preserve">对Crestline而言，延误还有另一项成本。CLN-47的核心专利已于七年前提交申请。开发过程中每多花一年，公司在无需直接面对仿制药竞争的情况下销售该治疗方案的时间就会缩短。然而，操之过急可能导致研究检验力不足、使患者暴露于不安全的剂量之下，或导致监管机构拒绝相关证据。</w:t>
      </w:r>
    </w:p>
    <w:bookmarkStart w:id="10" w:name="图-1.-cln-47-ii期试验状态"/>
    <w:p>
      <w:pPr>
        <w:pStyle w:val="Heading2"/>
      </w:pPr>
      <w:r>
        <w:rPr>
          <w:rFonts w:hint="eastAsia"/>
        </w:rPr>
        <w:t xml:space="preserve">图</w:t>
      </w:r>
      <w:r>
        <w:t xml:space="preserve"> 1. CLN-47 </w:t>
      </w:r>
      <w:r>
        <w:rPr>
          <w:rFonts w:hint="eastAsia"/>
        </w:rPr>
        <w:t xml:space="preserve">II期试验状态</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方案计划</w:t>
            </w:r>
          </w:p>
        </w:tc>
        <w:tc>
          <w:tcPr/>
          <w:p>
            <w:pPr>
              <w:pStyle w:val="Compact"/>
              <w:jc w:val="center"/>
            </w:pPr>
            <w:r>
              <w:rPr>
                <w:rFonts w:hint="eastAsia"/>
              </w:rPr>
              <w:t xml:space="preserve">第28周状态</w:t>
            </w:r>
          </w:p>
        </w:tc>
        <w:tc>
          <w:tcPr/>
          <w:p>
            <w:pPr>
              <w:pStyle w:val="Compact"/>
              <w:jc w:val="left"/>
            </w:pPr>
            <w:r>
              <w:rPr>
                <w:rFonts w:hint="eastAsia"/>
              </w:rPr>
              <w:t xml:space="preserve">管理层关注点</w:t>
            </w:r>
          </w:p>
        </w:tc>
      </w:tr>
      <w:tr>
        <w:tc>
          <w:tcPr/>
          <w:p>
            <w:pPr>
              <w:pStyle w:val="Compact"/>
              <w:jc w:val="left"/>
            </w:pPr>
            <w:r>
              <w:rPr>
                <w:rFonts w:hint="eastAsia"/>
              </w:rPr>
              <w:t xml:space="preserve">随机分组患者</w:t>
            </w:r>
          </w:p>
        </w:tc>
        <w:tc>
          <w:tcPr/>
          <w:p>
            <w:pPr>
              <w:pStyle w:val="Compact"/>
              <w:jc w:val="center"/>
            </w:pPr>
            <w:r>
              <w:t xml:space="preserve">240</w:t>
            </w:r>
          </w:p>
        </w:tc>
        <w:tc>
          <w:tcPr/>
          <w:p>
            <w:pPr>
              <w:pStyle w:val="Compact"/>
              <w:jc w:val="center"/>
            </w:pPr>
            <w:r>
              <w:t xml:space="preserve">164</w:t>
            </w:r>
          </w:p>
        </w:tc>
        <w:tc>
          <w:tcPr/>
          <w:p>
            <w:pPr>
              <w:pStyle w:val="Compact"/>
              <w:jc w:val="left"/>
            </w:pPr>
            <w:r>
              <w:rPr>
                <w:rFonts w:hint="eastAsia"/>
              </w:rPr>
              <w:t xml:space="preserve">入组落后六个月</w:t>
            </w:r>
          </w:p>
        </w:tc>
      </w:tr>
      <w:tr>
        <w:tc>
          <w:tcPr/>
          <w:p>
            <w:pPr>
              <w:pStyle w:val="Compact"/>
              <w:jc w:val="left"/>
            </w:pPr>
            <w:r>
              <w:rPr>
                <w:rFonts w:hint="eastAsia"/>
              </w:rPr>
              <w:t xml:space="preserve">试验地点</w:t>
            </w:r>
          </w:p>
        </w:tc>
        <w:tc>
          <w:tcPr/>
          <w:p>
            <w:pPr>
              <w:pStyle w:val="Compact"/>
              <w:jc w:val="center"/>
            </w:pPr>
            <w:r>
              <w:t xml:space="preserve">32</w:t>
            </w:r>
          </w:p>
        </w:tc>
        <w:tc>
          <w:tcPr/>
          <w:p>
            <w:pPr>
              <w:pStyle w:val="Compact"/>
              <w:jc w:val="center"/>
            </w:pPr>
            <w:r>
              <w:rPr>
                <w:rFonts w:hint="eastAsia"/>
              </w:rPr>
              <w:t xml:space="preserve">29个开放；18个在积极入组</w:t>
            </w:r>
          </w:p>
        </w:tc>
        <w:tc>
          <w:tcPr/>
          <w:p>
            <w:pPr>
              <w:pStyle w:val="Compact"/>
              <w:jc w:val="left"/>
            </w:pPr>
            <w:r>
              <w:rPr>
                <w:rFonts w:hint="eastAsia"/>
              </w:rPr>
              <w:t xml:space="preserve">各地点之间差异较大</w:t>
            </w:r>
          </w:p>
        </w:tc>
      </w:tr>
      <w:tr>
        <w:tc>
          <w:tcPr/>
          <w:p>
            <w:pPr>
              <w:pStyle w:val="Compact"/>
              <w:jc w:val="left"/>
            </w:pPr>
            <w:r>
              <w:rPr>
                <w:rFonts w:hint="eastAsia"/>
              </w:rPr>
              <w:t xml:space="preserve">主要终点</w:t>
            </w:r>
          </w:p>
        </w:tc>
        <w:tc>
          <w:tcPr/>
          <w:p>
            <w:pPr>
              <w:pStyle w:val="Compact"/>
              <w:jc w:val="center"/>
            </w:pPr>
            <w:r>
              <w:rPr>
                <w:rFonts w:hint="eastAsia"/>
              </w:rPr>
              <w:t xml:space="preserve">24周时肺功能变化</w:t>
            </w:r>
          </w:p>
        </w:tc>
        <w:tc>
          <w:tcPr/>
          <w:p>
            <w:pPr>
              <w:pStyle w:val="Compact"/>
              <w:jc w:val="center"/>
            </w:pPr>
            <w:r>
              <w:rPr>
                <w:rFonts w:hint="eastAsia"/>
              </w:rPr>
              <w:t xml:space="preserve">高剂量组+3.8%；安慰剂组+1.9%</w:t>
            </w:r>
          </w:p>
        </w:tc>
        <w:tc>
          <w:tcPr/>
          <w:p>
            <w:pPr>
              <w:pStyle w:val="Compact"/>
              <w:jc w:val="left"/>
            </w:pPr>
            <w:r>
              <w:rPr>
                <w:rFonts w:hint="eastAsia"/>
              </w:rPr>
              <w:t xml:space="preserve">差异低于预设阈值</w:t>
            </w:r>
          </w:p>
        </w:tc>
      </w:tr>
      <w:tr>
        <w:tc>
          <w:tcPr/>
          <w:p>
            <w:pPr>
              <w:pStyle w:val="Compact"/>
              <w:jc w:val="left"/>
            </w:pPr>
            <w:r>
              <w:rPr>
                <w:rFonts w:hint="eastAsia"/>
              </w:rPr>
              <w:t xml:space="preserve">生物标志物阳性亚组</w:t>
            </w:r>
          </w:p>
        </w:tc>
        <w:tc>
          <w:tcPr/>
          <w:p>
            <w:pPr>
              <w:pStyle w:val="Compact"/>
              <w:jc w:val="center"/>
            </w:pPr>
            <w:r>
              <w:rPr>
                <w:rFonts w:hint="eastAsia"/>
              </w:rPr>
              <w:t xml:space="preserve">仅作为探索性分析</w:t>
            </w:r>
          </w:p>
        </w:tc>
        <w:tc>
          <w:tcPr/>
          <w:p>
            <w:pPr>
              <w:pStyle w:val="Compact"/>
              <w:jc w:val="center"/>
            </w:pPr>
            <w:r>
              <w:rPr>
                <w:rFonts w:hint="eastAsia"/>
              </w:rPr>
              <w:t xml:space="preserve">高剂量组+6.4%；安慰剂组+1.6%</w:t>
            </w:r>
          </w:p>
        </w:tc>
        <w:tc>
          <w:tcPr/>
          <w:p>
            <w:pPr>
              <w:pStyle w:val="Compact"/>
              <w:jc w:val="left"/>
            </w:pPr>
            <w:r>
              <w:rPr>
                <w:rFonts w:hint="eastAsia"/>
              </w:rPr>
              <w:t xml:space="preserve">有前景但非预设分析</w:t>
            </w:r>
          </w:p>
        </w:tc>
      </w:tr>
      <w:tr>
        <w:tc>
          <w:tcPr/>
          <w:p>
            <w:pPr>
              <w:pStyle w:val="Compact"/>
              <w:jc w:val="left"/>
            </w:pPr>
            <w:r>
              <w:rPr>
                <w:rFonts w:hint="eastAsia"/>
              </w:rPr>
              <w:t xml:space="preserve">严重肝脏信号</w:t>
            </w:r>
          </w:p>
        </w:tc>
        <w:tc>
          <w:tcPr/>
          <w:p>
            <w:pPr>
              <w:pStyle w:val="Compact"/>
              <w:jc w:val="center"/>
            </w:pPr>
            <w:r>
              <w:rPr>
                <w:rFonts w:hint="eastAsia"/>
              </w:rPr>
              <w:t xml:space="preserve">预期无失衡</w:t>
            </w:r>
          </w:p>
        </w:tc>
        <w:tc>
          <w:tcPr/>
          <w:p>
            <w:pPr>
              <w:pStyle w:val="Compact"/>
              <w:jc w:val="center"/>
            </w:pPr>
            <w:r>
              <w:rPr>
                <w:rFonts w:hint="eastAsia"/>
              </w:rPr>
              <w:t xml:space="preserve">治疗组5例；安慰剂组1例</w:t>
            </w:r>
          </w:p>
        </w:tc>
        <w:tc>
          <w:tcPr/>
          <w:p>
            <w:pPr>
              <w:pStyle w:val="Compact"/>
              <w:jc w:val="left"/>
            </w:pPr>
            <w:r>
              <w:rPr>
                <w:rFonts w:hint="eastAsia"/>
              </w:rPr>
              <w:t xml:space="preserve">因果关系尚不确定</w:t>
            </w:r>
          </w:p>
        </w:tc>
      </w:tr>
      <w:tr>
        <w:tc>
          <w:tcPr/>
          <w:p>
            <w:pPr>
              <w:pStyle w:val="Compact"/>
              <w:jc w:val="left"/>
            </w:pPr>
            <w:r>
              <w:rPr>
                <w:rFonts w:hint="eastAsia"/>
              </w:rPr>
              <w:t xml:space="preserve">参与者退出</w:t>
            </w:r>
          </w:p>
        </w:tc>
        <w:tc>
          <w:tcPr/>
          <w:p>
            <w:pPr>
              <w:pStyle w:val="Compact"/>
              <w:jc w:val="center"/>
            </w:pPr>
            <w:r>
              <w:rPr>
                <w:rFonts w:hint="eastAsia"/>
              </w:rPr>
              <w:t xml:space="preserve">低于15%</w:t>
            </w:r>
          </w:p>
        </w:tc>
        <w:tc>
          <w:tcPr/>
          <w:p>
            <w:pPr>
              <w:pStyle w:val="Compact"/>
              <w:jc w:val="center"/>
            </w:pPr>
            <w:r>
              <w:rPr>
                <w:rFonts w:hint="eastAsia"/>
              </w:rPr>
              <w:t xml:space="preserve">高剂量组18%；低剂量组12%；安慰剂组10%</w:t>
            </w:r>
          </w:p>
        </w:tc>
        <w:tc>
          <w:tcPr/>
          <w:p>
            <w:pPr>
              <w:pStyle w:val="Compact"/>
              <w:jc w:val="left"/>
            </w:pPr>
            <w:r>
              <w:rPr>
                <w:rFonts w:hint="eastAsia"/>
              </w:rPr>
              <w:t xml:space="preserve">副作用及随访负担</w:t>
            </w:r>
          </w:p>
        </w:tc>
      </w:tr>
      <w:tr>
        <w:tc>
          <w:tcPr/>
          <w:p>
            <w:pPr>
              <w:pStyle w:val="Compact"/>
              <w:jc w:val="left"/>
            </w:pPr>
            <w:r>
              <w:rPr>
                <w:rFonts w:hint="eastAsia"/>
              </w:rPr>
              <w:t xml:space="preserve">当前试验支出</w:t>
            </w:r>
          </w:p>
        </w:tc>
        <w:tc>
          <w:tcPr/>
          <w:p>
            <w:pPr>
              <w:pStyle w:val="Compact"/>
              <w:jc w:val="center"/>
            </w:pPr>
            <w:r>
              <w:rPr>
                <w:rFonts w:hint="eastAsia"/>
              </w:rPr>
              <w:t xml:space="preserve">总计$42</w:t>
            </w:r>
            <w:r>
              <w:t xml:space="preserve"> million</w:t>
            </w:r>
          </w:p>
        </w:tc>
        <w:tc>
          <w:tcPr/>
          <w:p>
            <w:pPr>
              <w:pStyle w:val="Compact"/>
              <w:jc w:val="center"/>
            </w:pPr>
            <w:r>
              <w:rPr>
                <w:rFonts w:hint="eastAsia"/>
              </w:rPr>
              <w:t xml:space="preserve">已承诺$34.6</w:t>
            </w:r>
            <w:r>
              <w:t xml:space="preserve"> million</w:t>
            </w:r>
          </w:p>
        </w:tc>
        <w:tc>
          <w:tcPr/>
          <w:p>
            <w:pPr>
              <w:pStyle w:val="Compact"/>
              <w:jc w:val="left"/>
            </w:pPr>
            <w:r>
              <w:rPr>
                <w:rFonts w:hint="eastAsia"/>
              </w:rPr>
              <w:t xml:space="preserve">需要额外监测</w:t>
            </w:r>
          </w:p>
        </w:tc>
      </w:tr>
    </w:tbl>
    <w:bookmarkEnd w:id="10"/>
    <w:bookmarkEnd w:id="11"/>
    <w:bookmarkStart w:id="13" w:name="crestline能找到的患者"/>
    <w:p>
      <w:pPr>
        <w:pStyle w:val="Heading1"/>
      </w:pPr>
      <w:r>
        <w:rPr>
          <w:rFonts w:hint="eastAsia"/>
        </w:rPr>
        <w:t xml:space="preserve">Crestline能找到的患者</w:t>
      </w:r>
    </w:p>
    <w:p>
      <w:pPr>
        <w:pStyle w:val="FirstParagraph"/>
      </w:pPr>
      <w:r>
        <w:rPr>
          <w:rFonts w:hint="eastAsia"/>
        </w:rPr>
        <w:t xml:space="preserve">据估计，美国约有185,000名成人患有该疾病，但只有一小部分符合研究标准。候选患者必须有记录在案的病情进展、稳定的背景治疗、足够的肝肾功能，且近期未参与其他试验。许多患者年龄较大，居住地远离专科中心，或依赖家人提供交通接送。方案要求在三十二周内进行十一次现场就诊、重复的血液检测、影像学检查以及六分钟步行评估。</w:t>
      </w:r>
    </w:p>
    <w:p>
      <w:pPr>
        <w:pStyle w:val="BodyText"/>
      </w:pPr>
      <w:r>
        <w:rPr>
          <w:rFonts w:hint="eastAsia"/>
        </w:rPr>
        <w:t xml:space="preserve">Crestline最初选择了知名学术医院，因为这些医院的医生了解该疾病并能管理复杂患者。但这些中心也有相互竞争的研究项目、漫长的合同流程以及有限的协调员能力。七个试验点入组患者不足两名。三家社区肺科诊所入组速度较快，但产生了更多方案偏离。一家移动研究供应商提议提供家庭采血和远程症状监测服务，但监管机构尚未审查修订后的运营计划，且多位研究者质疑去中心化评估是否能与医院测量结果相媲美。</w:t>
      </w:r>
    </w:p>
    <w:bookmarkStart w:id="12" w:name="图-2.-按试验点类型划分的入组表现"/>
    <w:p>
      <w:pPr>
        <w:pStyle w:val="Heading2"/>
      </w:pPr>
      <w:r>
        <w:rPr>
          <w:rFonts w:hint="eastAsia"/>
        </w:rPr>
        <w:t xml:space="preserve">图</w:t>
      </w:r>
      <w:r>
        <w:t xml:space="preserve"> 2. </w:t>
      </w:r>
      <w:r>
        <w:rPr>
          <w:rFonts w:hint="eastAsia"/>
        </w:rPr>
        <w:t xml:space="preserve">按试验点类型划分的入组表现</w:t>
      </w:r>
    </w:p>
    <w:tbl>
      <w:tblPr>
        <w:tblStyle w:val="Table"/>
        <w:tblW w:type="pct" w:w="4933"/>
        <w:tblLayout w:type="fixed"/>
        <w:tblLook w:firstRow="1" w:lastRow="0" w:firstColumn="0" w:lastColumn="0" w:noHBand="0" w:noVBand="0" w:val="0020"/>
      </w:tblPr>
      <w:tblGrid>
        <w:gridCol w:w="1689"/>
        <w:gridCol w:w="686"/>
        <w:gridCol w:w="1161"/>
        <w:gridCol w:w="897"/>
        <w:gridCol w:w="1267"/>
        <w:gridCol w:w="2112"/>
      </w:tblGrid>
      <w:tr>
        <w:trPr>
          <w:tblHeader w:val="on"/>
        </w:trPr>
        <w:tc>
          <w:tcPr/>
          <w:p>
            <w:pPr>
              <w:pStyle w:val="Compact"/>
              <w:jc w:val="left"/>
            </w:pPr>
            <w:r>
              <w:rPr>
                <w:rFonts w:hint="eastAsia"/>
              </w:rPr>
              <w:t xml:space="preserve">试验点类型</w:t>
            </w:r>
          </w:p>
        </w:tc>
        <w:tc>
          <w:tcPr/>
          <w:p>
            <w:pPr>
              <w:pStyle w:val="Compact"/>
              <w:jc w:val="right"/>
            </w:pPr>
            <w:r>
              <w:rPr>
                <w:rFonts w:hint="eastAsia"/>
              </w:rPr>
              <w:t xml:space="preserve">开放试验点数</w:t>
            </w:r>
          </w:p>
        </w:tc>
        <w:tc>
          <w:tcPr/>
          <w:p>
            <w:pPr>
              <w:pStyle w:val="Compact"/>
              <w:jc w:val="center"/>
            </w:pPr>
            <w:r>
              <w:rPr>
                <w:rFonts w:hint="eastAsia"/>
              </w:rPr>
              <w:t xml:space="preserve">已随机入组患者数</w:t>
            </w:r>
          </w:p>
        </w:tc>
        <w:tc>
          <w:tcPr/>
          <w:p>
            <w:pPr>
              <w:pStyle w:val="Compact"/>
              <w:jc w:val="center"/>
            </w:pPr>
            <w:r>
              <w:rPr>
                <w:rFonts w:hint="eastAsia"/>
              </w:rPr>
              <w:t xml:space="preserve">筛选失败率</w:t>
            </w:r>
          </w:p>
        </w:tc>
        <w:tc>
          <w:tcPr/>
          <w:p>
            <w:pPr>
              <w:pStyle w:val="Compact"/>
              <w:jc w:val="center"/>
            </w:pPr>
            <w:r>
              <w:rPr>
                <w:rFonts w:hint="eastAsia"/>
              </w:rPr>
              <w:t xml:space="preserve">每试验点月度成本</w:t>
            </w:r>
          </w:p>
        </w:tc>
        <w:tc>
          <w:tcPr/>
          <w:p>
            <w:pPr>
              <w:pStyle w:val="Compact"/>
              <w:jc w:val="center"/>
            </w:pPr>
            <w:r>
              <w:rPr>
                <w:rFonts w:hint="eastAsia"/>
              </w:rPr>
              <w:t xml:space="preserve">观察到的问题</w:t>
            </w:r>
          </w:p>
        </w:tc>
      </w:tr>
      <w:tr>
        <w:tc>
          <w:tcPr/>
          <w:p>
            <w:pPr>
              <w:pStyle w:val="Compact"/>
              <w:jc w:val="left"/>
            </w:pPr>
            <w:r>
              <w:rPr>
                <w:rFonts w:hint="eastAsia"/>
              </w:rPr>
              <w:t xml:space="preserve">学术医疗中心</w:t>
            </w:r>
          </w:p>
        </w:tc>
        <w:tc>
          <w:tcPr/>
          <w:p>
            <w:pPr>
              <w:pStyle w:val="Compact"/>
              <w:jc w:val="right"/>
            </w:pPr>
            <w:r>
              <w:t xml:space="preserve">16</w:t>
            </w:r>
          </w:p>
        </w:tc>
        <w:tc>
          <w:tcPr/>
          <w:p>
            <w:pPr>
              <w:pStyle w:val="Compact"/>
              <w:jc w:val="center"/>
            </w:pPr>
            <w:r>
              <w:t xml:space="preserve">91</w:t>
            </w:r>
          </w:p>
        </w:tc>
        <w:tc>
          <w:tcPr/>
          <w:p>
            <w:pPr>
              <w:pStyle w:val="Compact"/>
              <w:jc w:val="center"/>
            </w:pPr>
            <w:r>
              <w:t xml:space="preserve">48%</w:t>
            </w:r>
          </w:p>
        </w:tc>
        <w:tc>
          <w:tcPr/>
          <w:p>
            <w:pPr>
              <w:pStyle w:val="Compact"/>
              <w:jc w:val="center"/>
            </w:pPr>
            <w:r>
              <w:t xml:space="preserve">$68,000</w:t>
            </w:r>
          </w:p>
        </w:tc>
        <w:tc>
          <w:tcPr/>
          <w:p>
            <w:pPr>
              <w:pStyle w:val="Compact"/>
              <w:jc w:val="center"/>
            </w:pPr>
            <w:r>
              <w:rPr>
                <w:rFonts w:hint="eastAsia"/>
              </w:rPr>
              <w:t xml:space="preserve">合同流程缓慢；数据质量优良</w:t>
            </w:r>
          </w:p>
        </w:tc>
      </w:tr>
      <w:tr>
        <w:tc>
          <w:tcPr/>
          <w:p>
            <w:pPr>
              <w:pStyle w:val="Compact"/>
              <w:jc w:val="left"/>
            </w:pPr>
            <w:r>
              <w:rPr>
                <w:rFonts w:hint="eastAsia"/>
              </w:rPr>
              <w:t xml:space="preserve">区域医院</w:t>
            </w:r>
          </w:p>
        </w:tc>
        <w:tc>
          <w:tcPr/>
          <w:p>
            <w:pPr>
              <w:pStyle w:val="Compact"/>
              <w:jc w:val="right"/>
            </w:pPr>
            <w:r>
              <w:t xml:space="preserve">8</w:t>
            </w:r>
          </w:p>
        </w:tc>
        <w:tc>
          <w:tcPr/>
          <w:p>
            <w:pPr>
              <w:pStyle w:val="Compact"/>
              <w:jc w:val="center"/>
            </w:pPr>
            <w:r>
              <w:t xml:space="preserve">38</w:t>
            </w:r>
          </w:p>
        </w:tc>
        <w:tc>
          <w:tcPr/>
          <w:p>
            <w:pPr>
              <w:pStyle w:val="Compact"/>
              <w:jc w:val="center"/>
            </w:pPr>
            <w:r>
              <w:t xml:space="preserve">42%</w:t>
            </w:r>
          </w:p>
        </w:tc>
        <w:tc>
          <w:tcPr/>
          <w:p>
            <w:pPr>
              <w:pStyle w:val="Compact"/>
              <w:jc w:val="center"/>
            </w:pPr>
            <w:r>
              <w:t xml:space="preserve">$47,000</w:t>
            </w:r>
          </w:p>
        </w:tc>
        <w:tc>
          <w:tcPr/>
          <w:p>
            <w:pPr>
              <w:pStyle w:val="Compact"/>
              <w:jc w:val="center"/>
            </w:pPr>
            <w:r>
              <w:rPr>
                <w:rFonts w:hint="eastAsia"/>
              </w:rPr>
              <w:t xml:space="preserve">研究者关注度参差不齐</w:t>
            </w:r>
          </w:p>
        </w:tc>
      </w:tr>
      <w:tr>
        <w:tc>
          <w:tcPr/>
          <w:p>
            <w:pPr>
              <w:pStyle w:val="Compact"/>
              <w:jc w:val="left"/>
            </w:pPr>
            <w:r>
              <w:rPr>
                <w:rFonts w:hint="eastAsia"/>
              </w:rPr>
              <w:t xml:space="preserve">社区肺科诊所</w:t>
            </w:r>
          </w:p>
        </w:tc>
        <w:tc>
          <w:tcPr/>
          <w:p>
            <w:pPr>
              <w:pStyle w:val="Compact"/>
              <w:jc w:val="right"/>
            </w:pPr>
            <w:r>
              <w:t xml:space="preserve">5</w:t>
            </w:r>
          </w:p>
        </w:tc>
        <w:tc>
          <w:tcPr/>
          <w:p>
            <w:pPr>
              <w:pStyle w:val="Compact"/>
              <w:jc w:val="center"/>
            </w:pPr>
            <w:r>
              <w:t xml:space="preserve">29</w:t>
            </w:r>
          </w:p>
        </w:tc>
        <w:tc>
          <w:tcPr/>
          <w:p>
            <w:pPr>
              <w:pStyle w:val="Compact"/>
              <w:jc w:val="center"/>
            </w:pPr>
            <w:r>
              <w:t xml:space="preserve">31%</w:t>
            </w:r>
          </w:p>
        </w:tc>
        <w:tc>
          <w:tcPr/>
          <w:p>
            <w:pPr>
              <w:pStyle w:val="Compact"/>
              <w:jc w:val="center"/>
            </w:pPr>
            <w:r>
              <w:t xml:space="preserve">$34,000</w:t>
            </w:r>
          </w:p>
        </w:tc>
        <w:tc>
          <w:tcPr/>
          <w:p>
            <w:pPr>
              <w:pStyle w:val="Compact"/>
              <w:jc w:val="center"/>
            </w:pPr>
            <w:r>
              <w:rPr>
                <w:rFonts w:hint="eastAsia"/>
              </w:rPr>
              <w:t xml:space="preserve">入组更快；方案偏离更多</w:t>
            </w:r>
          </w:p>
        </w:tc>
      </w:tr>
      <w:tr>
        <w:tc>
          <w:tcPr/>
          <w:p>
            <w:pPr>
              <w:pStyle w:val="Compact"/>
              <w:jc w:val="left"/>
            </w:pPr>
            <w:r>
              <w:rPr>
                <w:rFonts w:hint="eastAsia"/>
              </w:rPr>
              <w:t xml:space="preserve">专门研究诊所</w:t>
            </w:r>
          </w:p>
        </w:tc>
        <w:tc>
          <w:tcPr/>
          <w:p>
            <w:pPr>
              <w:pStyle w:val="Compact"/>
              <w:jc w:val="right"/>
            </w:pPr>
            <w:r>
              <w:t xml:space="preserve">3</w:t>
            </w:r>
          </w:p>
        </w:tc>
        <w:tc>
          <w:tcPr/>
          <w:p>
            <w:pPr>
              <w:pStyle w:val="Compact"/>
              <w:jc w:val="center"/>
            </w:pPr>
            <w:r>
              <w:t xml:space="preserve">6</w:t>
            </w:r>
          </w:p>
        </w:tc>
        <w:tc>
          <w:tcPr/>
          <w:p>
            <w:pPr>
              <w:pStyle w:val="Compact"/>
              <w:jc w:val="center"/>
            </w:pPr>
            <w:r>
              <w:t xml:space="preserve">55%</w:t>
            </w:r>
          </w:p>
        </w:tc>
        <w:tc>
          <w:tcPr/>
          <w:p>
            <w:pPr>
              <w:pStyle w:val="Compact"/>
              <w:jc w:val="center"/>
            </w:pPr>
            <w:r>
              <w:t xml:space="preserve">$51,000</w:t>
            </w:r>
          </w:p>
        </w:tc>
        <w:tc>
          <w:tcPr/>
          <w:p>
            <w:pPr>
              <w:pStyle w:val="Compact"/>
              <w:jc w:val="center"/>
            </w:pPr>
            <w:r>
              <w:rPr>
                <w:rFonts w:hint="eastAsia"/>
              </w:rPr>
              <w:t xml:space="preserve">转诊网络薄弱</w:t>
            </w:r>
          </w:p>
        </w:tc>
      </w:tr>
    </w:tbl>
    <w:p>
      <w:pPr>
        <w:pStyle w:val="BodyText"/>
      </w:pPr>
      <w:r>
        <w:rPr>
          <w:rFonts w:hint="eastAsia"/>
        </w:rPr>
        <w:t xml:space="preserve">商业团队提议在都市零售场所开设十二家专门诊所，并通过社交媒体和疾病倡导团体直接向患者做广告。临床团队担心，激进的招募可能会产生大量不符合条件的候选人、提高重症患者的期望值，并造成公司在药物获批前进行营销的观感。患者倡导者则认为，差旅报销、晚间预约、翻译材料和上门访视比单纯的广告更能拓宽可及性。</w:t>
      </w:r>
    </w:p>
    <w:bookmarkEnd w:id="12"/>
    <w:bookmarkEnd w:id="13"/>
    <w:bookmarkStart w:id="15" w:name="期中结果意味着什么"/>
    <w:p>
      <w:pPr>
        <w:pStyle w:val="Heading1"/>
      </w:pPr>
      <w:r>
        <w:rPr>
          <w:rFonts w:hint="eastAsia"/>
        </w:rPr>
        <w:t xml:space="preserve">期中结果意味着什么</w:t>
      </w:r>
    </w:p>
    <w:p>
      <w:pPr>
        <w:pStyle w:val="FirstParagraph"/>
      </w:pPr>
      <w:r>
        <w:rPr>
          <w:rFonts w:hint="eastAsia"/>
        </w:rPr>
        <w:t xml:space="preserve">试验统计学家提出了三种解释。第一种是CLN-47在整体人群中可能产生了适度的益处，但试验参与者太少，无法将其与偶然性明确区分开来。第二种是该治疗主要在生物标志物阳性患者中起效。第三种是该亚组结果是在查看数据后测试了众多可能的患者特征而产生的伪象。</w:t>
      </w:r>
    </w:p>
    <w:p>
      <w:pPr>
        <w:pStyle w:val="BodyText"/>
      </w:pPr>
      <w:r>
        <w:rPr>
          <w:rFonts w:hint="eastAsia"/>
        </w:rPr>
        <w:t xml:space="preserve">每种解释都指向不同的下一步行动。完成原方案将保留原有设计，但需要更多患者，也许还需再多九个月时间。扩大生物标志物阳性组可能更快提供更大效应的证据，但需要改变统计分析方法并验证检测方法。降低高剂量或许能解决安全性问题，但会削弱疗效。Crestline也可以停止该研究，将资本留给另一种四个月后将出Ⅰ期结果的化合物。</w:t>
      </w:r>
    </w:p>
    <w:bookmarkStart w:id="14" w:name="图-3.-提交董事会的开发备选方案"/>
    <w:p>
      <w:pPr>
        <w:pStyle w:val="Heading2"/>
      </w:pPr>
      <w:r>
        <w:rPr>
          <w:rFonts w:hint="eastAsia"/>
        </w:rPr>
        <w:t xml:space="preserve">图</w:t>
      </w:r>
      <w:r>
        <w:t xml:space="preserve"> 3. </w:t>
      </w:r>
      <w:r>
        <w:rPr>
          <w:rFonts w:hint="eastAsia"/>
        </w:rPr>
        <w:t xml:space="preserve">提交董事会的开发备选方案</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rPr>
                <w:rFonts w:hint="eastAsia"/>
              </w:rPr>
              <w:t xml:space="preserve">备选方案</w:t>
            </w:r>
          </w:p>
        </w:tc>
        <w:tc>
          <w:tcPr/>
          <w:p>
            <w:pPr>
              <w:pStyle w:val="Compact"/>
              <w:jc w:val="center"/>
            </w:pPr>
            <w:r>
              <w:rPr>
                <w:rFonts w:hint="eastAsia"/>
              </w:rPr>
              <w:t xml:space="preserve">额外成本</w:t>
            </w:r>
          </w:p>
        </w:tc>
        <w:tc>
          <w:tcPr/>
          <w:p>
            <w:pPr>
              <w:pStyle w:val="Compact"/>
              <w:jc w:val="center"/>
            </w:pPr>
            <w:r>
              <w:rPr>
                <w:rFonts w:hint="eastAsia"/>
              </w:rPr>
              <w:t xml:space="preserve">预计时间</w:t>
            </w:r>
          </w:p>
        </w:tc>
        <w:tc>
          <w:tcPr/>
          <w:p>
            <w:pPr>
              <w:pStyle w:val="Compact"/>
              <w:jc w:val="center"/>
            </w:pPr>
            <w:r>
              <w:rPr>
                <w:rFonts w:hint="eastAsia"/>
              </w:rPr>
              <w:t xml:space="preserve">所需患者数</w:t>
            </w:r>
          </w:p>
        </w:tc>
        <w:tc>
          <w:tcPr/>
          <w:p>
            <w:pPr>
              <w:pStyle w:val="Compact"/>
              <w:jc w:val="center"/>
            </w:pPr>
            <w:r>
              <w:rPr>
                <w:rFonts w:hint="eastAsia"/>
              </w:rPr>
              <w:t xml:space="preserve">主要风险敞口</w:t>
            </w:r>
          </w:p>
        </w:tc>
      </w:tr>
      <w:tr>
        <w:tc>
          <w:tcPr/>
          <w:p>
            <w:pPr>
              <w:pStyle w:val="Compact"/>
              <w:jc w:val="left"/>
            </w:pPr>
            <w:r>
              <w:rPr>
                <w:rFonts w:hint="eastAsia"/>
              </w:rPr>
              <w:t xml:space="preserve">完成原II期方案</w:t>
            </w:r>
          </w:p>
        </w:tc>
        <w:tc>
          <w:tcPr/>
          <w:p>
            <w:pPr>
              <w:pStyle w:val="Compact"/>
              <w:jc w:val="center"/>
            </w:pPr>
            <w:r>
              <w:t xml:space="preserve">$23 million</w:t>
            </w:r>
          </w:p>
        </w:tc>
        <w:tc>
          <w:tcPr/>
          <w:p>
            <w:pPr>
              <w:pStyle w:val="Compact"/>
              <w:jc w:val="center"/>
            </w:pPr>
            <w:r>
              <w:rPr>
                <w:rFonts w:hint="eastAsia"/>
              </w:rPr>
              <w:t xml:space="preserve">9-12个月</w:t>
            </w:r>
          </w:p>
        </w:tc>
        <w:tc>
          <w:tcPr/>
          <w:p>
            <w:pPr>
              <w:pStyle w:val="Compact"/>
              <w:jc w:val="center"/>
            </w:pPr>
            <w:r>
              <w:t xml:space="preserve">76</w:t>
            </w:r>
          </w:p>
        </w:tc>
        <w:tc>
          <w:tcPr/>
          <w:p>
            <w:pPr>
              <w:pStyle w:val="Compact"/>
              <w:jc w:val="center"/>
            </w:pPr>
            <w:r>
              <w:rPr>
                <w:rFonts w:hint="eastAsia"/>
              </w:rPr>
              <w:t xml:space="preserve">模糊的平均效应可能持续存在</w:t>
            </w:r>
          </w:p>
        </w:tc>
      </w:tr>
      <w:tr>
        <w:tc>
          <w:tcPr/>
          <w:p>
            <w:pPr>
              <w:pStyle w:val="Compact"/>
              <w:jc w:val="left"/>
            </w:pPr>
            <w:r>
              <w:rPr>
                <w:rFonts w:hint="eastAsia"/>
              </w:rPr>
              <w:t xml:space="preserve">扩展至生物标志物阳性队列</w:t>
            </w:r>
          </w:p>
        </w:tc>
        <w:tc>
          <w:tcPr/>
          <w:p>
            <w:pPr>
              <w:pStyle w:val="Compact"/>
              <w:jc w:val="center"/>
            </w:pPr>
            <w:r>
              <w:t xml:space="preserve">$38 million</w:t>
            </w:r>
          </w:p>
        </w:tc>
        <w:tc>
          <w:tcPr/>
          <w:p>
            <w:pPr>
              <w:pStyle w:val="Compact"/>
              <w:jc w:val="center"/>
            </w:pPr>
            <w:r>
              <w:rPr>
                <w:rFonts w:hint="eastAsia"/>
              </w:rPr>
              <w:t xml:space="preserve">12-15个月</w:t>
            </w:r>
          </w:p>
        </w:tc>
        <w:tc>
          <w:tcPr/>
          <w:p>
            <w:pPr>
              <w:pStyle w:val="Compact"/>
              <w:jc w:val="center"/>
            </w:pPr>
            <w:r>
              <w:t xml:space="preserve">120</w:t>
            </w:r>
          </w:p>
        </w:tc>
        <w:tc>
          <w:tcPr/>
          <w:p>
            <w:pPr>
              <w:pStyle w:val="Compact"/>
              <w:jc w:val="center"/>
            </w:pPr>
            <w:r>
              <w:rPr>
                <w:rFonts w:hint="eastAsia"/>
              </w:rPr>
              <w:t xml:space="preserve">检测方法及亚组结果可能不被接受</w:t>
            </w:r>
          </w:p>
        </w:tc>
      </w:tr>
      <w:tr>
        <w:tc>
          <w:tcPr/>
          <w:p>
            <w:pPr>
              <w:pStyle w:val="Compact"/>
              <w:jc w:val="left"/>
            </w:pPr>
            <w:r>
              <w:rPr>
                <w:rFonts w:hint="eastAsia"/>
              </w:rPr>
              <w:t xml:space="preserve">重新设计剂量及监测方案</w:t>
            </w:r>
          </w:p>
        </w:tc>
        <w:tc>
          <w:tcPr/>
          <w:p>
            <w:pPr>
              <w:pStyle w:val="Compact"/>
              <w:jc w:val="center"/>
            </w:pPr>
            <w:r>
              <w:t xml:space="preserve">$46 million</w:t>
            </w:r>
          </w:p>
        </w:tc>
        <w:tc>
          <w:tcPr/>
          <w:p>
            <w:pPr>
              <w:pStyle w:val="Compact"/>
              <w:jc w:val="center"/>
            </w:pPr>
            <w:r>
              <w:rPr>
                <w:rFonts w:hint="eastAsia"/>
              </w:rPr>
              <w:t xml:space="preserve">15-18个月</w:t>
            </w:r>
          </w:p>
        </w:tc>
        <w:tc>
          <w:tcPr/>
          <w:p>
            <w:pPr>
              <w:pStyle w:val="Compact"/>
              <w:jc w:val="center"/>
            </w:pPr>
            <w:r>
              <w:t xml:space="preserve">150</w:t>
            </w:r>
          </w:p>
        </w:tc>
        <w:tc>
          <w:tcPr/>
          <w:p>
            <w:pPr>
              <w:pStyle w:val="Compact"/>
              <w:jc w:val="center"/>
            </w:pPr>
            <w:r>
              <w:rPr>
                <w:rFonts w:hint="eastAsia"/>
              </w:rPr>
              <w:t xml:space="preserve">较低剂量可能丧失疗效</w:t>
            </w:r>
          </w:p>
        </w:tc>
      </w:tr>
      <w:tr>
        <w:tc>
          <w:tcPr/>
          <w:p>
            <w:pPr>
              <w:pStyle w:val="Compact"/>
              <w:jc w:val="left"/>
            </w:pPr>
            <w:r>
              <w:rPr>
                <w:rFonts w:hint="eastAsia"/>
              </w:rPr>
              <w:t xml:space="preserve">现在启动III期规划</w:t>
            </w:r>
          </w:p>
        </w:tc>
        <w:tc>
          <w:tcPr/>
          <w:p>
            <w:pPr>
              <w:pStyle w:val="Compact"/>
              <w:jc w:val="center"/>
            </w:pPr>
            <w:r>
              <w:t xml:space="preserve">$118 </w:t>
            </w:r>
            <w:r>
              <w:rPr>
                <w:rFonts w:hint="eastAsia"/>
              </w:rPr>
              <w:t xml:space="preserve">million（首个重大读出前）</w:t>
            </w:r>
          </w:p>
        </w:tc>
        <w:tc>
          <w:tcPr/>
          <w:p>
            <w:pPr>
              <w:pStyle w:val="Compact"/>
              <w:jc w:val="center"/>
            </w:pPr>
            <w:r>
              <w:rPr>
                <w:rFonts w:hint="eastAsia"/>
              </w:rPr>
              <w:t xml:space="preserve">30-36个月</w:t>
            </w:r>
          </w:p>
        </w:tc>
        <w:tc>
          <w:tcPr/>
          <w:p>
            <w:pPr>
              <w:pStyle w:val="Compact"/>
              <w:jc w:val="center"/>
            </w:pPr>
            <w:r>
              <w:t xml:space="preserve">780</w:t>
            </w:r>
          </w:p>
        </w:tc>
        <w:tc>
          <w:tcPr/>
          <w:p>
            <w:pPr>
              <w:pStyle w:val="Compact"/>
              <w:jc w:val="center"/>
            </w:pPr>
            <w:r>
              <w:rPr>
                <w:rFonts w:hint="eastAsia"/>
              </w:rPr>
              <w:t xml:space="preserve">在不确定性解决前即投入资本</w:t>
            </w:r>
          </w:p>
        </w:tc>
      </w:tr>
      <w:tr>
        <w:tc>
          <w:tcPr/>
          <w:p>
            <w:pPr>
              <w:pStyle w:val="Compact"/>
              <w:jc w:val="left"/>
            </w:pPr>
            <w:r>
              <w:rPr>
                <w:rFonts w:hint="eastAsia"/>
              </w:rPr>
              <w:t xml:space="preserve">暂停CLN-47并等待另一项目</w:t>
            </w:r>
          </w:p>
        </w:tc>
        <w:tc>
          <w:tcPr/>
          <w:p>
            <w:pPr>
              <w:pStyle w:val="Compact"/>
              <w:jc w:val="center"/>
            </w:pPr>
            <w:r>
              <w:t xml:space="preserve">$6 </w:t>
            </w:r>
            <w:r>
              <w:rPr>
                <w:rFonts w:hint="eastAsia"/>
              </w:rPr>
              <w:t xml:space="preserve">million（收尾与保留成本）</w:t>
            </w:r>
          </w:p>
        </w:tc>
        <w:tc>
          <w:tcPr/>
          <w:p>
            <w:pPr>
              <w:pStyle w:val="Compact"/>
              <w:jc w:val="center"/>
            </w:pPr>
            <w:r>
              <w:rPr>
                <w:rFonts w:hint="eastAsia"/>
              </w:rPr>
              <w:t xml:space="preserve">4-6个月</w:t>
            </w:r>
          </w:p>
        </w:tc>
        <w:tc>
          <w:tcPr/>
          <w:p>
            <w:pPr>
              <w:pStyle w:val="Compact"/>
              <w:jc w:val="center"/>
            </w:pPr>
            <w:r>
              <w:rPr>
                <w:rFonts w:hint="eastAsia"/>
              </w:rPr>
              <w:t xml:space="preserve">0（新增）</w:t>
            </w:r>
          </w:p>
        </w:tc>
        <w:tc>
          <w:tcPr/>
          <w:p>
            <w:pPr>
              <w:pStyle w:val="Compact"/>
              <w:jc w:val="center"/>
            </w:pPr>
            <w:r>
              <w:rPr>
                <w:rFonts w:hint="eastAsia"/>
              </w:rPr>
              <w:t xml:space="preserve">试验点及投资者可能失去信心</w:t>
            </w:r>
          </w:p>
        </w:tc>
      </w:tr>
      <w:tr>
        <w:tc>
          <w:tcPr/>
          <w:p>
            <w:pPr>
              <w:pStyle w:val="Compact"/>
              <w:jc w:val="left"/>
            </w:pPr>
            <w:r>
              <w:rPr>
                <w:rFonts w:hint="eastAsia"/>
              </w:rPr>
              <w:t xml:space="preserve">终止CLN-47</w:t>
            </w:r>
          </w:p>
        </w:tc>
        <w:tc>
          <w:tcPr/>
          <w:p>
            <w:pPr>
              <w:pStyle w:val="Compact"/>
              <w:jc w:val="center"/>
            </w:pPr>
            <w:r>
              <w:t xml:space="preserve">$3 </w:t>
            </w:r>
            <w:r>
              <w:rPr>
                <w:rFonts w:hint="eastAsia"/>
              </w:rPr>
              <w:t xml:space="preserve">million（收尾成本）</w:t>
            </w:r>
          </w:p>
        </w:tc>
        <w:tc>
          <w:tcPr/>
          <w:p>
            <w:pPr>
              <w:pStyle w:val="Compact"/>
              <w:jc w:val="center"/>
            </w:pPr>
            <w:r>
              <w:rPr>
                <w:rFonts w:hint="eastAsia"/>
              </w:rPr>
              <w:t xml:space="preserve">3个月</w:t>
            </w:r>
          </w:p>
        </w:tc>
        <w:tc>
          <w:tcPr/>
          <w:p>
            <w:pPr>
              <w:pStyle w:val="Compact"/>
              <w:jc w:val="center"/>
            </w:pPr>
            <w:r>
              <w:rPr>
                <w:rFonts w:hint="eastAsia"/>
              </w:rPr>
              <w:t xml:space="preserve">0（新增）</w:t>
            </w:r>
          </w:p>
        </w:tc>
        <w:tc>
          <w:tcPr/>
          <w:p>
            <w:pPr>
              <w:pStyle w:val="Compact"/>
              <w:jc w:val="center"/>
            </w:pPr>
            <w:r>
              <w:rPr>
                <w:rFonts w:hint="eastAsia"/>
              </w:rPr>
              <w:t xml:space="preserve">可能放弃一种有价值的治疗方案</w:t>
            </w:r>
          </w:p>
        </w:tc>
      </w:tr>
    </w:tbl>
    <w:bookmarkEnd w:id="14"/>
    <w:bookmarkEnd w:id="15"/>
    <w:bookmarkStart w:id="17" w:name="监管与生产问题"/>
    <w:p>
      <w:pPr>
        <w:pStyle w:val="Heading1"/>
      </w:pPr>
      <w:r>
        <w:rPr>
          <w:rFonts w:hint="eastAsia"/>
        </w:rPr>
        <w:t xml:space="preserve">监管与生产问题</w:t>
      </w:r>
    </w:p>
    <w:p>
      <w:pPr>
        <w:pStyle w:val="FirstParagraph"/>
      </w:pPr>
      <w:r>
        <w:rPr>
          <w:rFonts w:hint="eastAsia"/>
        </w:rPr>
        <w:t xml:space="preserve">Crestline的监管顾问预计监管机构将关注肝脏信号、肺功能变化的临床意义以及生物标志物的可信度。正式会议或许能澄清预期，但简报材料需要十周时间准备，且监管机构的回复未必能解决分歧。监管机构可能要求更大规模的安全性数据库、更长的随访期、不同的终点，或增加一个剂量组。</w:t>
      </w:r>
    </w:p>
    <w:p>
      <w:pPr>
        <w:pStyle w:val="BodyText"/>
      </w:pPr>
      <w:r>
        <w:rPr>
          <w:rFonts w:hint="eastAsia"/>
        </w:rPr>
        <w:t xml:space="preserve">生产环节带来了另一层不确定性。当前配方需要冷藏运输，保质期为九个月。一家合同制造商已生产出足够完成II期研究的物料，但III期项目将需要在六十天内预订一条生产线。预订押金为$14</w:t>
      </w:r>
      <w:r>
        <w:t xml:space="preserve"> </w:t>
      </w:r>
      <w:r>
        <w:rPr>
          <w:rFonts w:hint="eastAsia"/>
        </w:rPr>
        <w:t xml:space="preserve">million，且不可退还。另一家制造商提供了较低的单位成本，但需要重新进行工艺验证工作。工程师们也在测试一种常温配方，但该配方可能无法在关键性试验开始前准备就绪。</w:t>
      </w:r>
    </w:p>
    <w:bookmarkStart w:id="16" w:name="图-4.-示例性商业假设"/>
    <w:p>
      <w:pPr>
        <w:pStyle w:val="Heading2"/>
      </w:pPr>
      <w:r>
        <w:rPr>
          <w:rFonts w:hint="eastAsia"/>
        </w:rPr>
        <w:t xml:space="preserve">图</w:t>
      </w:r>
      <w:r>
        <w:t xml:space="preserve"> 4. </w:t>
      </w:r>
      <w:r>
        <w:rPr>
          <w:rFonts w:hint="eastAsia"/>
        </w:rPr>
        <w:t xml:space="preserve">示例性商业假设</w:t>
      </w:r>
    </w:p>
    <w:tbl>
      <w:tblPr>
        <w:tblStyle w:val="Table"/>
        <w:tblW w:type="pct" w:w="4928"/>
        <w:tblLayout w:type="fixed"/>
        <w:tblLook w:firstRow="1" w:lastRow="0" w:firstColumn="0" w:lastColumn="0" w:noHBand="0" w:noVBand="0" w:val="0020"/>
      </w:tblPr>
      <w:tblGrid>
        <w:gridCol w:w="2525"/>
        <w:gridCol w:w="1262"/>
        <w:gridCol w:w="1606"/>
        <w:gridCol w:w="2410"/>
      </w:tblGrid>
      <w:tr>
        <w:trPr>
          <w:tblHeader w:val="on"/>
        </w:trPr>
        <w:tc>
          <w:tcPr/>
          <w:p>
            <w:pPr>
              <w:pStyle w:val="Compact"/>
              <w:jc w:val="left"/>
            </w:pPr>
            <w:r>
              <w:rPr>
                <w:rFonts w:hint="eastAsia"/>
              </w:rPr>
              <w:t xml:space="preserve">假设</w:t>
            </w:r>
          </w:p>
        </w:tc>
        <w:tc>
          <w:tcPr/>
          <w:p>
            <w:pPr>
              <w:pStyle w:val="Compact"/>
              <w:jc w:val="left"/>
            </w:pPr>
            <w:r>
              <w:rPr>
                <w:rFonts w:hint="eastAsia"/>
              </w:rPr>
              <w:t xml:space="preserve">广泛适应症产品</w:t>
            </w:r>
          </w:p>
        </w:tc>
        <w:tc>
          <w:tcPr/>
          <w:p>
            <w:pPr>
              <w:pStyle w:val="Compact"/>
              <w:jc w:val="center"/>
            </w:pPr>
            <w:r>
              <w:rPr>
                <w:rFonts w:hint="eastAsia"/>
              </w:rPr>
              <w:t xml:space="preserve">生物标志物限定产品</w:t>
            </w:r>
          </w:p>
        </w:tc>
        <w:tc>
          <w:tcPr/>
          <w:p>
            <w:pPr>
              <w:pStyle w:val="Compact"/>
              <w:jc w:val="center"/>
            </w:pPr>
            <w:r>
              <w:rPr>
                <w:rFonts w:hint="eastAsia"/>
              </w:rPr>
              <w:t xml:space="preserve">主要不确定性</w:t>
            </w:r>
          </w:p>
        </w:tc>
      </w:tr>
      <w:tr>
        <w:tc>
          <w:tcPr/>
          <w:p>
            <w:pPr>
              <w:pStyle w:val="Compact"/>
              <w:jc w:val="left"/>
            </w:pPr>
            <w:r>
              <w:rPr>
                <w:rFonts w:hint="eastAsia"/>
              </w:rPr>
              <w:t xml:space="preserve">上市时符合条件的美国患者数</w:t>
            </w:r>
          </w:p>
        </w:tc>
        <w:tc>
          <w:tcPr/>
          <w:p>
            <w:pPr>
              <w:pStyle w:val="Compact"/>
              <w:jc w:val="left"/>
            </w:pPr>
            <w:r>
              <w:t xml:space="preserve">78,000</w:t>
            </w:r>
          </w:p>
        </w:tc>
        <w:tc>
          <w:tcPr/>
          <w:p>
            <w:pPr>
              <w:pStyle w:val="Compact"/>
              <w:jc w:val="center"/>
            </w:pPr>
            <w:r>
              <w:t xml:space="preserve">29,000</w:t>
            </w:r>
          </w:p>
        </w:tc>
        <w:tc>
          <w:tcPr/>
          <w:p>
            <w:pPr>
              <w:pStyle w:val="Compact"/>
              <w:jc w:val="center"/>
            </w:pPr>
            <w:r>
              <w:rPr>
                <w:rFonts w:hint="eastAsia"/>
              </w:rPr>
              <w:t xml:space="preserve">诊断、病情进展、标签措辞</w:t>
            </w:r>
          </w:p>
        </w:tc>
      </w:tr>
      <w:tr>
        <w:tc>
          <w:tcPr/>
          <w:p>
            <w:pPr>
              <w:pStyle w:val="Compact"/>
              <w:jc w:val="left"/>
            </w:pPr>
            <w:r>
              <w:rPr>
                <w:rFonts w:hint="eastAsia"/>
              </w:rPr>
              <w:t xml:space="preserve">三年后医生采用率</w:t>
            </w:r>
          </w:p>
        </w:tc>
        <w:tc>
          <w:tcPr/>
          <w:p>
            <w:pPr>
              <w:pStyle w:val="Compact"/>
              <w:jc w:val="left"/>
            </w:pPr>
            <w:r>
              <w:t xml:space="preserve">38%</w:t>
            </w:r>
          </w:p>
        </w:tc>
        <w:tc>
          <w:tcPr/>
          <w:p>
            <w:pPr>
              <w:pStyle w:val="Compact"/>
              <w:jc w:val="center"/>
            </w:pPr>
            <w:r>
              <w:t xml:space="preserve">55%</w:t>
            </w:r>
          </w:p>
        </w:tc>
        <w:tc>
          <w:tcPr/>
          <w:p>
            <w:pPr>
              <w:pStyle w:val="Compact"/>
              <w:jc w:val="center"/>
            </w:pPr>
            <w:r>
              <w:rPr>
                <w:rFonts w:hint="eastAsia"/>
              </w:rPr>
              <w:t xml:space="preserve">感知效益及监测负担</w:t>
            </w:r>
          </w:p>
        </w:tc>
      </w:tr>
      <w:tr>
        <w:tc>
          <w:tcPr/>
          <w:p>
            <w:pPr>
              <w:pStyle w:val="Compact"/>
              <w:jc w:val="left"/>
            </w:pPr>
            <w:r>
              <w:rPr>
                <w:rFonts w:hint="eastAsia"/>
              </w:rPr>
              <w:t xml:space="preserve">每位治疗患者年净价格</w:t>
            </w:r>
          </w:p>
        </w:tc>
        <w:tc>
          <w:tcPr/>
          <w:p>
            <w:pPr>
              <w:pStyle w:val="Compact"/>
              <w:jc w:val="left"/>
            </w:pPr>
            <w:r>
              <w:t xml:space="preserve">$48,000</w:t>
            </w:r>
          </w:p>
        </w:tc>
        <w:tc>
          <w:tcPr/>
          <w:p>
            <w:pPr>
              <w:pStyle w:val="Compact"/>
              <w:jc w:val="center"/>
            </w:pPr>
            <w:r>
              <w:t xml:space="preserve">$56,000</w:t>
            </w:r>
          </w:p>
        </w:tc>
        <w:tc>
          <w:tcPr/>
          <w:p>
            <w:pPr>
              <w:pStyle w:val="Compact"/>
              <w:jc w:val="center"/>
            </w:pPr>
            <w:r>
              <w:rPr>
                <w:rFonts w:hint="eastAsia"/>
              </w:rPr>
              <w:t xml:space="preserve">支付方限制及竞争</w:t>
            </w:r>
          </w:p>
        </w:tc>
      </w:tr>
      <w:tr>
        <w:tc>
          <w:tcPr/>
          <w:p>
            <w:pPr>
              <w:pStyle w:val="Compact"/>
              <w:jc w:val="left"/>
            </w:pPr>
            <w:r>
              <w:rPr>
                <w:rFonts w:hint="eastAsia"/>
              </w:rPr>
              <w:t xml:space="preserve">年生产/分销成本</w:t>
            </w:r>
          </w:p>
        </w:tc>
        <w:tc>
          <w:tcPr/>
          <w:p>
            <w:pPr>
              <w:pStyle w:val="Compact"/>
              <w:jc w:val="left"/>
            </w:pPr>
            <w:r>
              <w:t xml:space="preserve">$7,800</w:t>
            </w:r>
          </w:p>
        </w:tc>
        <w:tc>
          <w:tcPr/>
          <w:p>
            <w:pPr>
              <w:pStyle w:val="Compact"/>
              <w:jc w:val="center"/>
            </w:pPr>
            <w:r>
              <w:t xml:space="preserve">$8,600</w:t>
            </w:r>
          </w:p>
        </w:tc>
        <w:tc>
          <w:tcPr/>
          <w:p>
            <w:pPr>
              <w:pStyle w:val="Compact"/>
              <w:jc w:val="center"/>
            </w:pPr>
            <w:r>
              <w:rPr>
                <w:rFonts w:hint="eastAsia"/>
              </w:rPr>
              <w:t xml:space="preserve">规模、冷藏、损耗</w:t>
            </w:r>
          </w:p>
        </w:tc>
      </w:tr>
      <w:tr>
        <w:tc>
          <w:tcPr/>
          <w:p>
            <w:pPr>
              <w:pStyle w:val="Compact"/>
              <w:jc w:val="left"/>
            </w:pPr>
            <w:r>
              <w:rPr>
                <w:rFonts w:hint="eastAsia"/>
              </w:rPr>
              <w:t xml:space="preserve">自当前决策起至上市所需时间</w:t>
            </w:r>
          </w:p>
        </w:tc>
        <w:tc>
          <w:tcPr/>
          <w:p>
            <w:pPr>
              <w:pStyle w:val="Compact"/>
              <w:jc w:val="left"/>
            </w:pPr>
            <w:r>
              <w:rPr>
                <w:rFonts w:hint="eastAsia"/>
              </w:rPr>
              <w:t xml:space="preserve">4.5-5.5年</w:t>
            </w:r>
          </w:p>
        </w:tc>
        <w:tc>
          <w:tcPr/>
          <w:p>
            <w:pPr>
              <w:pStyle w:val="Compact"/>
              <w:jc w:val="center"/>
            </w:pPr>
            <w:r>
              <w:rPr>
                <w:rFonts w:hint="eastAsia"/>
              </w:rPr>
              <w:t xml:space="preserve">4.0-5.0年</w:t>
            </w:r>
          </w:p>
        </w:tc>
        <w:tc>
          <w:tcPr/>
          <w:p>
            <w:pPr>
              <w:pStyle w:val="Compact"/>
              <w:jc w:val="center"/>
            </w:pPr>
            <w:r>
              <w:rPr>
                <w:rFonts w:hint="eastAsia"/>
              </w:rPr>
              <w:t xml:space="preserve">试验结果及监管审查</w:t>
            </w:r>
          </w:p>
        </w:tc>
      </w:tr>
      <w:tr>
        <w:tc>
          <w:tcPr/>
          <w:p>
            <w:pPr>
              <w:pStyle w:val="Compact"/>
              <w:jc w:val="left"/>
            </w:pPr>
            <w:r>
              <w:rPr>
                <w:rFonts w:hint="eastAsia"/>
              </w:rPr>
              <w:t xml:space="preserve">上市时剩余有效专利期</w:t>
            </w:r>
          </w:p>
        </w:tc>
        <w:tc>
          <w:tcPr/>
          <w:p>
            <w:pPr>
              <w:pStyle w:val="Compact"/>
              <w:jc w:val="left"/>
            </w:pPr>
            <w:r>
              <w:rPr>
                <w:rFonts w:hint="eastAsia"/>
              </w:rPr>
              <w:t xml:space="preserve">7-9年</w:t>
            </w:r>
          </w:p>
        </w:tc>
        <w:tc>
          <w:tcPr/>
          <w:p>
            <w:pPr>
              <w:pStyle w:val="Compact"/>
              <w:jc w:val="center"/>
            </w:pPr>
            <w:r>
              <w:rPr>
                <w:rFonts w:hint="eastAsia"/>
              </w:rPr>
              <w:t xml:space="preserve">8-10年</w:t>
            </w:r>
          </w:p>
        </w:tc>
        <w:tc>
          <w:tcPr/>
          <w:p>
            <w:pPr>
              <w:pStyle w:val="Compact"/>
              <w:jc w:val="center"/>
            </w:pPr>
            <w:r>
              <w:rPr>
                <w:rFonts w:hint="eastAsia"/>
              </w:rPr>
              <w:t xml:space="preserve">延误及专利挑战</w:t>
            </w:r>
          </w:p>
        </w:tc>
      </w:tr>
    </w:tbl>
    <w:bookmarkEnd w:id="16"/>
    <w:bookmarkEnd w:id="17"/>
    <w:bookmarkStart w:id="19" w:name="资本约束"/>
    <w:p>
      <w:pPr>
        <w:pStyle w:val="Heading1"/>
      </w:pPr>
      <w:r>
        <w:rPr>
          <w:rFonts w:hint="eastAsia"/>
        </w:rPr>
        <w:t xml:space="preserve">资本约束</w:t>
      </w:r>
    </w:p>
    <w:p>
      <w:pPr>
        <w:pStyle w:val="FirstParagraph"/>
      </w:pPr>
      <w:r>
        <w:rPr>
          <w:rFonts w:hint="eastAsia"/>
        </w:rPr>
        <w:t xml:space="preserve">Crestline拥有$186</w:t>
      </w:r>
      <w:r>
        <w:t xml:space="preserve"> </w:t>
      </w:r>
      <w:r>
        <w:rPr>
          <w:rFonts w:hint="eastAsia"/>
        </w:rPr>
        <w:t xml:space="preserve">million的现金及可交易证券。未来十八个月内，CLN-47的现有承诺、第二种化合物、公司运营及债务偿付预计将消耗约$91</w:t>
      </w:r>
      <w:r>
        <w:t xml:space="preserve"> </w:t>
      </w:r>
      <w:r>
        <w:rPr>
          <w:rFonts w:hint="eastAsia"/>
        </w:rPr>
        <w:t xml:space="preserve">million。发行新股是可能的，但在入组延误被披露后，公司股价已下跌37%。与一家大型制药公司建立合作关系可以提供资本和试验管理专业知识，但潜在合作伙伴希望审查期中数据，并可能要求控制未来的开发和定价。</w:t>
      </w:r>
    </w:p>
    <w:p>
      <w:pPr>
        <w:pStyle w:val="BodyText"/>
      </w:pPr>
      <w:r>
        <w:rPr>
          <w:rFonts w:hint="eastAsia"/>
        </w:rPr>
        <w:t xml:space="preserve">首席财务官认为，Crestline不能将每一个科学问题都视为需要另一项研究才能解决的事项。研究负责人则回应说，在一次结论不明确的期中分析之后就终止一个项目，将系统性地偏向那些快速、明显见效的治疗方案，而放弃那些需要更好患者选择的疗法。商业总监认为，一款以生物标志物为界定的产品可能获得更强的医生兴趣。临床运营负责人则提醒，范围更窄的人群招募起来可能更难，而非更容易。</w:t>
      </w:r>
    </w:p>
    <w:bookmarkStart w:id="18" w:name="图-5.-十八个月现金展望"/>
    <w:p>
      <w:pPr>
        <w:pStyle w:val="Heading2"/>
      </w:pPr>
      <w:r>
        <w:rPr>
          <w:rFonts w:hint="eastAsia"/>
        </w:rPr>
        <w:t xml:space="preserve">图</w:t>
      </w:r>
      <w:r>
        <w:t xml:space="preserve"> 5. </w:t>
      </w:r>
      <w:r>
        <w:rPr>
          <w:rFonts w:hint="eastAsia"/>
        </w:rPr>
        <w:t xml:space="preserve">十八个月现金展望</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rPr>
                <w:rFonts w:hint="eastAsia"/>
              </w:rPr>
              <w:t xml:space="preserve">现金用途</w:t>
            </w:r>
          </w:p>
        </w:tc>
        <w:tc>
          <w:tcPr/>
          <w:p>
            <w:pPr>
              <w:pStyle w:val="Compact"/>
              <w:jc w:val="left"/>
            </w:pPr>
            <w:r>
              <w:rPr>
                <w:rFonts w:hint="eastAsia"/>
              </w:rPr>
              <w:t xml:space="preserve">已承诺/基础方案</w:t>
            </w:r>
          </w:p>
        </w:tc>
        <w:tc>
          <w:tcPr/>
          <w:p>
            <w:pPr>
              <w:pStyle w:val="Compact"/>
              <w:jc w:val="center"/>
            </w:pPr>
            <w:r>
              <w:rPr>
                <w:rFonts w:hint="eastAsia"/>
              </w:rPr>
              <w:t xml:space="preserve">完成原试验</w:t>
            </w:r>
          </w:p>
        </w:tc>
        <w:tc>
          <w:tcPr/>
          <w:p>
            <w:pPr>
              <w:pStyle w:val="Compact"/>
              <w:jc w:val="center"/>
            </w:pPr>
            <w:r>
              <w:rPr>
                <w:rFonts w:hint="eastAsia"/>
              </w:rPr>
              <w:t xml:space="preserve">生物标志物扩展</w:t>
            </w:r>
          </w:p>
        </w:tc>
      </w:tr>
      <w:tr>
        <w:tc>
          <w:tcPr/>
          <w:p>
            <w:pPr>
              <w:pStyle w:val="Compact"/>
              <w:jc w:val="left"/>
            </w:pPr>
            <w:r>
              <w:rPr>
                <w:rFonts w:hint="eastAsia"/>
              </w:rPr>
              <w:t xml:space="preserve">公司运营及债务</w:t>
            </w:r>
          </w:p>
        </w:tc>
        <w:tc>
          <w:tcPr/>
          <w:p>
            <w:pPr>
              <w:pStyle w:val="Compact"/>
              <w:jc w:val="left"/>
            </w:pPr>
            <w:r>
              <w:t xml:space="preserve">$49 million</w:t>
            </w:r>
          </w:p>
        </w:tc>
        <w:tc>
          <w:tcPr/>
          <w:p>
            <w:pPr>
              <w:pStyle w:val="Compact"/>
              <w:jc w:val="center"/>
            </w:pPr>
            <w:r>
              <w:t xml:space="preserve">$49 million</w:t>
            </w:r>
          </w:p>
        </w:tc>
        <w:tc>
          <w:tcPr/>
          <w:p>
            <w:pPr>
              <w:pStyle w:val="Compact"/>
              <w:jc w:val="center"/>
            </w:pPr>
            <w:r>
              <w:t xml:space="preserve">$49 million</w:t>
            </w:r>
          </w:p>
        </w:tc>
      </w:tr>
      <w:tr>
        <w:tc>
          <w:tcPr/>
          <w:p>
            <w:pPr>
              <w:pStyle w:val="Compact"/>
              <w:jc w:val="left"/>
            </w:pPr>
            <w:r>
              <w:rPr>
                <w:rFonts w:hint="eastAsia"/>
              </w:rPr>
              <w:t xml:space="preserve">当前CLN-47承诺义务</w:t>
            </w:r>
          </w:p>
        </w:tc>
        <w:tc>
          <w:tcPr/>
          <w:p>
            <w:pPr>
              <w:pStyle w:val="Compact"/>
              <w:jc w:val="left"/>
            </w:pPr>
            <w:r>
              <w:t xml:space="preserve">$35 million</w:t>
            </w:r>
          </w:p>
        </w:tc>
        <w:tc>
          <w:tcPr/>
          <w:p>
            <w:pPr>
              <w:pStyle w:val="Compact"/>
              <w:jc w:val="center"/>
            </w:pPr>
            <w:r>
              <w:t xml:space="preserve">$35 million</w:t>
            </w:r>
          </w:p>
        </w:tc>
        <w:tc>
          <w:tcPr/>
          <w:p>
            <w:pPr>
              <w:pStyle w:val="Compact"/>
              <w:jc w:val="center"/>
            </w:pPr>
            <w:r>
              <w:t xml:space="preserve">$35 million</w:t>
            </w:r>
          </w:p>
        </w:tc>
      </w:tr>
      <w:tr>
        <w:tc>
          <w:tcPr/>
          <w:p>
            <w:pPr>
              <w:pStyle w:val="Compact"/>
              <w:jc w:val="left"/>
            </w:pPr>
            <w:r>
              <w:rPr>
                <w:rFonts w:hint="eastAsia"/>
              </w:rPr>
              <w:t xml:space="preserve">额外CLN-47项目</w:t>
            </w:r>
          </w:p>
        </w:tc>
        <w:tc>
          <w:tcPr/>
          <w:p>
            <w:pPr>
              <w:pStyle w:val="Compact"/>
              <w:jc w:val="left"/>
            </w:pPr>
            <w:r>
              <w:t xml:space="preserve">$0</w:t>
            </w:r>
          </w:p>
        </w:tc>
        <w:tc>
          <w:tcPr/>
          <w:p>
            <w:pPr>
              <w:pStyle w:val="Compact"/>
              <w:jc w:val="center"/>
            </w:pPr>
            <w:r>
              <w:t xml:space="preserve">$23 million</w:t>
            </w:r>
          </w:p>
        </w:tc>
        <w:tc>
          <w:tcPr/>
          <w:p>
            <w:pPr>
              <w:pStyle w:val="Compact"/>
              <w:jc w:val="center"/>
            </w:pPr>
            <w:r>
              <w:t xml:space="preserve">$38 million</w:t>
            </w:r>
          </w:p>
        </w:tc>
      </w:tr>
      <w:tr>
        <w:tc>
          <w:tcPr/>
          <w:p>
            <w:pPr>
              <w:pStyle w:val="Compact"/>
              <w:jc w:val="left"/>
            </w:pPr>
            <w:r>
              <w:rPr>
                <w:rFonts w:hint="eastAsia"/>
              </w:rPr>
              <w:t xml:space="preserve">第二个开发化合物</w:t>
            </w:r>
          </w:p>
        </w:tc>
        <w:tc>
          <w:tcPr/>
          <w:p>
            <w:pPr>
              <w:pStyle w:val="Compact"/>
              <w:jc w:val="left"/>
            </w:pPr>
            <w:r>
              <w:t xml:space="preserve">$31 million</w:t>
            </w:r>
          </w:p>
        </w:tc>
        <w:tc>
          <w:tcPr/>
          <w:p>
            <w:pPr>
              <w:pStyle w:val="Compact"/>
              <w:jc w:val="center"/>
            </w:pPr>
            <w:r>
              <w:t xml:space="preserve">$31 million</w:t>
            </w:r>
          </w:p>
        </w:tc>
        <w:tc>
          <w:tcPr/>
          <w:p>
            <w:pPr>
              <w:pStyle w:val="Compact"/>
              <w:jc w:val="center"/>
            </w:pPr>
            <w:r>
              <w:t xml:space="preserve">$31 million</w:t>
            </w:r>
          </w:p>
        </w:tc>
      </w:tr>
      <w:tr>
        <w:tc>
          <w:tcPr/>
          <w:p>
            <w:pPr>
              <w:pStyle w:val="Compact"/>
              <w:jc w:val="left"/>
            </w:pPr>
            <w:r>
              <w:rPr>
                <w:rFonts w:hint="eastAsia"/>
              </w:rPr>
              <w:t xml:space="preserve">生产预订</w:t>
            </w:r>
          </w:p>
        </w:tc>
        <w:tc>
          <w:tcPr/>
          <w:p>
            <w:pPr>
              <w:pStyle w:val="Compact"/>
              <w:jc w:val="left"/>
            </w:pPr>
            <w:r>
              <w:t xml:space="preserve">$0</w:t>
            </w:r>
          </w:p>
        </w:tc>
        <w:tc>
          <w:tcPr/>
          <w:p>
            <w:pPr>
              <w:pStyle w:val="Compact"/>
              <w:jc w:val="center"/>
            </w:pPr>
            <w:r>
              <w:t xml:space="preserve">$14 million</w:t>
            </w:r>
          </w:p>
        </w:tc>
        <w:tc>
          <w:tcPr/>
          <w:p>
            <w:pPr>
              <w:pStyle w:val="Compact"/>
              <w:jc w:val="center"/>
            </w:pPr>
            <w:r>
              <w:t xml:space="preserve">$14 million</w:t>
            </w:r>
          </w:p>
        </w:tc>
      </w:tr>
      <w:tr>
        <w:tc>
          <w:tcPr/>
          <w:p>
            <w:pPr>
              <w:pStyle w:val="Compact"/>
              <w:jc w:val="left"/>
            </w:pPr>
            <w:r>
              <w:rPr>
                <w:rFonts w:hint="eastAsia"/>
              </w:rPr>
              <w:t xml:space="preserve">预计期末现金</w:t>
            </w:r>
          </w:p>
        </w:tc>
        <w:tc>
          <w:tcPr/>
          <w:p>
            <w:pPr>
              <w:pStyle w:val="Compact"/>
              <w:jc w:val="left"/>
            </w:pPr>
            <w:r>
              <w:t xml:space="preserve">$71 million</w:t>
            </w:r>
          </w:p>
        </w:tc>
        <w:tc>
          <w:tcPr/>
          <w:p>
            <w:pPr>
              <w:pStyle w:val="Compact"/>
              <w:jc w:val="center"/>
            </w:pPr>
            <w:r>
              <w:t xml:space="preserve">$34 million</w:t>
            </w:r>
          </w:p>
        </w:tc>
        <w:tc>
          <w:tcPr/>
          <w:p>
            <w:pPr>
              <w:pStyle w:val="Compact"/>
              <w:jc w:val="center"/>
            </w:pPr>
            <w:r>
              <w:t xml:space="preserve">$19 million</w:t>
            </w:r>
          </w:p>
        </w:tc>
      </w:tr>
    </w:tbl>
    <w:bookmarkEnd w:id="18"/>
    <w:bookmarkEnd w:id="19"/>
    <w:bookmarkStart w:id="20" w:name="周三董事会会议"/>
    <w:p>
      <w:pPr>
        <w:pStyle w:val="Heading1"/>
      </w:pPr>
      <w:r>
        <w:rPr>
          <w:rFonts w:hint="eastAsia"/>
        </w:rPr>
        <w:t xml:space="preserve">周三董事会会议</w:t>
      </w:r>
    </w:p>
    <w:p>
      <w:pPr>
        <w:pStyle w:val="FirstParagraph"/>
      </w:pPr>
      <w:r>
        <w:rPr>
          <w:rFonts w:hint="eastAsia"/>
        </w:rPr>
        <w:t xml:space="preserve">到周三下午，Marquez又收到了三条新信息。一个社区试验点报告了另外两例肝酶升高，均尚未被归类为严重事件。实验室供应商表示，如果Crestline立即承诺投入$4.2</w:t>
      </w:r>
      <w:r>
        <w:t xml:space="preserve"> </w:t>
      </w:r>
      <w:r>
        <w:rPr>
          <w:rFonts w:hint="eastAsia"/>
        </w:rPr>
        <w:t xml:space="preserve">million，可以在五个月内验证改进后的生物标志物检测方法。一家竞争对手宣布其III期试验将招募620名患者，并采用无需住院生存期而非肺功能作为主要终点。</w:t>
      </w:r>
    </w:p>
    <w:p>
      <w:pPr>
        <w:pStyle w:val="BodyText"/>
      </w:pPr>
      <w:r>
        <w:rPr>
          <w:rFonts w:hint="eastAsia"/>
        </w:rPr>
        <w:t xml:space="preserve">竞争对手的公告可能意味着医生和医院将拥有更少的能力容纳Crestline的试验。它也可能验证投资者对该疾病领域的兴趣。没有人知道该竞争治疗方案是否会被证明更安全或更有效，是否会率先上市，或者其试验设计是否会影响监管机构对CLN-47的预期。</w:t>
      </w:r>
    </w:p>
    <w:p>
      <w:pPr>
        <w:pStyle w:val="BodyText"/>
      </w:pPr>
      <w:r>
        <w:rPr>
          <w:rFonts w:hint="eastAsia"/>
        </w:rPr>
        <w:t xml:space="preserve">当晚，Marquez必须提出建议方向。董事会将想知道当前证据是否足以支持继续投入患者和资本，哪些额外信息会实质性地改变决策，以及获取这些信息需要多快。董事会还会询问，Crestline是应保留广泛治疗的雄心，专注于最可能受益的患者，寻求合作伙伴，还是将剩余资源投向别处。</w:t>
      </w:r>
    </w:p>
    <w:p>
      <w:pPr>
        <w:pStyle w:val="BodyText"/>
      </w:pPr>
      <w:r>
        <w:rPr>
          <w:rFonts w:hint="eastAsia"/>
        </w:rPr>
        <w:t xml:space="preserve">没有哪个方案能保全所有目标。扩大研究可能揭示出一种具有重要临床意义的治疗方案，但可能在结果明朗之前就耗尽公司的现金。启动III期规划可以保留时间和生产能力，但会放大误判的后果。暂停可以让检测方法和监管策略得以成熟，但试验点、患者、员工和投资者可能等不了。终止将带来财务上的明确性，但同时也关闭了这些参差不齐的数据中蕴含真实治疗信号的可能性。</w:t>
      </w:r>
    </w:p>
    <w:bookmarkEnd w:id="20"/>
    <w:bookmarkStart w:id="21" w:name="讨论题"/>
    <w:p>
      <w:pPr>
        <w:pStyle w:val="Heading1"/>
      </w:pPr>
      <w:r>
        <w:rPr>
          <w:rFonts w:hint="eastAsia"/>
        </w:rPr>
        <w:t xml:space="preserve">讨论题</w:t>
      </w:r>
    </w:p>
    <w:p>
      <w:pPr>
        <w:numPr>
          <w:ilvl w:val="0"/>
          <w:numId w:val="1001"/>
        </w:numPr>
      </w:pPr>
      <w:r>
        <w:rPr>
          <w:rFonts w:hint="eastAsia"/>
        </w:rPr>
        <w:t xml:space="preserve">Marquez和Crestline</w:t>
      </w:r>
      <w:r>
        <w:t xml:space="preserve"> </w:t>
      </w:r>
      <w:r>
        <w:rPr>
          <w:rFonts w:hint="eastAsia"/>
        </w:rPr>
        <w:t xml:space="preserve">Biotherapeutics面临的核心问题是什么？</w:t>
      </w:r>
    </w:p>
    <w:p>
      <w:pPr>
        <w:numPr>
          <w:ilvl w:val="0"/>
          <w:numId w:val="1001"/>
        </w:numPr>
      </w:pPr>
      <w:r>
        <w:rPr>
          <w:rFonts w:hint="eastAsia"/>
        </w:rPr>
        <w:t xml:space="preserve">公司应如何解读试验的平均结果以及生物标志物阳性亚组中更强的反应？</w:t>
      </w:r>
    </w:p>
    <w:p>
      <w:pPr>
        <w:numPr>
          <w:ilvl w:val="0"/>
          <w:numId w:val="1001"/>
        </w:numPr>
      </w:pPr>
      <w:r>
        <w:rPr>
          <w:rFonts w:hint="eastAsia"/>
        </w:rPr>
        <w:t xml:space="preserve">在承诺开展另一项大型研究之前，哪些额外信息最有价值？</w:t>
      </w:r>
    </w:p>
    <w:p>
      <w:pPr>
        <w:numPr>
          <w:ilvl w:val="0"/>
          <w:numId w:val="1001"/>
        </w:numPr>
      </w:pPr>
      <w:r>
        <w:rPr>
          <w:rFonts w:hint="eastAsia"/>
        </w:rPr>
        <w:t xml:space="preserve">Crestline应完成原II期方案、重新设计方案，还是转向III期？为什么？</w:t>
      </w:r>
    </w:p>
    <w:p>
      <w:pPr>
        <w:numPr>
          <w:ilvl w:val="0"/>
          <w:numId w:val="1001"/>
        </w:numPr>
      </w:pPr>
      <w:r>
        <w:rPr>
          <w:rFonts w:hint="eastAsia"/>
        </w:rPr>
        <w:t xml:space="preserve">应如何在患者安全担忧与未满足的医疗需求及潜在获益之间取得平衡？</w:t>
      </w:r>
    </w:p>
    <w:p>
      <w:pPr>
        <w:numPr>
          <w:ilvl w:val="0"/>
          <w:numId w:val="1001"/>
        </w:numPr>
      </w:pPr>
      <w:r>
        <w:rPr>
          <w:rFonts w:hint="eastAsia"/>
        </w:rPr>
        <w:t xml:space="preserve">对试验点选择、患者招募、就诊设计及报销方式做哪些改变，可以在不削弱数据质量的前提下改善入组情况？</w:t>
      </w:r>
    </w:p>
    <w:p>
      <w:pPr>
        <w:numPr>
          <w:ilvl w:val="0"/>
          <w:numId w:val="1001"/>
        </w:numPr>
      </w:pPr>
      <w:r>
        <w:rPr>
          <w:rFonts w:hint="eastAsia"/>
        </w:rPr>
        <w:t xml:space="preserve">Crestline是否应该在解决临床问题之前就预订生产能力？</w:t>
      </w:r>
    </w:p>
    <w:p>
      <w:pPr>
        <w:numPr>
          <w:ilvl w:val="0"/>
          <w:numId w:val="1001"/>
        </w:numPr>
      </w:pPr>
      <w:r>
        <w:rPr>
          <w:rFonts w:hint="eastAsia"/>
        </w:rPr>
        <w:t xml:space="preserve">专利有效期、竞争对手活动、医生接受度、定价及生产要求应如何影响开发决策？</w:t>
      </w:r>
    </w:p>
    <w:p>
      <w:pPr>
        <w:numPr>
          <w:ilvl w:val="0"/>
          <w:numId w:val="1001"/>
        </w:numPr>
      </w:pPr>
      <w:r>
        <w:rPr>
          <w:rFonts w:hint="eastAsia"/>
        </w:rPr>
        <w:t xml:space="preserve">合作伙伴关系会改善该项目，还是会转移过多未来价值和控制权？</w:t>
      </w:r>
    </w:p>
    <w:p>
      <w:pPr>
        <w:numPr>
          <w:ilvl w:val="0"/>
          <w:numId w:val="1001"/>
        </w:numPr>
      </w:pPr>
      <w:r>
        <w:rPr>
          <w:rFonts w:hint="eastAsia"/>
        </w:rPr>
        <w:t xml:space="preserve">在何种未来发现下，Crestline应继续、缩小范围、暂停或终止CLN-47？</w:t>
      </w:r>
    </w:p>
    <w:bookmarkEnd w:id="21"/>
    <w:bookmarkStart w:id="27"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识别并描述决策者的职责。这应界定该问题的范围。</w:t>
      </w:r>
    </w:p>
    <w:p>
      <w:pPr>
        <w:numPr>
          <w:ilvl w:val="0"/>
          <w:numId w:val="1002"/>
        </w:numPr>
      </w:pPr>
      <w:r>
        <w:rPr>
          <w:rFonts w:hint="eastAsia"/>
        </w:rPr>
        <w:t xml:space="preserve">使用</w:t>
      </w:r>
      <w:hyperlink r:id="rId22">
        <w:r>
          <w:rPr>
            <w:rStyle w:val="Hyperlink"/>
            <w:rFonts w:hint="eastAsia"/>
          </w:rPr>
          <w:t xml:space="preserve">指标金字塔工具</w:t>
        </w:r>
      </w:hyperlink>
      <w:r>
        <w:rPr>
          <w:rFonts w:hint="eastAsia"/>
        </w:rPr>
        <w:t xml:space="preserve">来识别并排列不同绩效指标的优先级。点击承载该指标的椭圆，以确定它是需要最大化的指标（绿色）、需要最小化的指标（红色）、作为下限的目标（浅绿色）、作为上限的目标（浅红色），还是最终的目标值（紫色）。</w:t>
      </w:r>
    </w:p>
    <w:p>
      <w:pPr>
        <w:numPr>
          <w:ilvl w:val="0"/>
          <w:numId w:val="1002"/>
        </w:numPr>
      </w:pPr>
      <w:r>
        <w:rPr>
          <w:rFonts w:hint="eastAsia"/>
        </w:rPr>
        <w:t xml:space="preserve">使用</w:t>
      </w:r>
      <w:hyperlink r:id="rId23">
        <w:r>
          <w:rPr>
            <w:rStyle w:val="Hyperlink"/>
            <w:rFonts w:hint="eastAsia"/>
          </w:rPr>
          <w:t xml:space="preserve">决策优先级工具</w:t>
        </w:r>
      </w:hyperlink>
      <w:r>
        <w:rPr>
          <w:rFonts w:hint="eastAsia"/>
        </w:rPr>
        <w:t xml:space="preserve">首先列出不同类型的决策（可参考</w:t>
      </w:r>
      <w:hyperlink r:id="rId24">
        <w:r>
          <w:rPr>
            <w:rStyle w:val="Hyperlink"/>
            <w:rFonts w:hint="eastAsia"/>
          </w:rPr>
          <w:t xml:space="preserve">决策类型</w:t>
        </w:r>
      </w:hyperlink>
      <w:r>
        <w:rPr>
          <w:rFonts w:hint="eastAsia"/>
        </w:rPr>
        <w:t xml:space="preserve">作为指引）。这些决策将填入右侧矩阵的行，而列则是上方金字塔中按优先级从左到右排序的绩效指标。点击每个单元格，以标示该决策对每项指标的影响是高（红色）、中（橙色）、低（黄色）还是无（白色）。</w:t>
      </w:r>
    </w:p>
    <w:p>
      <w:pPr>
        <w:numPr>
          <w:ilvl w:val="0"/>
          <w:numId w:val="1002"/>
        </w:numPr>
      </w:pPr>
      <w:r>
        <w:rPr>
          <w:rFonts w:hint="eastAsia"/>
        </w:rPr>
        <w:t xml:space="preserve">你可以抓住每行最左侧的手柄（三条横线）将其上移或下移。对各行进行排序，使对最重要指标影响最大的决策位于顶部。左上角的单元格应集中最多的红色和橙色单元格。此时，识别出在你的研究中应给予最多关注的决策。如果没有任何决策对最重要指标产生中等或高等影响，请重新审视你的决策清单。</w:t>
      </w:r>
    </w:p>
    <w:p>
      <w:pPr>
        <w:numPr>
          <w:ilvl w:val="0"/>
          <w:numId w:val="1002"/>
        </w:numPr>
      </w:pPr>
      <w:r>
        <w:rPr>
          <w:rFonts w:hint="eastAsia"/>
        </w:rPr>
        <w:t xml:space="preserve">使用</w:t>
      </w:r>
      <w:hyperlink r:id="rId25">
        <w:r>
          <w:rPr>
            <w:rStyle w:val="Hyperlink"/>
            <w:rFonts w:hint="eastAsia"/>
          </w:rPr>
          <w:t xml:space="preserve">不确定性优先级工具</w:t>
        </w:r>
      </w:hyperlink>
      <w:r>
        <w:rPr>
          <w:rFonts w:hint="eastAsia"/>
        </w:rPr>
        <w:t xml:space="preserve">重复上述过程，列出并排列不确定性因素的优先级。可参考</w:t>
      </w:r>
      <w:hyperlink r:id="rId26">
        <w:r>
          <w:rPr>
            <w:rStyle w:val="Hyperlink"/>
            <w:rFonts w:hint="eastAsia"/>
          </w:rPr>
          <w:t xml:space="preserve">不确定性类别</w:t>
        </w:r>
      </w:hyperlink>
      <w:r>
        <w:rPr>
          <w:rFonts w:hint="eastAsia"/>
        </w:rPr>
        <w:t xml:space="preserve">来帮助识别这些因素。</w:t>
      </w:r>
    </w:p>
    <w:p>
      <w:pPr>
        <w:numPr>
          <w:ilvl w:val="0"/>
          <w:numId w:val="1002"/>
        </w:numPr>
      </w:pPr>
      <w:r>
        <w:rPr>
          <w:rFonts w:hint="eastAsia"/>
        </w:rPr>
        <w:t xml:space="preserve">区分那些可以通过长期平均表现来评估的不确定性与那些属于风险事件的不确定性，这一点很重要：</w:t>
      </w:r>
    </w:p>
    <w:p>
      <w:pPr>
        <w:numPr>
          <w:ilvl w:val="1"/>
          <w:numId w:val="1003"/>
        </w:numPr>
      </w:pPr>
      <w:r>
        <w:rPr>
          <w:rFonts w:hint="eastAsia"/>
        </w:rPr>
        <w:t xml:space="preserve">哪些不确定性来源可以通过长期平均绩效来体现？</w:t>
      </w:r>
    </w:p>
    <w:p>
      <w:pPr>
        <w:numPr>
          <w:ilvl w:val="1"/>
          <w:numId w:val="1003"/>
        </w:numPr>
      </w:pPr>
      <w:r>
        <w:rPr>
          <w:rFonts w:hint="eastAsia"/>
        </w:rPr>
        <w:t xml:space="preserve">哪些不确定性来源代表了无法用平均值恰当体现的风险形式？</w:t>
      </w:r>
    </w:p>
    <w:p>
      <w:pPr>
        <w:numPr>
          <w:ilvl w:val="0"/>
          <w:numId w:val="1002"/>
        </w:numPr>
      </w:pPr>
      <w:r>
        <w:rPr>
          <w:rFonts w:hint="eastAsia"/>
        </w:rPr>
        <w:t xml:space="preserve">选择一个看似对最重要指标影响最大的单一决策。</w:t>
      </w:r>
    </w:p>
    <w:p>
      <w:pPr>
        <w:numPr>
          <w:ilvl w:val="1"/>
          <w:numId w:val="1004"/>
        </w:numPr>
      </w:pPr>
      <w:r>
        <w:rPr>
          <w:rFonts w:hint="eastAsia"/>
        </w:rPr>
        <w:t xml:space="preserve">你认为应采用什么方法来做出这一决策？</w:t>
      </w:r>
    </w:p>
    <w:p>
      <w:pPr>
        <w:numPr>
          <w:ilvl w:val="1"/>
          <w:numId w:val="1004"/>
        </w:numPr>
      </w:pPr>
      <w:r>
        <w:rPr>
          <w:rFonts w:hint="eastAsia"/>
        </w:rPr>
        <w:t xml:space="preserve">做出该决策似乎需要哪些数据，包括该决策具有高或中等影响的任何绩效指标的计算？</w:t>
      </w:r>
    </w:p>
    <w:p>
      <w:pPr>
        <w:numPr>
          <w:ilvl w:val="0"/>
          <w:numId w:val="1002"/>
        </w:numPr>
      </w:pPr>
      <w:r>
        <w:rPr>
          <w:rFonts w:hint="eastAsia"/>
        </w:rPr>
        <w:t xml:space="preserve">针对你在(7)中确定的同一决策，识别在实施该决策时你需要与之合作的人员、部门、团队或组织。</w:t>
      </w:r>
    </w:p>
    <w:bookmarkEnd w:id="27"/>
    <w:bookmarkStart w:id="28" w:name="资料来源说明"/>
    <w:p>
      <w:pPr>
        <w:pStyle w:val="Heading1"/>
      </w:pPr>
      <w:r>
        <w:rPr>
          <w:rFonts w:hint="eastAsia"/>
        </w:rPr>
        <w:t xml:space="preserve">资料来源说明</w:t>
      </w:r>
    </w:p>
    <w:p>
      <w:pPr>
        <w:pStyle w:val="FirstParagraph"/>
      </w:pPr>
      <w:r>
        <w:rPr>
          <w:rFonts w:hint="eastAsia"/>
        </w:rPr>
        <w:t xml:space="preserve">本案例的概念基础来自Warren</w:t>
      </w:r>
      <w:r>
        <w:t xml:space="preserve"> B. </w:t>
      </w:r>
      <w:r>
        <w:rPr>
          <w:rFonts w:hint="eastAsia"/>
        </w:rPr>
        <w:t xml:space="preserve">Powell所著《Bridging</w:t>
      </w:r>
      <w:r>
        <w:t xml:space="preserve"> Decision Problems, Volume I: Framing the </w:t>
      </w:r>
      <w:r>
        <w:rPr>
          <w:rFonts w:hint="eastAsia"/>
        </w:rPr>
        <w:t xml:space="preserve">Problem》第2章中”Running</w:t>
      </w:r>
      <w:r>
        <w:t xml:space="preserve"> clinical trials for drug </w:t>
      </w:r>
      <w:r>
        <w:rPr>
          <w:rFonts w:hint="eastAsia"/>
        </w:rPr>
        <w:t xml:space="preserve">testing”一节。本案例将该节所涉及的临床、财务、运营、监管、生产、市场营销及竞争方面的考量融入叙事和图表之中，而未将其明确标示为独立的分析类别。</w:t>
      </w:r>
    </w:p>
    <w:p>
      <w:pPr>
        <w:pStyle w:val="BodyText"/>
      </w:pPr>
      <w:r>
        <w:rPr>
          <w:rFonts w:hint="eastAsia"/>
        </w:rPr>
        <w:t xml:space="preserve">用于激发本案例背景设定的公开信息包括：FDA描述III期试验通常涉及约300至3,000名参与者，并提供审查所用安全性证据的大部分内容；已发表研究报告称入组延误普遍存在，一项大型分析中已完成试验的中位延误为12.2个月，且该样本中21.5%的试验被中止；一项2025年分析估计，主要以研究为基础的制药公司首次获批的平均概率为14.3%；以及行业估计称，一种新药的开发通常需要10至15年时间，若计入失败项目，成本约为$2.6</w:t>
      </w:r>
      <w:r>
        <w:t xml:space="preserve"> </w:t>
      </w:r>
      <w:r>
        <w:rPr>
          <w:rFonts w:hint="eastAsia"/>
        </w:rPr>
        <w:t xml:space="preserve">billion。这些估计因治疗领域、研究设计、申办方及方法学的不同而有所差异。所有Crestline的数据、人物、化合物、结果、预算及事件均为虚构。</w:t>
      </w:r>
    </w:p>
    <w:bookmarkEnd w:id="28"/>
    <w:bookmarkStart w:id="31" w:name="chatgpt备注"/>
    <w:p>
      <w:pPr>
        <w:pStyle w:val="Heading1"/>
      </w:pPr>
      <w:r>
        <w:rPr>
          <w:rFonts w:hint="eastAsia"/>
        </w:rPr>
        <w:t xml:space="preserve">ChatGPT备注</w:t>
      </w:r>
    </w:p>
    <w:bookmarkStart w:id="29" w:name="提示"/>
    <w:p>
      <w:pPr>
        <w:pStyle w:val="Heading2"/>
      </w:pPr>
      <w:r>
        <w:rPr>
          <w:rFonts w:hint="eastAsia"/>
        </w:rPr>
        <w:t xml:space="preserve">提示</w:t>
      </w:r>
    </w:p>
    <w:p>
      <w:pPr>
        <w:pStyle w:val="FirstParagraph"/>
      </w:pPr>
      <w:r>
        <w:rPr>
          <w:rFonts w:hint="eastAsia"/>
        </w:rPr>
        <w:t xml:space="preserve">根据https://warrenpowell.org/bridging-vol1/chapter-2/#clinicaltrials</w:t>
      </w:r>
      <w:r>
        <w:t xml:space="preserve"> </w:t>
      </w:r>
      <w:r>
        <w:rPr>
          <w:rFonts w:hint="eastAsia"/>
        </w:rPr>
        <w:t xml:space="preserve">一节中的内容，撰写一篇4-6页的案例研究。基于该节中的指标、决策和不确定性构建背景，但不要明确指出这些要素。用数据来激发你的案例问题。</w:t>
      </w:r>
    </w:p>
    <w:bookmarkEnd w:id="29"/>
    <w:bookmarkStart w:id="30" w:name="摘要"/>
    <w:p>
      <w:pPr>
        <w:pStyle w:val="Heading2"/>
      </w:pPr>
      <w:r>
        <w:rPr>
          <w:rFonts w:hint="eastAsia"/>
        </w:rPr>
        <w:t xml:space="preserve">摘要</w:t>
      </w:r>
    </w:p>
    <w:p>
      <w:pPr>
        <w:pStyle w:val="FirstParagraph"/>
      </w:pPr>
      <w:r>
        <w:rPr>
          <w:rFonts w:hint="eastAsia"/>
        </w:rPr>
        <w:t xml:space="preserve">本案例讲述了一家生物技术公司在获得有前景但结论不明确的II期试验结果后，决定扩大、重新设计、暂停、推进还是终止该试验的过程。案例涉及：</w:t>
      </w:r>
    </w:p>
    <w:p>
      <w:pPr>
        <w:numPr>
          <w:ilvl w:val="0"/>
          <w:numId w:val="1005"/>
        </w:numPr>
      </w:pPr>
      <w:r>
        <w:rPr>
          <w:rFonts w:hint="eastAsia"/>
        </w:rPr>
        <w:t xml:space="preserve">患者招募与试验点选择</w:t>
      </w:r>
    </w:p>
    <w:p>
      <w:pPr>
        <w:numPr>
          <w:ilvl w:val="0"/>
          <w:numId w:val="1005"/>
        </w:numPr>
      </w:pPr>
      <w:r>
        <w:rPr>
          <w:rFonts w:hint="eastAsia"/>
        </w:rPr>
        <w:t xml:space="preserve">治疗效果与亚组反应</w:t>
      </w:r>
    </w:p>
    <w:p>
      <w:pPr>
        <w:numPr>
          <w:ilvl w:val="0"/>
          <w:numId w:val="1005"/>
        </w:numPr>
      </w:pPr>
      <w:r>
        <w:rPr>
          <w:rFonts w:hint="eastAsia"/>
        </w:rPr>
        <w:t xml:space="preserve">安全信号与剂量选择</w:t>
      </w:r>
    </w:p>
    <w:p>
      <w:pPr>
        <w:numPr>
          <w:ilvl w:val="0"/>
          <w:numId w:val="1005"/>
        </w:numPr>
      </w:pPr>
      <w:r>
        <w:rPr>
          <w:rFonts w:hint="eastAsia"/>
        </w:rPr>
        <w:t xml:space="preserve">监管要求</w:t>
      </w:r>
    </w:p>
    <w:p>
      <w:pPr>
        <w:numPr>
          <w:ilvl w:val="0"/>
          <w:numId w:val="1005"/>
        </w:numPr>
      </w:pPr>
      <w:r>
        <w:rPr>
          <w:rFonts w:hint="eastAsia"/>
        </w:rPr>
        <w:t xml:space="preserve">生产能力与冷藏需求</w:t>
      </w:r>
    </w:p>
    <w:p>
      <w:pPr>
        <w:numPr>
          <w:ilvl w:val="0"/>
          <w:numId w:val="1005"/>
        </w:numPr>
      </w:pPr>
      <w:r>
        <w:rPr>
          <w:rFonts w:hint="eastAsia"/>
        </w:rPr>
        <w:t xml:space="preserve">专利有效期压力</w:t>
      </w:r>
    </w:p>
    <w:p>
      <w:pPr>
        <w:numPr>
          <w:ilvl w:val="0"/>
          <w:numId w:val="1005"/>
        </w:numPr>
      </w:pPr>
      <w:r>
        <w:rPr>
          <w:rFonts w:hint="eastAsia"/>
        </w:rPr>
        <w:t xml:space="preserve">竞争对手活动</w:t>
      </w:r>
    </w:p>
    <w:p>
      <w:pPr>
        <w:numPr>
          <w:ilvl w:val="0"/>
          <w:numId w:val="1005"/>
        </w:numPr>
      </w:pPr>
      <w:r>
        <w:rPr>
          <w:rFonts w:hint="eastAsia"/>
        </w:rPr>
        <w:t xml:space="preserve">医生接受度、定价与商业潜力</w:t>
      </w:r>
    </w:p>
    <w:p>
      <w:pPr>
        <w:numPr>
          <w:ilvl w:val="0"/>
          <w:numId w:val="1005"/>
        </w:numPr>
      </w:pPr>
      <w:r>
        <w:rPr>
          <w:rFonts w:hint="eastAsia"/>
        </w:rPr>
        <w:t xml:space="preserve">资本约束与合作伙伴替代方案</w:t>
      </w:r>
    </w:p>
    <w:p>
      <w:pPr>
        <w:numPr>
          <w:ilvl w:val="0"/>
          <w:numId w:val="1005"/>
        </w:numPr>
      </w:pPr>
      <w:r>
        <w:rPr>
          <w:rFonts w:hint="eastAsia"/>
        </w:rPr>
        <w:t xml:space="preserve">五个定量图表及十个讨论题</w:t>
      </w:r>
    </w:p>
    <w:p>
      <w:pPr>
        <w:pStyle w:val="FirstParagraph"/>
      </w:pPr>
      <w:r>
        <w:rPr>
          <w:rFonts w:hint="eastAsia"/>
        </w:rPr>
        <w:t xml:space="preserve">该案例的背景设定源自FDA的指导意见——III期研究通常涉及约300至3,000名参与者，已发表的证据表明已完成试验的中位延误可能约为12个月，以及研究估计进入人体试验的化合物中只有少数最终获得批准。</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2026-09-11T17:06:38Z</dcterms:created>
  <dcterms:modified xsi:type="dcterms:W3CDTF">2026-09-11T17:06:38Z</dcterms:modified>
</cp:coreProperties>
</file>

<file path=docProps/custom.xml><?xml version="1.0" encoding="utf-8"?>
<Properties xmlns="http://schemas.openxmlformats.org/officeDocument/2006/custom-properties" xmlns:vt="http://schemas.openxmlformats.org/officeDocument/2006/docPropsVTypes"/>
</file>