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调度动态学：</w:t>
      </w:r>
    </w:p>
    <w:p>
      <w:pPr>
        <w:pStyle w:val="BodyText"/>
      </w:pPr>
      <w:r>
        <w:rPr>
          <w:rFonts w:hint="eastAsia"/>
        </w:rPr>
        <w:t xml:space="preserve">推荐差距</w:t>
      </w:r>
    </w:p>
    <w:p>
      <w:pPr>
        <w:pStyle w:val="BodyText"/>
      </w:pPr>
      <w:r>
        <w:rPr>
          <w:rFonts w:hint="eastAsia"/>
        </w:rPr>
        <w:t xml:space="preserve">一家决策自动化公司面对实施的最后一英里</w:t>
      </w:r>
    </w:p>
    <w:p>
      <w:pPr>
        <w:pStyle w:val="BodyText"/>
      </w:pPr>
      <w:r>
        <w:rPr>
          <w:rFonts w:hint="eastAsia"/>
          <w:b/>
          <w:bCs/>
        </w:rPr>
        <w:t xml:space="preserve">周一评审</w:t>
      </w:r>
    </w:p>
    <w:p>
      <w:pPr>
        <w:pStyle w:val="BodyText"/>
      </w:pPr>
      <w:r>
        <w:rPr>
          <w:rFonts w:hint="eastAsia"/>
        </w:rPr>
        <w:t xml:space="preserve">周一早上7:15，Dispatch</w:t>
      </w:r>
      <w:r>
        <w:t xml:space="preserve"> </w:t>
      </w:r>
      <w:r>
        <w:rPr>
          <w:rFonts w:hint="eastAsia"/>
        </w:rPr>
        <w:t xml:space="preserve">Dynamics公司首席客户官Maya</w:t>
      </w:r>
      <w:r>
        <w:t xml:space="preserve"> </w:t>
      </w:r>
      <w:r>
        <w:rPr>
          <w:rFonts w:hint="eastAsia"/>
        </w:rPr>
        <w:t xml:space="preserve">Chen研究着一份似乎与公司销售说辞相矛盾的仪表盘。这家软件公司已完成其整车调度平台的十二次实施。多家客户报告称在每辆牵引车营收、满载里程、规划生产率和网络一致性方面取得了显著提升。然而在整个客户组合中，符合条件的司机推荐建议中，只有43%被无实质性修改地采纳执行。</w:t>
      </w:r>
    </w:p>
    <w:p>
      <w:pPr>
        <w:pStyle w:val="BodyText"/>
      </w:pPr>
      <w:r>
        <w:rPr>
          <w:rFonts w:hint="eastAsia"/>
        </w:rPr>
        <w:t xml:space="preserve">这个数字令人担忧，因为该系统不仅仅是显示预测结果。系统每隔几分钟就会评估可用司机、已承诺货运、预期货运需求、司机排班、居家时间要求、设备限制以及网络不确定性。然后它会推荐每位司机接下来应该做什么。产品团队认为，更广泛地采用这些推荐建议至关重要：孤立看来合理的局部决策，可能会减少网络中其他地方未来的选择空间。</w:t>
      </w:r>
    </w:p>
    <w:p>
      <w:pPr>
        <w:pStyle w:val="BodyText"/>
      </w:pPr>
      <w:r>
        <w:rPr>
          <w:rFonts w:hint="eastAsia"/>
        </w:rPr>
        <w:t xml:space="preserve">但采用率这一指标掩盖的信息与它所揭示的一样多。有一家客户采纳了82%的推荐建议，其每辆牵引车营收有所提高。另一家客户仅采纳了31%，却坚称调度员是在保护该软件无法理解的服务承诺。第三家客户表面上采用率很高，但审计发现，规划人员在生成推荐建议之前就已更改了司机和货运数据，这实际上是在操纵结果，同时维持表面上的合规假象。</w:t>
      </w:r>
    </w:p>
    <w:p>
      <w:pPr>
        <w:pStyle w:val="BodyText"/>
      </w:pPr>
      <w:r>
        <w:rPr>
          <w:rFonts w:hint="eastAsia"/>
        </w:rPr>
        <w:t xml:space="preserve">Chen被要求在三周后的季度运营会议上提出一项全公司范围的应对方案。Dispatch</w:t>
      </w:r>
      <w:r>
        <w:t xml:space="preserve"> </w:t>
      </w:r>
      <w:r>
        <w:rPr>
          <w:rFonts w:hint="eastAsia"/>
        </w:rPr>
        <w:t xml:space="preserve">Dynamics公司可以投资于改进产品说明、加强实施支持、开展用户行为的正式研究、改进数据诊断，或重新设计调度工作流程。它也可以得出这样的结论：低采纳率有时是理性的，产品需要从人工覆盖操作中学习更多。证据并没有明确指向某一个方向。</w:t>
      </w:r>
    </w:p>
    <w:bookmarkStart w:id="9" w:name="产品及其承诺"/>
    <w:p>
      <w:pPr>
        <w:pStyle w:val="Heading1"/>
      </w:pPr>
      <w:r>
        <w:rPr>
          <w:rFonts w:hint="eastAsia"/>
        </w:rPr>
        <w:t xml:space="preserve">产品及其承诺</w:t>
      </w:r>
    </w:p>
    <w:p>
      <w:pPr>
        <w:pStyle w:val="FirstParagraph"/>
      </w:pPr>
      <w:r>
        <w:t xml:space="preserve">Dispatch </w:t>
      </w:r>
      <w:r>
        <w:rPr>
          <w:rFonts w:hint="eastAsia"/>
        </w:rPr>
        <w:t xml:space="preserve">Dynamics公司向中型和大型整车承运商销售决策自动化软件。该平台在考虑下游后果的同时生成货物接受和司机调度建议。其核心主张是：规划人员不应仅根据即时营收或空驶里程来评估司机—货运配对。这种配对还会改变司机未来所处的位置、哪些未来货运仍可行、居家时间承诺能否兑现，以及稀缺运力将如何在整个网络中分配。</w:t>
      </w:r>
    </w:p>
    <w:p>
      <w:pPr>
        <w:pStyle w:val="BodyText"/>
      </w:pPr>
      <w:r>
        <w:rPr>
          <w:rFonts w:hint="eastAsia"/>
        </w:rPr>
        <w:t xml:space="preserve">成功的实施改变了调度员的角色。用户不再手动搜索每一种可行的分配方案，而是监控推荐建议、处理异常情况、与司机和客户沟通，并纠正缺失的信息。在表现最强的客户现场，管理层将这一转变描述为一种运营模式的变革，而非软件安装。而在表现较弱的现场，新系统只是被插入到现有的电子表格、消息线程和非正式规则之中，与之并存。</w:t>
      </w:r>
    </w:p>
    <w:p>
      <w:pPr>
        <w:pStyle w:val="BodyText"/>
      </w:pPr>
      <w:r>
        <w:rPr>
          <w:rFonts w:hint="eastAsia"/>
        </w:rPr>
        <w:t xml:space="preserve">图</w:t>
      </w:r>
      <w:r>
        <w:t xml:space="preserve"> 1. </w:t>
      </w:r>
      <w:r>
        <w:rPr>
          <w:rFonts w:hint="eastAsia"/>
        </w:rPr>
        <w:t xml:space="preserve">六个月后精选实施成果</w:t>
      </w:r>
    </w:p>
    <w:tbl>
      <w:tblPr>
        <w:tblStyle w:val="Table"/>
        <w:tblW w:type="pct" w:w="4921"/>
        <w:tblLayout w:type="fixed"/>
        <w:tblLook w:firstRow="1" w:lastRow="0" w:firstColumn="0" w:lastColumn="0" w:noHBand="0" w:noVBand="0" w:val="0020"/>
      </w:tblPr>
      <w:tblGrid>
        <w:gridCol w:w="1320"/>
        <w:gridCol w:w="502"/>
        <w:gridCol w:w="1697"/>
        <w:gridCol w:w="1571"/>
        <w:gridCol w:w="1257"/>
        <w:gridCol w:w="1445"/>
      </w:tblGrid>
      <w:tr>
        <w:trPr>
          <w:tblHeader w:val="on"/>
        </w:trPr>
        <w:tc>
          <w:tcPr/>
          <w:p>
            <w:pPr>
              <w:pStyle w:val="Compact"/>
              <w:jc w:val="left"/>
            </w:pPr>
            <w:r>
              <w:rPr>
                <w:rFonts w:hint="eastAsia"/>
              </w:rPr>
              <w:t xml:space="preserve">客户</w:t>
            </w:r>
          </w:p>
        </w:tc>
        <w:tc>
          <w:tcPr/>
          <w:p>
            <w:pPr>
              <w:pStyle w:val="Compact"/>
              <w:jc w:val="right"/>
            </w:pPr>
            <w:r>
              <w:rPr>
                <w:rFonts w:hint="eastAsia"/>
              </w:rPr>
              <w:t xml:space="preserve">车队规模</w:t>
            </w:r>
          </w:p>
        </w:tc>
        <w:tc>
          <w:tcPr/>
          <w:p>
            <w:pPr>
              <w:pStyle w:val="Compact"/>
              <w:jc w:val="center"/>
            </w:pPr>
            <w:r>
              <w:rPr>
                <w:rFonts w:hint="eastAsia"/>
              </w:rPr>
              <w:t xml:space="preserve">推荐采纳率</w:t>
            </w:r>
          </w:p>
        </w:tc>
        <w:tc>
          <w:tcPr/>
          <w:p>
            <w:pPr>
              <w:pStyle w:val="Compact"/>
              <w:jc w:val="center"/>
            </w:pPr>
            <w:r>
              <w:rPr>
                <w:rFonts w:hint="eastAsia"/>
              </w:rPr>
              <w:t xml:space="preserve">每辆牵引车营收变化</w:t>
            </w:r>
          </w:p>
        </w:tc>
        <w:tc>
          <w:tcPr/>
          <w:p>
            <w:pPr>
              <w:pStyle w:val="Compact"/>
              <w:jc w:val="center"/>
            </w:pPr>
            <w:r>
              <w:rPr>
                <w:rFonts w:hint="eastAsia"/>
              </w:rPr>
              <w:t xml:space="preserve">空驶里程变化</w:t>
            </w:r>
          </w:p>
        </w:tc>
        <w:tc>
          <w:tcPr/>
          <w:p>
            <w:pPr>
              <w:pStyle w:val="Compact"/>
              <w:jc w:val="center"/>
            </w:pPr>
            <w:r>
              <w:rPr>
                <w:rFonts w:hint="eastAsia"/>
              </w:rPr>
              <w:t xml:space="preserve">规划人员生产率</w:t>
            </w:r>
          </w:p>
        </w:tc>
      </w:tr>
      <w:tr>
        <w:tc>
          <w:tcPr/>
          <w:p>
            <w:pPr>
              <w:pStyle w:val="Compact"/>
              <w:jc w:val="left"/>
            </w:pPr>
            <w:r>
              <w:t xml:space="preserve">Northstar Freight</w:t>
            </w:r>
          </w:p>
        </w:tc>
        <w:tc>
          <w:tcPr/>
          <w:p>
            <w:pPr>
              <w:pStyle w:val="Compact"/>
              <w:jc w:val="right"/>
            </w:pPr>
            <w:r>
              <w:t xml:space="preserve">420</w:t>
            </w:r>
          </w:p>
        </w:tc>
        <w:tc>
          <w:tcPr/>
          <w:p>
            <w:pPr>
              <w:pStyle w:val="Compact"/>
              <w:jc w:val="center"/>
            </w:pPr>
            <w:r>
              <w:t xml:space="preserve">82%</w:t>
            </w:r>
          </w:p>
        </w:tc>
        <w:tc>
          <w:tcPr/>
          <w:p>
            <w:pPr>
              <w:pStyle w:val="Compact"/>
              <w:jc w:val="center"/>
            </w:pPr>
            <w:r>
              <w:t xml:space="preserve">+8.1%</w:t>
            </w:r>
          </w:p>
        </w:tc>
        <w:tc>
          <w:tcPr/>
          <w:p>
            <w:pPr>
              <w:pStyle w:val="Compact"/>
              <w:jc w:val="center"/>
            </w:pPr>
            <w:r>
              <w:t xml:space="preserve">-7.4%</w:t>
            </w:r>
          </w:p>
        </w:tc>
        <w:tc>
          <w:tcPr/>
          <w:p>
            <w:pPr>
              <w:pStyle w:val="Compact"/>
              <w:jc w:val="center"/>
            </w:pPr>
            <w:r>
              <w:t xml:space="preserve">+32%</w:t>
            </w:r>
          </w:p>
        </w:tc>
      </w:tr>
      <w:tr>
        <w:tc>
          <w:tcPr/>
          <w:p>
            <w:pPr>
              <w:pStyle w:val="Compact"/>
              <w:jc w:val="left"/>
            </w:pPr>
            <w:r>
              <w:t xml:space="preserve">Redwood Carriers</w:t>
            </w:r>
          </w:p>
        </w:tc>
        <w:tc>
          <w:tcPr/>
          <w:p>
            <w:pPr>
              <w:pStyle w:val="Compact"/>
              <w:jc w:val="right"/>
            </w:pPr>
            <w:r>
              <w:t xml:space="preserve">690</w:t>
            </w:r>
          </w:p>
        </w:tc>
        <w:tc>
          <w:tcPr/>
          <w:p>
            <w:pPr>
              <w:pStyle w:val="Compact"/>
              <w:jc w:val="center"/>
            </w:pPr>
            <w:r>
              <w:t xml:space="preserve">61%</w:t>
            </w:r>
          </w:p>
        </w:tc>
        <w:tc>
          <w:tcPr/>
          <w:p>
            <w:pPr>
              <w:pStyle w:val="Compact"/>
              <w:jc w:val="center"/>
            </w:pPr>
            <w:r>
              <w:t xml:space="preserve">+3.6%</w:t>
            </w:r>
          </w:p>
        </w:tc>
        <w:tc>
          <w:tcPr/>
          <w:p>
            <w:pPr>
              <w:pStyle w:val="Compact"/>
              <w:jc w:val="center"/>
            </w:pPr>
            <w:r>
              <w:t xml:space="preserve">-2.1%</w:t>
            </w:r>
          </w:p>
        </w:tc>
        <w:tc>
          <w:tcPr/>
          <w:p>
            <w:pPr>
              <w:pStyle w:val="Compact"/>
              <w:jc w:val="center"/>
            </w:pPr>
            <w:r>
              <w:t xml:space="preserve">+18%</w:t>
            </w:r>
          </w:p>
        </w:tc>
      </w:tr>
      <w:tr>
        <w:tc>
          <w:tcPr/>
          <w:p>
            <w:pPr>
              <w:pStyle w:val="Compact"/>
              <w:jc w:val="left"/>
            </w:pPr>
            <w:r>
              <w:t xml:space="preserve">Crescent Transport</w:t>
            </w:r>
          </w:p>
        </w:tc>
        <w:tc>
          <w:tcPr/>
          <w:p>
            <w:pPr>
              <w:pStyle w:val="Compact"/>
              <w:jc w:val="right"/>
            </w:pPr>
            <w:r>
              <w:t xml:space="preserve">310</w:t>
            </w:r>
          </w:p>
        </w:tc>
        <w:tc>
          <w:tcPr/>
          <w:p>
            <w:pPr>
              <w:pStyle w:val="Compact"/>
              <w:jc w:val="center"/>
            </w:pPr>
            <w:r>
              <w:t xml:space="preserve">47%</w:t>
            </w:r>
          </w:p>
        </w:tc>
        <w:tc>
          <w:tcPr/>
          <w:p>
            <w:pPr>
              <w:pStyle w:val="Compact"/>
              <w:jc w:val="center"/>
            </w:pPr>
            <w:r>
              <w:t xml:space="preserve">+1.2%</w:t>
            </w:r>
          </w:p>
        </w:tc>
        <w:tc>
          <w:tcPr/>
          <w:p>
            <w:pPr>
              <w:pStyle w:val="Compact"/>
              <w:jc w:val="center"/>
            </w:pPr>
            <w:r>
              <w:t xml:space="preserve">+0.8%</w:t>
            </w:r>
          </w:p>
        </w:tc>
        <w:tc>
          <w:tcPr/>
          <w:p>
            <w:pPr>
              <w:pStyle w:val="Compact"/>
              <w:jc w:val="center"/>
            </w:pPr>
            <w:r>
              <w:t xml:space="preserve">+11%</w:t>
            </w:r>
          </w:p>
        </w:tc>
      </w:tr>
      <w:tr>
        <w:tc>
          <w:tcPr/>
          <w:p>
            <w:pPr>
              <w:pStyle w:val="Compact"/>
              <w:jc w:val="left"/>
            </w:pPr>
            <w:r>
              <w:t xml:space="preserve">Pioneer Logistics</w:t>
            </w:r>
          </w:p>
        </w:tc>
        <w:tc>
          <w:tcPr/>
          <w:p>
            <w:pPr>
              <w:pStyle w:val="Compact"/>
              <w:jc w:val="right"/>
            </w:pPr>
            <w:r>
              <w:t xml:space="preserve">540</w:t>
            </w:r>
          </w:p>
        </w:tc>
        <w:tc>
          <w:tcPr/>
          <w:p>
            <w:pPr>
              <w:pStyle w:val="Compact"/>
              <w:jc w:val="center"/>
            </w:pPr>
            <w:r>
              <w:t xml:space="preserve">31%</w:t>
            </w:r>
          </w:p>
        </w:tc>
        <w:tc>
          <w:tcPr/>
          <w:p>
            <w:pPr>
              <w:pStyle w:val="Compact"/>
              <w:jc w:val="center"/>
            </w:pPr>
            <w:r>
              <w:t xml:space="preserve">-0.4%</w:t>
            </w:r>
          </w:p>
        </w:tc>
        <w:tc>
          <w:tcPr/>
          <w:p>
            <w:pPr>
              <w:pStyle w:val="Compact"/>
              <w:jc w:val="center"/>
            </w:pPr>
            <w:r>
              <w:t xml:space="preserve">-1.7%</w:t>
            </w:r>
          </w:p>
        </w:tc>
        <w:tc>
          <w:tcPr/>
          <w:p>
            <w:pPr>
              <w:pStyle w:val="Compact"/>
              <w:jc w:val="center"/>
            </w:pPr>
            <w:r>
              <w:t xml:space="preserve">+6%</w:t>
            </w:r>
          </w:p>
        </w:tc>
      </w:tr>
      <w:tr>
        <w:tc>
          <w:tcPr/>
          <w:p>
            <w:pPr>
              <w:pStyle w:val="Compact"/>
              <w:jc w:val="left"/>
            </w:pPr>
            <w:r>
              <w:t xml:space="preserve">Summit Haulage</w:t>
            </w:r>
          </w:p>
        </w:tc>
        <w:tc>
          <w:tcPr/>
          <w:p>
            <w:pPr>
              <w:pStyle w:val="Compact"/>
              <w:jc w:val="right"/>
            </w:pPr>
            <w:r>
              <w:t xml:space="preserve">225</w:t>
            </w:r>
          </w:p>
        </w:tc>
        <w:tc>
          <w:tcPr/>
          <w:p>
            <w:pPr>
              <w:pStyle w:val="Compact"/>
              <w:jc w:val="center"/>
            </w:pPr>
            <w:r>
              <w:t xml:space="preserve">68%</w:t>
            </w:r>
          </w:p>
        </w:tc>
        <w:tc>
          <w:tcPr/>
          <w:p>
            <w:pPr>
              <w:pStyle w:val="Compact"/>
              <w:jc w:val="center"/>
            </w:pPr>
            <w:r>
              <w:t xml:space="preserve">+5.0%</w:t>
            </w:r>
          </w:p>
        </w:tc>
        <w:tc>
          <w:tcPr/>
          <w:p>
            <w:pPr>
              <w:pStyle w:val="Compact"/>
              <w:jc w:val="center"/>
            </w:pPr>
            <w:r>
              <w:t xml:space="preserve">-5.9%</w:t>
            </w:r>
          </w:p>
        </w:tc>
        <w:tc>
          <w:tcPr/>
          <w:p>
            <w:pPr>
              <w:pStyle w:val="Compact"/>
              <w:jc w:val="center"/>
            </w:pPr>
            <w:r>
              <w:t xml:space="preserve">+24%</w:t>
            </w:r>
          </w:p>
        </w:tc>
      </w:tr>
      <w:tr>
        <w:tc>
          <w:tcPr/>
          <w:p>
            <w:pPr>
              <w:pStyle w:val="Compact"/>
              <w:jc w:val="left"/>
            </w:pPr>
            <w:r>
              <w:rPr>
                <w:rFonts w:hint="eastAsia"/>
              </w:rPr>
              <w:t xml:space="preserve">组合中位数</w:t>
            </w:r>
          </w:p>
        </w:tc>
        <w:tc>
          <w:tcPr/>
          <w:p>
            <w:pPr>
              <w:pStyle w:val="Compact"/>
              <w:jc w:val="right"/>
            </w:pPr>
            <w:r>
              <w:t xml:space="preserve">—</w:t>
            </w:r>
          </w:p>
        </w:tc>
        <w:tc>
          <w:tcPr/>
          <w:p>
            <w:pPr>
              <w:pStyle w:val="Compact"/>
              <w:jc w:val="center"/>
            </w:pPr>
            <w:r>
              <w:t xml:space="preserve">52%</w:t>
            </w:r>
          </w:p>
        </w:tc>
        <w:tc>
          <w:tcPr/>
          <w:p>
            <w:pPr>
              <w:pStyle w:val="Compact"/>
              <w:jc w:val="center"/>
            </w:pPr>
            <w:r>
              <w:t xml:space="preserve">+2.9%</w:t>
            </w:r>
          </w:p>
        </w:tc>
        <w:tc>
          <w:tcPr/>
          <w:p>
            <w:pPr>
              <w:pStyle w:val="Compact"/>
              <w:jc w:val="center"/>
            </w:pPr>
            <w:r>
              <w:t xml:space="preserve">-1.9%</w:t>
            </w:r>
          </w:p>
        </w:tc>
        <w:tc>
          <w:tcPr/>
          <w:p>
            <w:pPr>
              <w:pStyle w:val="Compact"/>
              <w:jc w:val="center"/>
            </w:pPr>
            <w:r>
              <w:t xml:space="preserve">+17%</w:t>
            </w:r>
          </w:p>
        </w:tc>
      </w:tr>
    </w:tbl>
    <w:p>
      <w:pPr>
        <w:pStyle w:val="BodyText"/>
      </w:pPr>
      <w:r>
        <w:rPr>
          <w:rFonts w:hint="eastAsia"/>
        </w:rPr>
        <w:t xml:space="preserve">注：所有公司和数字均为虚构。</w:t>
      </w:r>
      <w:r>
        <w:rPr>
          <w:rFonts w:hint="eastAsia"/>
        </w:rPr>
        <w:t xml:space="preserve">“采纳”</w:t>
      </w:r>
      <w:r>
        <w:rPr>
          <w:rFonts w:hint="eastAsia"/>
        </w:rPr>
        <w:t xml:space="preserve">是指推荐的司机—货运操作在决策窗口内被执行且未做实质性变更。绩效变化是相对于每位客户实施前的基线来衡量的，并非受控实验。</w:t>
      </w:r>
    </w:p>
    <w:bookmarkEnd w:id="9"/>
    <w:bookmarkStart w:id="10" w:name="什么算作人工覆盖"/>
    <w:p>
      <w:pPr>
        <w:pStyle w:val="Heading1"/>
      </w:pPr>
      <w:r>
        <w:rPr>
          <w:rFonts w:hint="eastAsia"/>
        </w:rPr>
        <w:t xml:space="preserve">什么算作人工覆盖？</w:t>
      </w:r>
    </w:p>
    <w:p>
      <w:pPr>
        <w:pStyle w:val="FirstParagraph"/>
      </w:pPr>
      <w:r>
        <w:rPr>
          <w:rFonts w:hint="eastAsia"/>
        </w:rPr>
        <w:t xml:space="preserve">客户成功团队最初将每一次人工覆盖都视为用户拒绝推荐建议的证据。调度员对此提出异议。他们认为，这个标签混合了至少四种不同的情况：由于数据有误导致推荐建议不可行；推荐建议可行但未能反映客户或司机的承诺；用户根据经验偏好不同的操作；或在执行前运营事件发生了变化。</w:t>
      </w:r>
    </w:p>
    <w:p>
      <w:pPr>
        <w:pStyle w:val="BodyText"/>
      </w:pPr>
      <w:r>
        <w:rPr>
          <w:rFonts w:hint="eastAsia"/>
        </w:rPr>
        <w:t xml:space="preserve">该平台会记录推荐建议是否被采纳，但并未持续记录其被更改的原因。自由文本备注是可选的，且不同客户所使用的术语各不相同。在一次为期两周的审计中，分析人员通过访谈规划人员、查阅消息记录、车载信息记录和订单历史，重新梳理了1,284次人工覆盖操作。结果削弱了”用户只是缺乏信任”这一简单解释。</w:t>
      </w:r>
    </w:p>
    <w:p>
      <w:pPr>
        <w:pStyle w:val="BodyText"/>
      </w:pPr>
      <w:r>
        <w:rPr>
          <w:rFonts w:hint="eastAsia"/>
        </w:rPr>
        <w:t xml:space="preserve">图</w:t>
      </w:r>
      <w:r>
        <w:t xml:space="preserve"> 2. </w:t>
      </w:r>
      <w:r>
        <w:rPr>
          <w:rFonts w:hint="eastAsia"/>
        </w:rPr>
        <w:t xml:space="preserve">1,284次推荐覆盖操作的重新梳理原因</w:t>
      </w:r>
    </w:p>
    <w:tbl>
      <w:tblPr>
        <w:tblStyle w:val="Table"/>
        <w:tblW w:type="pct" w:w="4930"/>
        <w:tblLayout w:type="fixed"/>
        <w:tblLook w:firstRow="1" w:lastRow="0" w:firstColumn="0" w:lastColumn="0" w:noHBand="0" w:noVBand="0" w:val="0020"/>
      </w:tblPr>
      <w:tblGrid>
        <w:gridCol w:w="2603"/>
        <w:gridCol w:w="1329"/>
        <w:gridCol w:w="3876"/>
      </w:tblGrid>
      <w:tr>
        <w:trPr>
          <w:tblHeader w:val="on"/>
        </w:trPr>
        <w:tc>
          <w:tcPr/>
          <w:p>
            <w:pPr>
              <w:pStyle w:val="Compact"/>
              <w:jc w:val="left"/>
            </w:pPr>
            <w:r>
              <w:rPr>
                <w:rFonts w:hint="eastAsia"/>
              </w:rPr>
              <w:t xml:space="preserve">经审核确定的原因</w:t>
            </w:r>
          </w:p>
        </w:tc>
        <w:tc>
          <w:tcPr/>
          <w:p>
            <w:pPr>
              <w:pStyle w:val="Compact"/>
              <w:jc w:val="center"/>
            </w:pPr>
            <w:r>
              <w:rPr>
                <w:rFonts w:hint="eastAsia"/>
              </w:rPr>
              <w:t xml:space="preserve">占比</w:t>
            </w:r>
          </w:p>
        </w:tc>
        <w:tc>
          <w:tcPr/>
          <w:p>
            <w:pPr>
              <w:pStyle w:val="Compact"/>
              <w:jc w:val="center"/>
            </w:pPr>
            <w:r>
              <w:rPr>
                <w:rFonts w:hint="eastAsia"/>
              </w:rPr>
              <w:t xml:space="preserve">示例问题</w:t>
            </w:r>
          </w:p>
        </w:tc>
      </w:tr>
      <w:tr>
        <w:tc>
          <w:tcPr/>
          <w:p>
            <w:pPr>
              <w:pStyle w:val="Compact"/>
              <w:jc w:val="left"/>
            </w:pPr>
            <w:r>
              <w:rPr>
                <w:rFonts w:hint="eastAsia"/>
              </w:rPr>
              <w:t xml:space="preserve">运营数据缺失或过时</w:t>
            </w:r>
          </w:p>
        </w:tc>
        <w:tc>
          <w:tcPr/>
          <w:p>
            <w:pPr>
              <w:pStyle w:val="Compact"/>
              <w:jc w:val="center"/>
            </w:pPr>
            <w:r>
              <w:t xml:space="preserve">24%</w:t>
            </w:r>
          </w:p>
        </w:tc>
        <w:tc>
          <w:tcPr/>
          <w:p>
            <w:pPr>
              <w:pStyle w:val="Compact"/>
              <w:jc w:val="center"/>
            </w:pPr>
            <w:r>
              <w:rPr>
                <w:rFonts w:hint="eastAsia"/>
              </w:rPr>
              <w:t xml:space="preserve">司机位置、工时、设备、预约或货运状态</w:t>
            </w:r>
          </w:p>
        </w:tc>
      </w:tr>
      <w:tr>
        <w:tc>
          <w:tcPr/>
          <w:p>
            <w:pPr>
              <w:pStyle w:val="Compact"/>
              <w:jc w:val="left"/>
            </w:pPr>
            <w:r>
              <w:rPr>
                <w:rFonts w:hint="eastAsia"/>
              </w:rPr>
              <w:t xml:space="preserve">未建模的承诺或偏好</w:t>
            </w:r>
          </w:p>
        </w:tc>
        <w:tc>
          <w:tcPr/>
          <w:p>
            <w:pPr>
              <w:pStyle w:val="Compact"/>
              <w:jc w:val="center"/>
            </w:pPr>
            <w:r>
              <w:t xml:space="preserve">21%</w:t>
            </w:r>
          </w:p>
        </w:tc>
        <w:tc>
          <w:tcPr/>
          <w:p>
            <w:pPr>
              <w:pStyle w:val="Compact"/>
              <w:jc w:val="center"/>
            </w:pPr>
            <w:r>
              <w:rPr>
                <w:rFonts w:hint="eastAsia"/>
              </w:rPr>
              <w:t xml:space="preserve">居家时间、客户承诺、司机关系、维修厂访问</w:t>
            </w:r>
          </w:p>
        </w:tc>
      </w:tr>
      <w:tr>
        <w:tc>
          <w:tcPr/>
          <w:p>
            <w:pPr>
              <w:pStyle w:val="Compact"/>
              <w:jc w:val="left"/>
            </w:pPr>
            <w:r>
              <w:rPr>
                <w:rFonts w:hint="eastAsia"/>
              </w:rPr>
              <w:t xml:space="preserve">推荐建议已不再适用</w:t>
            </w:r>
          </w:p>
        </w:tc>
        <w:tc>
          <w:tcPr/>
          <w:p>
            <w:pPr>
              <w:pStyle w:val="Compact"/>
              <w:jc w:val="center"/>
            </w:pPr>
            <w:r>
              <w:t xml:space="preserve">16%</w:t>
            </w:r>
          </w:p>
        </w:tc>
        <w:tc>
          <w:tcPr/>
          <w:p>
            <w:pPr>
              <w:pStyle w:val="Compact"/>
              <w:jc w:val="center"/>
            </w:pPr>
            <w:r>
              <w:rPr>
                <w:rFonts w:hint="eastAsia"/>
              </w:rPr>
              <w:t xml:space="preserve">取货延误、取消、故障、天气或新的优先货运</w:t>
            </w:r>
          </w:p>
        </w:tc>
      </w:tr>
      <w:tr>
        <w:tc>
          <w:tcPr/>
          <w:p>
            <w:pPr>
              <w:pStyle w:val="Compact"/>
              <w:jc w:val="left"/>
            </w:pPr>
            <w:r>
              <w:rPr>
                <w:rFonts w:hint="eastAsia"/>
              </w:rPr>
              <w:t xml:space="preserve">调度员预期能获得更好的网络结果</w:t>
            </w:r>
          </w:p>
        </w:tc>
        <w:tc>
          <w:tcPr/>
          <w:p>
            <w:pPr>
              <w:pStyle w:val="Compact"/>
              <w:jc w:val="center"/>
            </w:pPr>
            <w:r>
              <w:t xml:space="preserve">15%</w:t>
            </w:r>
          </w:p>
        </w:tc>
        <w:tc>
          <w:tcPr/>
          <w:p>
            <w:pPr>
              <w:pStyle w:val="Compact"/>
              <w:jc w:val="center"/>
            </w:pPr>
            <w:r>
              <w:rPr>
                <w:rFonts w:hint="eastAsia"/>
              </w:rPr>
              <w:t xml:space="preserve">系统中未体现的定位判断或预期货运</w:t>
            </w:r>
          </w:p>
        </w:tc>
      </w:tr>
      <w:tr>
        <w:tc>
          <w:tcPr/>
          <w:p>
            <w:pPr>
              <w:pStyle w:val="Compact"/>
              <w:jc w:val="left"/>
            </w:pPr>
            <w:r>
              <w:rPr>
                <w:rFonts w:hint="eastAsia"/>
              </w:rPr>
              <w:t xml:space="preserve">局部关键绩效指标或激励冲突</w:t>
            </w:r>
          </w:p>
        </w:tc>
        <w:tc>
          <w:tcPr/>
          <w:p>
            <w:pPr>
              <w:pStyle w:val="Compact"/>
              <w:jc w:val="center"/>
            </w:pPr>
            <w:r>
              <w:t xml:space="preserve">11%</w:t>
            </w:r>
          </w:p>
        </w:tc>
        <w:tc>
          <w:tcPr/>
          <w:p>
            <w:pPr>
              <w:pStyle w:val="Compact"/>
              <w:jc w:val="center"/>
            </w:pPr>
            <w:r>
              <w:rPr>
                <w:rFonts w:hint="eastAsia"/>
              </w:rPr>
              <w:t xml:space="preserve">空驶里程目标、客户计分卡、车队所有权、奖金规则</w:t>
            </w:r>
          </w:p>
        </w:tc>
      </w:tr>
      <w:tr>
        <w:tc>
          <w:tcPr/>
          <w:p>
            <w:pPr>
              <w:pStyle w:val="Compact"/>
              <w:jc w:val="left"/>
            </w:pPr>
            <w:r>
              <w:rPr>
                <w:rFonts w:hint="eastAsia"/>
              </w:rPr>
              <w:t xml:space="preserve">工作流程或界面摩擦</w:t>
            </w:r>
          </w:p>
        </w:tc>
        <w:tc>
          <w:tcPr/>
          <w:p>
            <w:pPr>
              <w:pStyle w:val="Compact"/>
              <w:jc w:val="center"/>
            </w:pPr>
            <w:r>
              <w:t xml:space="preserve">8%</w:t>
            </w:r>
          </w:p>
        </w:tc>
        <w:tc>
          <w:tcPr/>
          <w:p>
            <w:pPr>
              <w:pStyle w:val="Compact"/>
              <w:jc w:val="center"/>
            </w:pPr>
            <w:r>
              <w:rPr>
                <w:rFonts w:hint="eastAsia"/>
              </w:rPr>
              <w:t xml:space="preserve">推荐建议到达过晚或需要重复录入</w:t>
            </w:r>
          </w:p>
        </w:tc>
      </w:tr>
      <w:tr>
        <w:tc>
          <w:tcPr/>
          <w:p>
            <w:pPr>
              <w:pStyle w:val="Compact"/>
              <w:jc w:val="left"/>
            </w:pPr>
            <w:r>
              <w:rPr>
                <w:rFonts w:hint="eastAsia"/>
              </w:rPr>
              <w:t xml:space="preserve">未发现可辩护的原因</w:t>
            </w:r>
          </w:p>
        </w:tc>
        <w:tc>
          <w:tcPr/>
          <w:p>
            <w:pPr>
              <w:pStyle w:val="Compact"/>
              <w:jc w:val="center"/>
            </w:pPr>
            <w:r>
              <w:t xml:space="preserve">5%</w:t>
            </w:r>
          </w:p>
        </w:tc>
        <w:tc>
          <w:tcPr/>
          <w:p>
            <w:pPr>
              <w:pStyle w:val="Compact"/>
              <w:jc w:val="center"/>
            </w:pPr>
            <w:r>
              <w:rPr>
                <w:rFonts w:hint="eastAsia"/>
              </w:rPr>
              <w:t xml:space="preserve">习惯、不适感或未记录的偏好</w:t>
            </w:r>
          </w:p>
        </w:tc>
      </w:tr>
    </w:tbl>
    <w:bookmarkEnd w:id="10"/>
    <w:bookmarkStart w:id="11" w:name="五种相互竞争的解释"/>
    <w:p>
      <w:pPr>
        <w:pStyle w:val="Heading1"/>
      </w:pPr>
      <w:r>
        <w:rPr>
          <w:rFonts w:hint="eastAsia"/>
        </w:rPr>
        <w:t xml:space="preserve">五种相互竞争的解释</w:t>
      </w:r>
    </w:p>
    <w:p>
      <w:pPr>
        <w:pStyle w:val="FirstParagraph"/>
      </w:pPr>
      <w:r>
        <w:rPr>
          <w:rFonts w:hint="eastAsia"/>
          <w:b/>
          <w:bCs/>
        </w:rPr>
        <w:t xml:space="preserve">产品解释问题。</w:t>
      </w:r>
      <w:r>
        <w:t xml:space="preserve"> </w:t>
      </w:r>
      <w:r>
        <w:rPr>
          <w:rFonts w:hint="eastAsia"/>
        </w:rPr>
        <w:t xml:space="preserve">调度员能看到推荐的操作，但并非总能看到其背后的权衡取舍。有些人希望知道哪些未来货运、司机约束或网络效应使得该推荐具有吸引力。产品负责人提议增加自然语言解释功能，但研究人员警告说，即使底层数据有误，有说服力的解释也可能提高合规率。</w:t>
      </w:r>
    </w:p>
    <w:p>
      <w:pPr>
        <w:pStyle w:val="BodyText"/>
      </w:pPr>
      <w:r>
        <w:rPr>
          <w:rFonts w:hint="eastAsia"/>
          <w:b/>
          <w:bCs/>
        </w:rPr>
        <w:t xml:space="preserve">数据就绪性问题。</w:t>
      </w:r>
      <w:r>
        <w:t xml:space="preserve"> </w:t>
      </w:r>
      <w:r>
        <w:rPr>
          <w:rFonts w:hint="eastAsia"/>
        </w:rPr>
        <w:t xml:space="preserve">优化引擎依赖于及时、准确的信息。一些客户在更新司机可用性、货运状态、预约灵活性或居家时间承诺方面流程薄弱。客户方高管常将这些描述为软件错误，而调度员则通过手动决策悄悄修正记录。</w:t>
      </w:r>
    </w:p>
    <w:p>
      <w:pPr>
        <w:pStyle w:val="BodyText"/>
      </w:pPr>
      <w:r>
        <w:rPr>
          <w:rFonts w:hint="eastAsia"/>
          <w:b/>
          <w:bCs/>
        </w:rPr>
        <w:t xml:space="preserve">运营模式问题。</w:t>
      </w:r>
      <w:r>
        <w:t xml:space="preserve"> </w:t>
      </w:r>
      <w:r>
        <w:rPr>
          <w:rFonts w:hint="eastAsia"/>
        </w:rPr>
        <w:t xml:space="preserve">在多家承运商中，调度权仍分散在地区规划人员、司机经理、客户服务代表和货运经纪团队之间。软件在整个网络范围内进行优化，但员工的考核标准却是本地服务水平、空驶里程或其所负责车队的绩效。一项对公司整体最优的推荐建议，对被要求执行它的人来说，仍可能代价高昂。</w:t>
      </w:r>
    </w:p>
    <w:p>
      <w:pPr>
        <w:pStyle w:val="BodyText"/>
      </w:pPr>
      <w:r>
        <w:rPr>
          <w:rFonts w:hint="eastAsia"/>
          <w:b/>
          <w:bCs/>
        </w:rPr>
        <w:t xml:space="preserve">能力与身份认同问题。</w:t>
      </w:r>
      <w:r>
        <w:t xml:space="preserve"> </w:t>
      </w:r>
      <w:r>
        <w:rPr>
          <w:rFonts w:hint="eastAsia"/>
        </w:rPr>
        <w:t xml:space="preserve">经验丰富的调度员是靠判断力、人脉关系和快速解决问题的能力建立起职业生涯的。有些人将自动化解读为对其专业能力或工作保障的挑战。另一些人则乐于摆脱重复性搜索工作，但担心要为自己并未做出的推荐建议承担责任。</w:t>
      </w:r>
    </w:p>
    <w:p>
      <w:pPr>
        <w:pStyle w:val="BodyText"/>
      </w:pPr>
      <w:r>
        <w:rPr>
          <w:rFonts w:hint="eastAsia"/>
          <w:b/>
          <w:bCs/>
        </w:rPr>
        <w:t xml:space="preserve">算法学习问题。</w:t>
      </w:r>
      <w:r>
        <w:t xml:space="preserve"> </w:t>
      </w:r>
      <w:r>
        <w:rPr>
          <w:rFonts w:hint="eastAsia"/>
        </w:rPr>
        <w:t xml:space="preserve">产品团队承认，一些人工覆盖操作中包含了模型所不具备的信息。将每一次例外都视为不合规，可能会抑制有价值的学习。然而，若在没有结构化反馈的情况下允许广泛的自由裁量权，就很难区分正当的例外情况与习惯性拒绝。</w:t>
      </w:r>
    </w:p>
    <w:bookmarkEnd w:id="11"/>
    <w:bookmarkStart w:id="12" w:name="客户对比"/>
    <w:p>
      <w:pPr>
        <w:pStyle w:val="Heading1"/>
      </w:pPr>
      <w:r>
        <w:rPr>
          <w:rFonts w:hint="eastAsia"/>
        </w:rPr>
        <w:t xml:space="preserve">客户对比</w:t>
      </w:r>
    </w:p>
    <w:p>
      <w:pPr>
        <w:pStyle w:val="FirstParagraph"/>
      </w:pPr>
      <w:r>
        <w:t xml:space="preserve">Northstar </w:t>
      </w:r>
      <w:r>
        <w:rPr>
          <w:rFonts w:hint="eastAsia"/>
        </w:rPr>
        <w:t xml:space="preserve">Freight很快就达到了较高的采纳率。其总裁宣布该平台将成为默认决策流程，向员工保证角色将发生转变而非消失，并将规划人员调至一个共享的运营工作台。第一个月，Dispatch</w:t>
      </w:r>
      <w:r>
        <w:t xml:space="preserve"> </w:t>
      </w:r>
      <w:r>
        <w:rPr>
          <w:rFonts w:hint="eastAsia"/>
        </w:rPr>
        <w:t xml:space="preserve">Dynamics的人员参加了每日评审会议。每一次人工覆盖都需要填写六个原因代码中的一个，管理层还调整了计分卡，使规划人员不会因支持更好下游计划的网络级空驶调度而受到处罚。</w:t>
      </w:r>
    </w:p>
    <w:p>
      <w:pPr>
        <w:pStyle w:val="BodyText"/>
      </w:pPr>
      <w:r>
        <w:t xml:space="preserve">Pioneer </w:t>
      </w:r>
      <w:r>
        <w:rPr>
          <w:rFonts w:hint="eastAsia"/>
        </w:rPr>
        <w:t xml:space="preserve">Logistics走的是另一条路。该软件被添加到现有的运输管理系统中，但各地区调度小组仍保留了自己的方法和绩效目标。培训只侧重于界面导航。主管告诉用户，只要推荐建议”看起来不对”，就可以运用自己的判断。调度员继续依赖私人电子表格和司机发来的短信。Pioneer公司的首席运营官辩称，这些做法保障了客户服务；而Dispatch</w:t>
      </w:r>
      <w:r>
        <w:t xml:space="preserve"> </w:t>
      </w:r>
      <w:r>
        <w:rPr>
          <w:rFonts w:hint="eastAsia"/>
        </w:rPr>
        <w:t xml:space="preserve">Dynamics的客户团队则认为，这些做法使该平台从未获得过公平的检验机会。</w:t>
      </w:r>
    </w:p>
    <w:p>
      <w:pPr>
        <w:pStyle w:val="BodyText"/>
      </w:pPr>
      <w:r>
        <w:rPr>
          <w:rFonts w:hint="eastAsia"/>
        </w:rPr>
        <w:t xml:space="preserve">这种对比具有启发性，但并非结论性的。在实施之前，Northstar就拥有更密集的网络、更干净的数据和更集中化的企业文化。而Pioneer服务的客户更不规律，拥有更多个性化排班的司机。在Northstar奏效的变革管理干预措施，在Pioneer可能会失败——也可能只是更早地暴露出产品的局限性。</w:t>
      </w:r>
    </w:p>
    <w:bookmarkEnd w:id="12"/>
    <w:bookmarkStart w:id="13" w:name="一项拟议的学习议程"/>
    <w:p>
      <w:pPr>
        <w:pStyle w:val="Heading1"/>
      </w:pPr>
      <w:r>
        <w:rPr>
          <w:rFonts w:hint="eastAsia"/>
        </w:rPr>
        <w:t xml:space="preserve">一项拟议的学习议程</w:t>
      </w:r>
    </w:p>
    <w:p>
      <w:pPr>
        <w:pStyle w:val="FirstParagraph"/>
      </w:pPr>
      <w:r>
        <w:rPr>
          <w:rFonts w:hint="eastAsia"/>
        </w:rPr>
        <w:t xml:space="preserve">Chen要求四个内部团队就Dispatch</w:t>
      </w:r>
      <w:r>
        <w:t xml:space="preserve"> </w:t>
      </w:r>
      <w:r>
        <w:rPr>
          <w:rFonts w:hint="eastAsia"/>
        </w:rPr>
        <w:t xml:space="preserve">Dynamics公司应如何使用新批准的120万美元采纳预算提出建议。这些提案在争夺同样的实施人员和工程能力。</w:t>
      </w:r>
    </w:p>
    <w:p>
      <w:pPr>
        <w:pStyle w:val="BodyText"/>
      </w:pPr>
      <w:r>
        <w:rPr>
          <w:rFonts w:hint="eastAsia"/>
        </w:rPr>
        <w:t xml:space="preserve">图</w:t>
      </w:r>
      <w:r>
        <w:t xml:space="preserve"> 3. </w:t>
      </w:r>
      <w:r>
        <w:rPr>
          <w:rFonts w:hint="eastAsia"/>
        </w:rPr>
        <w:t xml:space="preserve">未来十二个月的候选举措</w:t>
      </w:r>
    </w:p>
    <w:tbl>
      <w:tblPr>
        <w:tblStyle w:val="Table"/>
        <w:tblW w:type="pct" w:w="4948"/>
        <w:tblLayout w:type="fixed"/>
        <w:tblLook w:firstRow="1" w:lastRow="0" w:firstColumn="0" w:lastColumn="0" w:noHBand="0" w:noVBand="0" w:val="0020"/>
      </w:tblPr>
      <w:tblGrid>
        <w:gridCol w:w="1741"/>
        <w:gridCol w:w="746"/>
        <w:gridCol w:w="2736"/>
        <w:gridCol w:w="2612"/>
      </w:tblGrid>
      <w:tr>
        <w:trPr>
          <w:tblHeader w:val="on"/>
        </w:trPr>
        <w:tc>
          <w:tcPr/>
          <w:p>
            <w:pPr>
              <w:pStyle w:val="Compact"/>
              <w:jc w:val="left"/>
            </w:pPr>
            <w:r>
              <w:rPr>
                <w:rFonts w:hint="eastAsia"/>
              </w:rPr>
              <w:t xml:space="preserve">举措</w:t>
            </w:r>
          </w:p>
        </w:tc>
        <w:tc>
          <w:tcPr/>
          <w:p>
            <w:pPr>
              <w:pStyle w:val="Compact"/>
              <w:jc w:val="center"/>
            </w:pPr>
            <w:r>
              <w:rPr>
                <w:rFonts w:hint="eastAsia"/>
              </w:rPr>
              <w:t xml:space="preserve">成本</w:t>
            </w:r>
          </w:p>
        </w:tc>
        <w:tc>
          <w:tcPr/>
          <w:p>
            <w:pPr>
              <w:pStyle w:val="Compact"/>
              <w:jc w:val="center"/>
            </w:pPr>
            <w:r>
              <w:rPr>
                <w:rFonts w:hint="eastAsia"/>
              </w:rPr>
              <w:t xml:space="preserve">核心问题</w:t>
            </w:r>
          </w:p>
        </w:tc>
        <w:tc>
          <w:tcPr/>
          <w:p>
            <w:pPr>
              <w:pStyle w:val="Compact"/>
              <w:jc w:val="center"/>
            </w:pPr>
            <w:r>
              <w:rPr>
                <w:rFonts w:hint="eastAsia"/>
              </w:rPr>
              <w:t xml:space="preserve">主要局限性</w:t>
            </w:r>
          </w:p>
        </w:tc>
      </w:tr>
      <w:tr>
        <w:tc>
          <w:tcPr/>
          <w:p>
            <w:pPr>
              <w:pStyle w:val="Compact"/>
              <w:jc w:val="left"/>
            </w:pPr>
            <w:r>
              <w:rPr>
                <w:rFonts w:hint="eastAsia"/>
              </w:rPr>
              <w:t xml:space="preserve">在3家客户处开展嵌入式实地研究</w:t>
            </w:r>
          </w:p>
        </w:tc>
        <w:tc>
          <w:tcPr/>
          <w:p>
            <w:pPr>
              <w:pStyle w:val="Compact"/>
              <w:jc w:val="center"/>
            </w:pPr>
            <w:r>
              <w:t xml:space="preserve">$360,000</w:t>
            </w:r>
          </w:p>
        </w:tc>
        <w:tc>
          <w:tcPr/>
          <w:p>
            <w:pPr>
              <w:pStyle w:val="Compact"/>
              <w:jc w:val="center"/>
            </w:pPr>
            <w:r>
              <w:rPr>
                <w:rFonts w:hint="eastAsia"/>
              </w:rPr>
              <w:t xml:space="preserve">在接受或覆盖推荐建议的那一刻发生了什么？</w:t>
            </w:r>
          </w:p>
        </w:tc>
        <w:tc>
          <w:tcPr/>
          <w:p>
            <w:pPr>
              <w:pStyle w:val="Compact"/>
              <w:jc w:val="center"/>
            </w:pPr>
            <w:r>
              <w:rPr>
                <w:rFonts w:hint="eastAsia"/>
              </w:rPr>
              <w:t xml:space="preserve">样本量小；行为可能因被观察而改变</w:t>
            </w:r>
          </w:p>
        </w:tc>
      </w:tr>
      <w:tr>
        <w:tc>
          <w:tcPr/>
          <w:p>
            <w:pPr>
              <w:pStyle w:val="Compact"/>
              <w:jc w:val="left"/>
            </w:pPr>
            <w:r>
              <w:rPr>
                <w:rFonts w:hint="eastAsia"/>
              </w:rPr>
              <w:t xml:space="preserve">强制性结构化覆盖原因记录</w:t>
            </w:r>
          </w:p>
        </w:tc>
        <w:tc>
          <w:tcPr/>
          <w:p>
            <w:pPr>
              <w:pStyle w:val="Compact"/>
              <w:jc w:val="center"/>
            </w:pPr>
            <w:r>
              <w:t xml:space="preserve">$220,000</w:t>
            </w:r>
          </w:p>
        </w:tc>
        <w:tc>
          <w:tcPr/>
          <w:p>
            <w:pPr>
              <w:pStyle w:val="Compact"/>
              <w:jc w:val="center"/>
            </w:pPr>
            <w:r>
              <w:rPr>
                <w:rFonts w:hint="eastAsia"/>
              </w:rPr>
              <w:t xml:space="preserve">哪些例外情况是正当的、反复出现的，或可预防的？</w:t>
            </w:r>
          </w:p>
        </w:tc>
        <w:tc>
          <w:tcPr/>
          <w:p>
            <w:pPr>
              <w:pStyle w:val="Compact"/>
              <w:jc w:val="center"/>
            </w:pPr>
            <w:r>
              <w:rPr>
                <w:rFonts w:hint="eastAsia"/>
              </w:rPr>
              <w:t xml:space="preserve">增加用户负担；原因代码可能被钻空子</w:t>
            </w:r>
          </w:p>
        </w:tc>
      </w:tr>
      <w:tr>
        <w:tc>
          <w:tcPr/>
          <w:p>
            <w:pPr>
              <w:pStyle w:val="Compact"/>
              <w:jc w:val="left"/>
            </w:pPr>
            <w:r>
              <w:rPr>
                <w:rFonts w:hint="eastAsia"/>
              </w:rPr>
              <w:t xml:space="preserve">解释与置信度界面</w:t>
            </w:r>
          </w:p>
        </w:tc>
        <w:tc>
          <w:tcPr/>
          <w:p>
            <w:pPr>
              <w:pStyle w:val="Compact"/>
              <w:jc w:val="center"/>
            </w:pPr>
            <w:r>
              <w:t xml:space="preserve">$410,000</w:t>
            </w:r>
          </w:p>
        </w:tc>
        <w:tc>
          <w:tcPr/>
          <w:p>
            <w:pPr>
              <w:pStyle w:val="Compact"/>
              <w:jc w:val="center"/>
            </w:pPr>
            <w:r>
              <w:rPr>
                <w:rFonts w:hint="eastAsia"/>
              </w:rPr>
              <w:t xml:space="preserve">透明度是否会提高恰当的依赖程度？</w:t>
            </w:r>
          </w:p>
        </w:tc>
        <w:tc>
          <w:tcPr/>
          <w:p>
            <w:pPr>
              <w:pStyle w:val="Compact"/>
              <w:jc w:val="center"/>
            </w:pPr>
            <w:r>
              <w:rPr>
                <w:rFonts w:hint="eastAsia"/>
              </w:rPr>
              <w:t xml:space="preserve">可能造成虚假的信心或信息过载</w:t>
            </w:r>
          </w:p>
        </w:tc>
      </w:tr>
      <w:tr>
        <w:tc>
          <w:tcPr/>
          <w:p>
            <w:pPr>
              <w:pStyle w:val="Compact"/>
              <w:jc w:val="left"/>
            </w:pPr>
            <w:r>
              <w:rPr>
                <w:rFonts w:hint="eastAsia"/>
              </w:rPr>
              <w:t xml:space="preserve">数据质量与工作流程诊断</w:t>
            </w:r>
          </w:p>
        </w:tc>
        <w:tc>
          <w:tcPr/>
          <w:p>
            <w:pPr>
              <w:pStyle w:val="Compact"/>
              <w:jc w:val="center"/>
            </w:pPr>
            <w:r>
              <w:t xml:space="preserve">$330,000</w:t>
            </w:r>
          </w:p>
        </w:tc>
        <w:tc>
          <w:tcPr/>
          <w:p>
            <w:pPr>
              <w:pStyle w:val="Compact"/>
              <w:jc w:val="center"/>
            </w:pPr>
            <w:r>
              <w:rPr>
                <w:rFonts w:hint="eastAsia"/>
              </w:rPr>
              <w:t xml:space="preserve">推荐建议被拒绝，是否因为输入数据或时机存在问题？</w:t>
            </w:r>
          </w:p>
        </w:tc>
        <w:tc>
          <w:tcPr/>
          <w:p>
            <w:pPr>
              <w:pStyle w:val="Compact"/>
              <w:jc w:val="center"/>
            </w:pPr>
            <w:r>
              <w:rPr>
                <w:rFonts w:hint="eastAsia"/>
              </w:rPr>
              <w:t xml:space="preserve">可能被视为在指责客户</w:t>
            </w:r>
          </w:p>
        </w:tc>
      </w:tr>
      <w:tr>
        <w:tc>
          <w:tcPr/>
          <w:p>
            <w:pPr>
              <w:pStyle w:val="Compact"/>
              <w:jc w:val="left"/>
            </w:pPr>
            <w:r>
              <w:rPr>
                <w:rFonts w:hint="eastAsia"/>
              </w:rPr>
              <w:t xml:space="preserve">主管计分卡重新设计试点</w:t>
            </w:r>
          </w:p>
        </w:tc>
        <w:tc>
          <w:tcPr/>
          <w:p>
            <w:pPr>
              <w:pStyle w:val="Compact"/>
              <w:jc w:val="center"/>
            </w:pPr>
            <w:r>
              <w:t xml:space="preserve">$180,000</w:t>
            </w:r>
          </w:p>
        </w:tc>
        <w:tc>
          <w:tcPr/>
          <w:p>
            <w:pPr>
              <w:pStyle w:val="Compact"/>
              <w:jc w:val="center"/>
            </w:pPr>
            <w:r>
              <w:rPr>
                <w:rFonts w:hint="eastAsia"/>
              </w:rPr>
              <w:t xml:space="preserve">激励机制和局部关键绩效指标是否驱动了拒绝行为？</w:t>
            </w:r>
          </w:p>
        </w:tc>
        <w:tc>
          <w:tcPr/>
          <w:p>
            <w:pPr>
              <w:pStyle w:val="Compact"/>
              <w:jc w:val="center"/>
            </w:pPr>
            <w:r>
              <w:rPr>
                <w:rFonts w:hint="eastAsia"/>
              </w:rPr>
              <w:t xml:space="preserve">需要高管配合以及涉及劳工敏感性的变革</w:t>
            </w:r>
          </w:p>
        </w:tc>
      </w:tr>
      <w:tr>
        <w:tc>
          <w:tcPr/>
          <w:p>
            <w:pPr>
              <w:pStyle w:val="Compact"/>
              <w:jc w:val="left"/>
            </w:pPr>
            <w:r>
              <w:rPr>
                <w:rFonts w:hint="eastAsia"/>
              </w:rPr>
              <w:t xml:space="preserve">采纳支持措施的随机化推广</w:t>
            </w:r>
          </w:p>
        </w:tc>
        <w:tc>
          <w:tcPr/>
          <w:p>
            <w:pPr>
              <w:pStyle w:val="Compact"/>
              <w:jc w:val="center"/>
            </w:pPr>
            <w:r>
              <w:t xml:space="preserve">$290,000</w:t>
            </w:r>
          </w:p>
        </w:tc>
        <w:tc>
          <w:tcPr/>
          <w:p>
            <w:pPr>
              <w:pStyle w:val="Compact"/>
              <w:jc w:val="center"/>
            </w:pPr>
            <w:r>
              <w:rPr>
                <w:rFonts w:hint="eastAsia"/>
              </w:rPr>
              <w:t xml:space="preserve">哪些实施做法能够因果性地提高使用率？</w:t>
            </w:r>
          </w:p>
        </w:tc>
        <w:tc>
          <w:tcPr/>
          <w:p>
            <w:pPr>
              <w:pStyle w:val="Compact"/>
              <w:jc w:val="center"/>
            </w:pPr>
            <w:r>
              <w:rPr>
                <w:rFonts w:hint="eastAsia"/>
              </w:rPr>
              <w:t xml:space="preserve">操作上困难；客户可能抵制对照组</w:t>
            </w:r>
          </w:p>
        </w:tc>
      </w:tr>
    </w:tbl>
    <w:p>
      <w:pPr>
        <w:pStyle w:val="BodyText"/>
      </w:pPr>
      <w:r>
        <w:rPr>
          <w:rFonts w:hint="eastAsia"/>
        </w:rPr>
        <w:t xml:space="preserve">首席产品官倾向于支持解释与置信度指标方案。实施负责人则认为，公司应首先强制推行结构化的人工覆盖记录和每日运营评审。首席数据官认为，除非能持续测量客户数据质量，否则以上两种方法都不会奏效。销售负责人担心强制性流程会拉长实施周期，使产品显得难以使用。一位董事会成员提出了一个更令人不安的问题：采纳率真的是正确的目标吗，还是Dispatch</w:t>
      </w:r>
      <w:r>
        <w:t xml:space="preserve"> </w:t>
      </w:r>
      <w:r>
        <w:rPr>
          <w:rFonts w:hint="eastAsia"/>
        </w:rPr>
        <w:t xml:space="preserve">Dynamics应该衡量人机决策的质量，而非被采纳推荐建议的百分比？</w:t>
      </w:r>
    </w:p>
    <w:p>
      <w:pPr>
        <w:pStyle w:val="BodyText"/>
      </w:pPr>
      <w:r>
        <w:rPr>
          <w:rFonts w:hint="eastAsia"/>
        </w:rPr>
        <w:t xml:space="preserve">Chen还必须决定该以多坦诚的态度与客户讨论这个问题。公开发布组合层面的采纳率基准可能会制造紧迫感，但各客户在网络设计和运营复杂性方面各不相同。将费用或绩效保证与采纳率挂钩，可能有助于激励对齐，但也可能助长表面上的合规。围绕”人机协同引导的自动化”重新定义产品，或许能提升可信度，但也可能削弱公司在可扩展决策自动化方面的承诺。</w:t>
      </w:r>
    </w:p>
    <w:bookmarkEnd w:id="13"/>
    <w:bookmarkStart w:id="14" w:name="决策"/>
    <w:p>
      <w:pPr>
        <w:pStyle w:val="Heading1"/>
      </w:pPr>
      <w:r>
        <w:rPr>
          <w:rFonts w:hint="eastAsia"/>
        </w:rPr>
        <w:t xml:space="preserve">决策</w:t>
      </w:r>
    </w:p>
    <w:p>
      <w:pPr>
        <w:pStyle w:val="FirstParagraph"/>
      </w:pPr>
      <w:r>
        <w:rPr>
          <w:rFonts w:hint="eastAsia"/>
        </w:rPr>
        <w:t xml:space="preserve">在季度会议上，Chen将被要求提出一项即时的客户政策以及一项长期研究方案。她需要决定Dispatch</w:t>
      </w:r>
      <w:r>
        <w:t xml:space="preserve"> </w:t>
      </w:r>
      <w:r>
        <w:rPr>
          <w:rFonts w:hint="eastAsia"/>
        </w:rPr>
        <w:t xml:space="preserve">Dynamics公司应该努力学习什么，什么样的证据能够区分这些相互竞争的解释，以及在收集这些证据的过程中公司应该如何行动。</w:t>
      </w:r>
    </w:p>
    <w:p>
      <w:pPr>
        <w:pStyle w:val="BodyText"/>
      </w:pPr>
      <w:r>
        <w:rPr>
          <w:rFonts w:hint="eastAsia"/>
        </w:rPr>
        <w:t xml:space="preserve">利害关系远不止于当前的续约。如果公司将低采纳率视为一个培训问题，而实际原因却是数据不佳或约束条件缺失，这可能损害信任。如果公司将每一次人工覆盖都视为有价值的人类洞见，那么它可能会保留这款软件本应取代的那些习惯做法。如果公司只以采纳率为优化目标，那么它可能会鼓励用户机械地遵循推荐建议，而不是在情况真正发生变化时运用判断力。</w:t>
      </w:r>
    </w:p>
    <w:p>
      <w:pPr>
        <w:pStyle w:val="BodyText"/>
      </w:pPr>
      <w:r>
        <w:rPr>
          <w:rFonts w:hint="eastAsia"/>
        </w:rPr>
        <w:t xml:space="preserve">Chen关闭了仪表盘，在她的笔记顶端写下了一个问题：一位客户怎样使用Dispatch</w:t>
      </w:r>
      <w:r>
        <w:t xml:space="preserve"> </w:t>
      </w:r>
      <w:r>
        <w:rPr>
          <w:rFonts w:hint="eastAsia"/>
        </w:rPr>
        <w:t xml:space="preserve">Dynamics才算是用得好？</w:t>
      </w:r>
    </w:p>
    <w:bookmarkEnd w:id="14"/>
    <w:bookmarkStart w:id="15" w:name="讨论题"/>
    <w:p>
      <w:pPr>
        <w:pStyle w:val="Heading1"/>
      </w:pPr>
      <w:r>
        <w:rPr>
          <w:rFonts w:hint="eastAsia"/>
        </w:rPr>
        <w:t xml:space="preserve">讨论题</w:t>
      </w:r>
    </w:p>
    <w:p>
      <w:pPr>
        <w:numPr>
          <w:ilvl w:val="0"/>
          <w:numId w:val="1001"/>
        </w:numPr>
      </w:pPr>
      <w:r>
        <w:t xml:space="preserve">Dispatch </w:t>
      </w:r>
      <w:r>
        <w:rPr>
          <w:rFonts w:hint="eastAsia"/>
        </w:rPr>
        <w:t xml:space="preserve">Dynamics应该如何定义成功的使用：是推荐采纳率、业务绩效、例外情况的质量，还是这些因素的某种组合？</w:t>
      </w:r>
    </w:p>
    <w:p>
      <w:pPr>
        <w:numPr>
          <w:ilvl w:val="0"/>
          <w:numId w:val="1001"/>
        </w:numPr>
      </w:pPr>
      <w:r>
        <w:rPr>
          <w:rFonts w:hint="eastAsia"/>
        </w:rPr>
        <w:t xml:space="preserve">有哪些假设可以解释低采纳率，什么样的证据能够在这些假设之间做出区分？</w:t>
      </w:r>
    </w:p>
    <w:p>
      <w:pPr>
        <w:numPr>
          <w:ilvl w:val="0"/>
          <w:numId w:val="1001"/>
        </w:numPr>
      </w:pPr>
      <w:r>
        <w:rPr>
          <w:rFonts w:hint="eastAsia"/>
        </w:rPr>
        <w:t xml:space="preserve">哪些人工覆盖类别代表产品缺陷、数据缺陷、组织冲突，或有价值的人类信息？</w:t>
      </w:r>
    </w:p>
    <w:p>
      <w:pPr>
        <w:numPr>
          <w:ilvl w:val="0"/>
          <w:numId w:val="1001"/>
        </w:numPr>
      </w:pPr>
      <w:r>
        <w:rPr>
          <w:rFonts w:hint="eastAsia"/>
        </w:rPr>
        <w:t xml:space="preserve">公司应如何重新设计实施方式、培训、激励机制、工作流程或产品本身？</w:t>
      </w:r>
    </w:p>
    <w:p>
      <w:pPr>
        <w:numPr>
          <w:ilvl w:val="0"/>
          <w:numId w:val="1001"/>
        </w:numPr>
      </w:pPr>
      <w:r>
        <w:rPr>
          <w:rFonts w:hint="eastAsia"/>
        </w:rPr>
        <w:t xml:space="preserve">图</w:t>
      </w:r>
      <w:r>
        <w:t xml:space="preserve"> </w:t>
      </w:r>
      <w:r>
        <w:rPr>
          <w:rFonts w:hint="eastAsia"/>
        </w:rPr>
        <w:t xml:space="preserve">3中的哪些举措应获得这120万美元的预算，先后顺序应该如何安排？</w:t>
      </w:r>
    </w:p>
    <w:p>
      <w:pPr>
        <w:numPr>
          <w:ilvl w:val="0"/>
          <w:numId w:val="1001"/>
        </w:numPr>
      </w:pPr>
      <w:r>
        <w:rPr>
          <w:rFonts w:hint="eastAsia"/>
        </w:rPr>
        <w:t xml:space="preserve">过于激进地提高采纳率会带来哪些风险？</w:t>
      </w:r>
    </w:p>
    <w:p>
      <w:pPr>
        <w:numPr>
          <w:ilvl w:val="0"/>
          <w:numId w:val="1001"/>
        </w:numPr>
      </w:pPr>
      <w:r>
        <w:t xml:space="preserve">Dispatch </w:t>
      </w:r>
      <w:r>
        <w:rPr>
          <w:rFonts w:hint="eastAsia"/>
        </w:rPr>
        <w:t xml:space="preserve">Dynamics应如何从客户的人工覆盖操作中学习，同时又不让用户无限期地绕过系统？</w:t>
      </w:r>
    </w:p>
    <w:bookmarkEnd w:id="15"/>
    <w:bookmarkStart w:id="21"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识别并描述决策者的职责。这应界定问题的范围。</w:t>
      </w:r>
    </w:p>
    <w:p>
      <w:pPr>
        <w:numPr>
          <w:ilvl w:val="0"/>
          <w:numId w:val="1002"/>
        </w:numPr>
      </w:pPr>
      <w:r>
        <w:rPr>
          <w:rFonts w:hint="eastAsia"/>
        </w:rPr>
        <w:t xml:space="preserve">使用</w:t>
      </w:r>
      <w:hyperlink r:id="rId16">
        <w:r>
          <w:rPr>
            <w:rStyle w:val="Hyperlink"/>
            <w:rFonts w:hint="eastAsia"/>
          </w:rPr>
          <w:t xml:space="preserve">指标金字塔工具</w:t>
        </w:r>
      </w:hyperlink>
      <w:r>
        <w:rPr>
          <w:rFonts w:hint="eastAsia"/>
        </w:rPr>
        <w:t xml:space="preserve">来识别并排定不同绩效指标的优先次序。点击承载指标的椭圆形，以确定它是一个需要最大化的指标（绿色）、需要最小化的指标（红色）、作为下限的目标（浅绿色），还是作为上限的目标（浅红色），或者是一个目标值（紫色）。</w:t>
      </w:r>
    </w:p>
    <w:p>
      <w:pPr>
        <w:numPr>
          <w:ilvl w:val="0"/>
          <w:numId w:val="1002"/>
        </w:numPr>
      </w:pPr>
      <w:r>
        <w:rPr>
          <w:rFonts w:hint="eastAsia"/>
        </w:rPr>
        <w:t xml:space="preserve">使用</w:t>
      </w:r>
      <w:hyperlink r:id="rId17">
        <w:r>
          <w:rPr>
            <w:rStyle w:val="Hyperlink"/>
            <w:rFonts w:hint="eastAsia"/>
          </w:rPr>
          <w:t xml:space="preserve">决策优先级排序工具</w:t>
        </w:r>
      </w:hyperlink>
      <w:r>
        <w:rPr>
          <w:rFonts w:hint="eastAsia"/>
        </w:rPr>
        <w:t xml:space="preserve">首先列出不同类型的决策（可参考</w:t>
      </w:r>
      <w:hyperlink r:id="rId18">
        <w:r>
          <w:rPr>
            <w:rStyle w:val="Hyperlink"/>
            <w:rFonts w:hint="eastAsia"/>
          </w:rPr>
          <w:t xml:space="preserve">决策类型</w:t>
        </w:r>
      </w:hyperlink>
      <w:r>
        <w:rPr>
          <w:rFonts w:hint="eastAsia"/>
        </w:rPr>
        <w:t xml:space="preserve">作为指导）。这些决策将填充到右侧矩阵的各行中，而各列则是按照上方金字塔中优先级从左到右排序的绩效指标。点击每个单元格，指出该决策对每个指标的影响程度是高（红色）、中（橙色）、低（黄色）还是无（白色）。</w:t>
      </w:r>
    </w:p>
    <w:p>
      <w:pPr>
        <w:numPr>
          <w:ilvl w:val="0"/>
          <w:numId w:val="1002"/>
        </w:numPr>
      </w:pPr>
      <w:r>
        <w:rPr>
          <w:rFonts w:hint="eastAsia"/>
        </w:rPr>
        <w:t xml:space="preserve">你可以抓取每行最左侧的把手（三条横杠）将其上下移动。对各行进行排序，使对最重要指标影响最大的决策排在顶部。左上角的单元格应集中最多的红色和橙色单元格。此时请识别出在你的研究中应给予最多关注的决策。如果对最重要指标没有中等或高度影响的决策，请重新审视你的决策列表。</w:t>
      </w:r>
    </w:p>
    <w:p>
      <w:pPr>
        <w:numPr>
          <w:ilvl w:val="0"/>
          <w:numId w:val="1002"/>
        </w:numPr>
      </w:pPr>
      <w:r>
        <w:rPr>
          <w:rFonts w:hint="eastAsia"/>
        </w:rPr>
        <w:t xml:space="preserve">使用</w:t>
      </w:r>
      <w:hyperlink r:id="rId19">
        <w:r>
          <w:rPr>
            <w:rStyle w:val="Hyperlink"/>
            <w:rFonts w:hint="eastAsia"/>
          </w:rPr>
          <w:t xml:space="preserve">不确定性优先级排序工具</w:t>
        </w:r>
      </w:hyperlink>
      <w:r>
        <w:rPr>
          <w:rFonts w:hint="eastAsia"/>
        </w:rPr>
        <w:t xml:space="preserve">重复上述过程，列出并排定不确定性的优先次序。可使用</w:t>
      </w:r>
      <w:hyperlink r:id="rId20">
        <w:r>
          <w:rPr>
            <w:rStyle w:val="Hyperlink"/>
            <w:rFonts w:hint="eastAsia"/>
          </w:rPr>
          <w:t xml:space="preserve">不确定性类别</w:t>
        </w:r>
      </w:hyperlink>
      <w:r>
        <w:rPr>
          <w:rFonts w:hint="eastAsia"/>
        </w:rPr>
        <w:t xml:space="preserve">来帮助你识别这些不确定性。</w:t>
      </w:r>
    </w:p>
    <w:p>
      <w:pPr>
        <w:numPr>
          <w:ilvl w:val="0"/>
          <w:numId w:val="1002"/>
        </w:numPr>
      </w:pPr>
      <w:r>
        <w:rPr>
          <w:rFonts w:hint="eastAsia"/>
        </w:rPr>
        <w:t xml:space="preserve">区分那些可以通过平均绩效来评估的不确定性和那些属于风险事件形式的不确定性是很重要的：</w:t>
      </w:r>
    </w:p>
    <w:p>
      <w:pPr>
        <w:numPr>
          <w:ilvl w:val="1"/>
          <w:numId w:val="1003"/>
        </w:numPr>
      </w:pPr>
      <w:r>
        <w:rPr>
          <w:rFonts w:hint="eastAsia"/>
        </w:rPr>
        <w:t xml:space="preserve">哪些不确定性来源可以通过一段时间内的平均绩效来体现？</w:t>
      </w:r>
    </w:p>
    <w:p>
      <w:pPr>
        <w:numPr>
          <w:ilvl w:val="1"/>
          <w:numId w:val="1003"/>
        </w:numPr>
      </w:pPr>
      <w:r>
        <w:rPr>
          <w:rFonts w:hint="eastAsia"/>
        </w:rPr>
        <w:t xml:space="preserve">哪些不确定性来源代表了无法用平均值恰当体现的风险形式？</w:t>
      </w:r>
    </w:p>
    <w:p>
      <w:pPr>
        <w:numPr>
          <w:ilvl w:val="0"/>
          <w:numId w:val="1002"/>
        </w:numPr>
      </w:pPr>
      <w:r>
        <w:rPr>
          <w:rFonts w:hint="eastAsia"/>
        </w:rPr>
        <w:t xml:space="preserve">选出对最重要指标似乎具有最高影响的那个单一决策。</w:t>
      </w:r>
    </w:p>
    <w:p>
      <w:pPr>
        <w:numPr>
          <w:ilvl w:val="1"/>
          <w:numId w:val="1004"/>
        </w:numPr>
      </w:pPr>
      <w:r>
        <w:rPr>
          <w:rFonts w:hint="eastAsia"/>
        </w:rPr>
        <w:t xml:space="preserve">你认为你会采用什么方法来做出这项决策？</w:t>
      </w:r>
    </w:p>
    <w:p>
      <w:pPr>
        <w:numPr>
          <w:ilvl w:val="1"/>
          <w:numId w:val="1004"/>
        </w:numPr>
      </w:pPr>
      <w:r>
        <w:rPr>
          <w:rFonts w:hint="eastAsia"/>
        </w:rPr>
        <w:t xml:space="preserve">做出这项决策似乎需要哪些数据，包括计算该决策具有高或中等影响的任何绩效指标所需的数据。</w:t>
      </w:r>
    </w:p>
    <w:p>
      <w:pPr>
        <w:numPr>
          <w:ilvl w:val="0"/>
          <w:numId w:val="1002"/>
        </w:numPr>
      </w:pPr>
      <w:r>
        <w:rPr>
          <w:rFonts w:hint="eastAsia"/>
        </w:rPr>
        <w:t xml:space="preserve">针对你在第(7)题中确定的同一项决策，识别出为实施该决策你需要与之合作的人员、部门、团队或组织。</w:t>
      </w:r>
    </w:p>
    <w:bookmarkEnd w:id="21"/>
    <w:bookmarkStart w:id="22" w:name="案例说明"/>
    <w:p>
      <w:pPr>
        <w:pStyle w:val="Heading1"/>
      </w:pPr>
      <w:r>
        <w:rPr>
          <w:rFonts w:hint="eastAsia"/>
        </w:rPr>
        <w:t xml:space="preserve">案例说明</w:t>
      </w:r>
    </w:p>
    <w:p>
      <w:pPr>
        <w:pStyle w:val="FirstParagraph"/>
      </w:pPr>
      <w:r>
        <w:rPr>
          <w:rFonts w:hint="eastAsia"/>
        </w:rPr>
        <w:t xml:space="preserve">这份虚构的教学案例参考了所上传的整车决策自动化案例研究和变革管理材料中反复出现的主题：采纳率与绩效之间的关联、对推荐建议的信任、从手动规划向例外管理的转变、工作流程与领导层一致性的重要性、不断演变的员工角色、数据就绪性，以及对正当人工干预的持续需求。本案例中的所有组织、人物、事件和数字图表均为教学目的而虚构。</w:t>
      </w:r>
    </w:p>
    <w:bookmarkEnd w:id="22"/>
    <w:bookmarkStart w:id="25" w:name="chatgpt笔记"/>
    <w:p>
      <w:pPr>
        <w:pStyle w:val="Heading1"/>
      </w:pPr>
      <w:r>
        <w:rPr>
          <w:rFonts w:hint="eastAsia"/>
        </w:rPr>
        <w:t xml:space="preserve">ChatGPT笔记：</w:t>
      </w:r>
    </w:p>
    <w:bookmarkStart w:id="23" w:name="提示"/>
    <w:p>
      <w:pPr>
        <w:pStyle w:val="Heading2"/>
      </w:pPr>
      <w:r>
        <w:rPr>
          <w:rFonts w:hint="eastAsia"/>
        </w:rPr>
        <w:t xml:space="preserve">提示</w:t>
      </w:r>
    </w:p>
    <w:p>
      <w:pPr>
        <w:pStyle w:val="FirstParagraph"/>
      </w:pPr>
      <w:r>
        <w:rPr>
          <w:rFonts w:hint="eastAsia"/>
        </w:rPr>
        <w:t xml:space="preserve">写一份案例研究，背景设定为一家名为”Dynamic</w:t>
      </w:r>
      <w:r>
        <w:t xml:space="preserve"> </w:t>
      </w:r>
      <w:r>
        <w:rPr>
          <w:rFonts w:hint="eastAsia"/>
        </w:rPr>
        <w:t xml:space="preserve">Dispatching”的软件公司，该公司为整车运输行业开发软件。你可以使用文件夹C:</w:t>
      </w:r>
      <w:r>
        <w:t xml:space="preserve">Powell</w:t>
      </w:r>
      <w:r>
        <w:t xml:space="preserve">documents</w:t>
      </w:r>
      <w:r>
        <w:t xml:space="preserve">Dynamics</w:t>
      </w:r>
      <w:r>
        <w:t xml:space="preserve">case </w:t>
      </w:r>
      <w:r>
        <w:rPr>
          <w:rFonts w:hint="eastAsia"/>
        </w:rPr>
        <w:t xml:space="preserve">studies中的案例研究，但不要使用任何真实公司的名称。</w:t>
      </w:r>
      <w:r>
        <w:t xml:space="preserve">“Dispatch Dynamics”</w:t>
      </w:r>
      <w:r>
        <w:rPr>
          <w:rFonts w:hint="eastAsia"/>
        </w:rPr>
        <w:t xml:space="preserve">已经成功实施了多次其调度软件，但有太多客户没有使用系统关于每位司机该做什么的推荐建议。这个商业挑战在于要弄清楚这些客户为什么不使用该系统，并探讨”Dispatch</w:t>
      </w:r>
      <w:r>
        <w:t xml:space="preserve"> </w:t>
      </w:r>
      <w:r>
        <w:rPr>
          <w:rFonts w:hint="eastAsia"/>
        </w:rPr>
        <w:t xml:space="preserve">Dynamics”可以采取哪些步骤来更好地理解用户接受度。</w:t>
      </w:r>
    </w:p>
    <w:bookmarkEnd w:id="23"/>
    <w:bookmarkStart w:id="24" w:name="摘要"/>
    <w:p>
      <w:pPr>
        <w:pStyle w:val="Heading2"/>
      </w:pPr>
      <w:r>
        <w:rPr>
          <w:rFonts w:hint="eastAsia"/>
        </w:rPr>
        <w:t xml:space="preserve">摘要</w:t>
      </w:r>
    </w:p>
    <w:p>
      <w:pPr>
        <w:pStyle w:val="FirstParagraph"/>
      </w:pPr>
      <w:r>
        <w:rPr>
          <w:rFonts w:hint="eastAsia"/>
        </w:rPr>
        <w:t xml:space="preserve">这份新案例融入了上传材料中反复出现的主题，包括：</w:t>
      </w:r>
    </w:p>
    <w:p>
      <w:pPr>
        <w:numPr>
          <w:ilvl w:val="0"/>
          <w:numId w:val="1005"/>
        </w:numPr>
      </w:pPr>
      <w:r>
        <w:rPr>
          <w:rFonts w:hint="eastAsia"/>
        </w:rPr>
        <w:t xml:space="preserve">推荐采纳率与运营绩效之间的关系</w:t>
      </w:r>
    </w:p>
    <w:p>
      <w:pPr>
        <w:numPr>
          <w:ilvl w:val="0"/>
          <w:numId w:val="1005"/>
        </w:numPr>
      </w:pPr>
      <w:r>
        <w:rPr>
          <w:rFonts w:hint="eastAsia"/>
        </w:rPr>
        <w:t xml:space="preserve">从手动调度向例外管理的转变</w:t>
      </w:r>
    </w:p>
    <w:p>
      <w:pPr>
        <w:numPr>
          <w:ilvl w:val="0"/>
          <w:numId w:val="1005"/>
        </w:numPr>
      </w:pPr>
      <w:r>
        <w:rPr>
          <w:rFonts w:hint="eastAsia"/>
        </w:rPr>
        <w:t xml:space="preserve">对自动化推荐建议的信任</w:t>
      </w:r>
    </w:p>
    <w:p>
      <w:pPr>
        <w:numPr>
          <w:ilvl w:val="0"/>
          <w:numId w:val="1005"/>
        </w:numPr>
      </w:pPr>
      <w:r>
        <w:rPr>
          <w:rFonts w:hint="eastAsia"/>
        </w:rPr>
        <w:t xml:space="preserve">数据质量与缺失的运营约束条件</w:t>
      </w:r>
    </w:p>
    <w:p>
      <w:pPr>
        <w:numPr>
          <w:ilvl w:val="0"/>
          <w:numId w:val="1005"/>
        </w:numPr>
      </w:pPr>
      <w:r>
        <w:rPr>
          <w:rFonts w:hint="eastAsia"/>
        </w:rPr>
        <w:t xml:space="preserve">全网络推荐建议与局部绩效衡量标准之间的冲突</w:t>
      </w:r>
    </w:p>
    <w:p>
      <w:pPr>
        <w:numPr>
          <w:ilvl w:val="0"/>
          <w:numId w:val="1005"/>
        </w:numPr>
      </w:pPr>
      <w:r>
        <w:rPr>
          <w:rFonts w:hint="eastAsia"/>
        </w:rPr>
        <w:t xml:space="preserve">调度员的角色、职业身份认同以及工作保障方面的担忧</w:t>
      </w:r>
    </w:p>
    <w:p>
      <w:pPr>
        <w:numPr>
          <w:ilvl w:val="0"/>
          <w:numId w:val="1005"/>
        </w:numPr>
      </w:pPr>
      <w:r>
        <w:rPr>
          <w:rFonts w:hint="eastAsia"/>
        </w:rPr>
        <w:t xml:space="preserve">覆盖推荐建议的结构化原因</w:t>
      </w:r>
    </w:p>
    <w:p>
      <w:pPr>
        <w:numPr>
          <w:ilvl w:val="0"/>
          <w:numId w:val="1005"/>
        </w:numPr>
      </w:pPr>
      <w:r>
        <w:rPr>
          <w:rFonts w:hint="eastAsia"/>
        </w:rPr>
        <w:t xml:space="preserve">需要区分正当的人工干预与习惯性不使用</w:t>
      </w:r>
    </w:p>
    <w:p>
      <w:pPr>
        <w:numPr>
          <w:ilvl w:val="0"/>
          <w:numId w:val="1005"/>
        </w:numPr>
      </w:pPr>
      <w:r>
        <w:rPr>
          <w:rFonts w:hint="eastAsia"/>
        </w:rPr>
        <w:t xml:space="preserve">可供选择的研究、产品和实施举措</w:t>
      </w:r>
    </w:p>
    <w:p>
      <w:pPr>
        <w:pStyle w:val="FirstParagraph"/>
      </w:pPr>
      <w:r>
        <w:rPr>
          <w:rFonts w:hint="eastAsia"/>
        </w:rPr>
        <w:t xml:space="preserve">所有公司和个人名称、事件及数字图表均为虚构。该案例有意留下悬念，未明确说明主要问题究竟出在软件、客户数据、实施做法、激励机制、组织设计、用户信任，还是”成功使用”的定义本身。</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2026-09-11T17:08:00Z</dcterms:created>
  <dcterms:modified xsi:type="dcterms:W3CDTF">2026-09-11T17:08:00Z</dcterms:modified>
</cp:coreProperties>
</file>

<file path=docProps/custom.xml><?xml version="1.0" encoding="utf-8"?>
<Properties xmlns="http://schemas.openxmlformats.org/officeDocument/2006/custom-properties" xmlns:vt="http://schemas.openxmlformats.org/officeDocument/2006/docPropsVTypes"/>
</file>