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炉光家居</w:t>
      </w:r>
    </w:p>
    <w:p>
      <w:pPr>
        <w:pStyle w:val="BodyText"/>
      </w:pPr>
      <w:r>
        <w:rPr>
          <w:rFonts w:hint="eastAsia"/>
        </w:rPr>
        <w:t xml:space="preserve">需求平衡问题</w:t>
      </w:r>
    </w:p>
    <w:p>
      <w:pPr>
        <w:pStyle w:val="BodyText"/>
      </w:pPr>
      <w:r>
        <w:rPr>
          <w:rFonts w:hint="eastAsia"/>
        </w:rPr>
        <w:t xml:space="preserve">一个关于品类组合、定价、促销、数字营销与顾客响应的商业案例</w:t>
      </w:r>
    </w:p>
    <w:tbl>
      <w:tblPr>
        <w:tblStyle w:val="Table"/>
        <w:tblW w:type="auto" w:w="0"/>
        <w:tblLook w:firstRow="0" w:lastRow="0" w:firstColumn="0" w:lastColumn="0" w:noHBand="0" w:noVBand="0" w:val="0000"/>
      </w:tblPr>
      <w:tblGrid>
        <w:gridCol w:w="7920"/>
      </w:tblGrid>
      <w:tr>
        <w:tc>
          <w:tcPr/>
          <w:p>
            <w:pPr>
              <w:pStyle w:val="Compact"/>
              <w:jc w:val="left"/>
            </w:pPr>
            <w:r>
              <w:rPr>
                <w:rFonts w:hint="eastAsia"/>
              </w:rPr>
              <w:t xml:space="preserve">2026年9月,一家区域性家具零售商必须决定在假日季来临之前应以多大力度刺激需求——同时又不能造成热门款式缺货,也不能对顾客已不再青睐的产品进行深度降价。</w:t>
            </w:r>
          </w:p>
        </w:tc>
      </w:tr>
    </w:tbl>
    <w:p>
      <w:r>
        <w:pict>
          <v:rect style="width:0;height:1.5pt" o:hralign="center" o:hrstd="t" o:hr="t"/>
        </w:pict>
      </w:r>
    </w:p>
    <w:p>
      <w:pPr>
        <w:pStyle w:val="FirstParagraph"/>
      </w:pPr>
      <w:r>
        <w:rPr>
          <w:rFonts w:hint="eastAsia"/>
        </w:rPr>
        <w:t xml:space="preserve">本案例纯属虚构,仅供教学讨论之用。人名、事件、资金及内部数据均为杜撰,但所涉行业背景以公开数据为参考依据。</w:t>
      </w:r>
    </w:p>
    <w:bookmarkStart w:id="9" w:name="周一的会议"/>
    <w:p>
      <w:pPr>
        <w:pStyle w:val="Heading1"/>
      </w:pPr>
      <w:r>
        <w:rPr>
          <w:rFonts w:hint="eastAsia"/>
        </w:rPr>
        <w:t xml:space="preserve">周一的会议</w:t>
      </w:r>
    </w:p>
    <w:p>
      <w:pPr>
        <w:pStyle w:val="FirstParagraph"/>
      </w:pPr>
      <w:r>
        <w:rPr>
          <w:rFonts w:hint="eastAsia"/>
        </w:rPr>
        <w:t xml:space="preserve">周一早上8点10分,炉光家居首席商务官埃琳娜·马尔克斯已是第三次刷新公司的周末销售仪表盘。在一次付费社交媒体营销活动之后,网站流量上升了24%,但完成购买的订单只增加了5%。在门店中,新推出的Solace组合式沙发在两个大都市市场的销售速度超出预期,而在其他地区几乎无人问津。与此同时,公司在一款传统餐厅家具系列上积压了近四个月的库存,而该系列此前曾被预测为季节性畅销品。</w:t>
      </w:r>
    </w:p>
    <w:p>
      <w:pPr>
        <w:pStyle w:val="BodyText"/>
      </w:pPr>
      <w:r>
        <w:rPr>
          <w:rFonts w:hint="eastAsia"/>
        </w:rPr>
        <w:t xml:space="preserve">炉光家居在美国中西部和中大西洋地区的八个州拥有31家门店及一个电子商务网站。公司销售沙发、卧室套装、餐厅家具、家庭办公家具及配饰。大多数软体家具在国内使用进口的框架和面料组装完成;箱体家具主要来自亚洲和欧洲。标准补货周期为10至18周,特殊订单所需时间可能更长。</w:t>
      </w:r>
    </w:p>
    <w:p>
      <w:pPr>
        <w:pStyle w:val="BodyText"/>
      </w:pPr>
      <w:r>
        <w:rPr>
          <w:rFonts w:hint="eastAsia"/>
        </w:rPr>
        <w:t xml:space="preserve">执行委员会已批准一笔680万美元的营销与促销预算,用于年末最后四个月。这笔资金可用于电视广告、付费搜索、社交媒体、直邮、本地活动、网红合作、网站改版实验,或降价促销。每一种选择不仅可能改变销量,还可能改变所售顾客与产品的构成。马尔克斯有六天时间提出建议方案。</w:t>
      </w:r>
    </w:p>
    <w:bookmarkEnd w:id="9"/>
    <w:bookmarkStart w:id="11" w:name="一个不肯听话的市场"/>
    <w:p>
      <w:pPr>
        <w:pStyle w:val="Heading1"/>
      </w:pPr>
      <w:r>
        <w:rPr>
          <w:rFonts w:hint="eastAsia"/>
        </w:rPr>
        <w:t xml:space="preserve">一个不肯”听话”的市场</w:t>
      </w:r>
    </w:p>
    <w:p>
      <w:pPr>
        <w:pStyle w:val="FirstParagraph"/>
      </w:pPr>
      <w:r>
        <w:rPr>
          <w:rFonts w:hint="eastAsia"/>
        </w:rPr>
        <w:t xml:space="preserve">家具需求向来难以预测,因为其购买金额大、频率低,且常与人生大事相关联。购房与搬家会带来家具需求,但当利率、通胀或就业前景令顾客感到谨慎时,他们也会推迟购买。一旦某款产品出现在网络视频中,或竞争对手以更低价格推出类似设计,风格偏好可能迅速转变。</w:t>
      </w:r>
    </w:p>
    <w:p>
      <w:pPr>
        <w:pStyle w:val="BodyText"/>
      </w:pPr>
      <w:r>
        <w:rPr>
          <w:rFonts w:hint="eastAsia"/>
        </w:rPr>
        <w:t xml:space="preserve">全国层面的数据也未能给炉光家居带来多少安慰。美国人口普查局的数据显示,2025年12月家具及家居用品商店销售额较2024年12月下降了5.5%。2025年新建独栋住宅销售总量约为679,000套,略低于2024年。与此同时,电子商务在零售活动中所占份额持续走高,2026年第一季度美国电子商务销售额估计达3,267亿美元。这些数据表明市场庞大,却并不可预测。</w:t>
      </w:r>
    </w:p>
    <w:bookmarkStart w:id="10" w:name="表1.-炉光家居2026年1月至8月的经营表现"/>
    <w:p>
      <w:pPr>
        <w:pStyle w:val="Heading2"/>
      </w:pPr>
      <w:r>
        <w:rPr>
          <w:rFonts w:hint="eastAsia"/>
        </w:rPr>
        <w:t xml:space="preserve">表1.</w:t>
      </w:r>
      <w:r>
        <w:t xml:space="preserve"> </w:t>
      </w:r>
      <w:r>
        <w:rPr>
          <w:rFonts w:hint="eastAsia"/>
        </w:rPr>
        <w:t xml:space="preserve">炉光家居2026年1月至8月的经营表现</w:t>
      </w:r>
    </w:p>
    <w:tbl>
      <w:tblPr>
        <w:tblStyle w:val="Table"/>
        <w:tblW w:type="pct" w:w="4870"/>
        <w:tblLayout w:type="fixed"/>
        <w:tblLook w:firstRow="1" w:lastRow="0" w:firstColumn="0" w:lastColumn="0" w:noHBand="0" w:noVBand="0" w:val="0020"/>
      </w:tblPr>
      <w:tblGrid>
        <w:gridCol w:w="2674"/>
        <w:gridCol w:w="1851"/>
        <w:gridCol w:w="1851"/>
        <w:gridCol w:w="1337"/>
      </w:tblGrid>
      <w:tr>
        <w:trPr>
          <w:tblHeader w:val="on"/>
        </w:trPr>
        <w:tc>
          <w:tcPr/>
          <w:p>
            <w:pPr>
              <w:pStyle w:val="Compact"/>
              <w:jc w:val="left"/>
            </w:pPr>
            <w:r>
              <w:rPr>
                <w:rFonts w:hint="eastAsia"/>
              </w:rPr>
              <w:t xml:space="preserve">指标</w:t>
            </w:r>
          </w:p>
        </w:tc>
        <w:tc>
          <w:tcPr/>
          <w:p>
            <w:pPr>
              <w:pStyle w:val="Compact"/>
              <w:jc w:val="center"/>
            </w:pPr>
            <w:r>
              <w:rPr>
                <w:rFonts w:hint="eastAsia"/>
              </w:rPr>
              <w:t xml:space="preserve">2025年可比数据</w:t>
            </w:r>
          </w:p>
        </w:tc>
        <w:tc>
          <w:tcPr/>
          <w:p>
            <w:pPr>
              <w:pStyle w:val="Compact"/>
              <w:jc w:val="center"/>
            </w:pPr>
            <w:r>
              <w:rPr>
                <w:rFonts w:hint="eastAsia"/>
              </w:rPr>
              <w:t xml:space="preserve">2026年实际数据</w:t>
            </w:r>
          </w:p>
        </w:tc>
        <w:tc>
          <w:tcPr/>
          <w:p>
            <w:pPr>
              <w:pStyle w:val="Compact"/>
              <w:jc w:val="center"/>
            </w:pPr>
            <w:r>
              <w:rPr>
                <w:rFonts w:hint="eastAsia"/>
              </w:rPr>
              <w:t xml:space="preserve">变化</w:t>
            </w:r>
          </w:p>
        </w:tc>
      </w:tr>
      <w:tr>
        <w:tc>
          <w:tcPr/>
          <w:p>
            <w:pPr>
              <w:pStyle w:val="Compact"/>
              <w:jc w:val="left"/>
            </w:pPr>
            <w:r>
              <w:rPr>
                <w:rFonts w:hint="eastAsia"/>
              </w:rPr>
              <w:t xml:space="preserve">净销售额</w:t>
            </w:r>
          </w:p>
        </w:tc>
        <w:tc>
          <w:tcPr/>
          <w:p>
            <w:pPr>
              <w:pStyle w:val="Compact"/>
              <w:jc w:val="center"/>
            </w:pPr>
            <w:r>
              <w:rPr>
                <w:rFonts w:hint="eastAsia"/>
              </w:rPr>
              <w:t xml:space="preserve">2.864亿美元</w:t>
            </w:r>
          </w:p>
        </w:tc>
        <w:tc>
          <w:tcPr/>
          <w:p>
            <w:pPr>
              <w:pStyle w:val="Compact"/>
              <w:jc w:val="center"/>
            </w:pPr>
            <w:r>
              <w:rPr>
                <w:rFonts w:hint="eastAsia"/>
              </w:rPr>
              <w:t xml:space="preserve">2.791亿美元</w:t>
            </w:r>
          </w:p>
        </w:tc>
        <w:tc>
          <w:tcPr/>
          <w:p>
            <w:pPr>
              <w:pStyle w:val="Compact"/>
              <w:jc w:val="center"/>
            </w:pPr>
            <w:r>
              <w:t xml:space="preserve">–2.5%</w:t>
            </w:r>
          </w:p>
        </w:tc>
      </w:tr>
      <w:tr>
        <w:tc>
          <w:tcPr/>
          <w:p>
            <w:pPr>
              <w:pStyle w:val="Compact"/>
              <w:jc w:val="left"/>
            </w:pPr>
            <w:r>
              <w:rPr>
                <w:rFonts w:hint="eastAsia"/>
              </w:rPr>
              <w:t xml:space="preserve">毛利率</w:t>
            </w:r>
          </w:p>
        </w:tc>
        <w:tc>
          <w:tcPr/>
          <w:p>
            <w:pPr>
              <w:pStyle w:val="Compact"/>
              <w:jc w:val="center"/>
            </w:pPr>
            <w:r>
              <w:t xml:space="preserve">46.1%</w:t>
            </w:r>
          </w:p>
        </w:tc>
        <w:tc>
          <w:tcPr/>
          <w:p>
            <w:pPr>
              <w:pStyle w:val="Compact"/>
              <w:jc w:val="center"/>
            </w:pPr>
            <w:r>
              <w:t xml:space="preserve">43.8%</w:t>
            </w:r>
          </w:p>
        </w:tc>
        <w:tc>
          <w:tcPr/>
          <w:p>
            <w:pPr>
              <w:pStyle w:val="Compact"/>
              <w:jc w:val="center"/>
            </w:pPr>
            <w:r>
              <w:rPr>
                <w:rFonts w:hint="eastAsia"/>
              </w:rPr>
              <w:t xml:space="preserve">–2.3个百分点</w:t>
            </w:r>
          </w:p>
        </w:tc>
      </w:tr>
      <w:tr>
        <w:tc>
          <w:tcPr/>
          <w:p>
            <w:pPr>
              <w:pStyle w:val="Compact"/>
              <w:jc w:val="left"/>
            </w:pPr>
            <w:r>
              <w:rPr>
                <w:rFonts w:hint="eastAsia"/>
              </w:rPr>
              <w:t xml:space="preserve">平均订单价值</w:t>
            </w:r>
          </w:p>
        </w:tc>
        <w:tc>
          <w:tcPr/>
          <w:p>
            <w:pPr>
              <w:pStyle w:val="Compact"/>
              <w:jc w:val="center"/>
            </w:pPr>
            <w:r>
              <w:rPr>
                <w:rFonts w:hint="eastAsia"/>
              </w:rPr>
              <w:t xml:space="preserve">1,486美元</w:t>
            </w:r>
          </w:p>
        </w:tc>
        <w:tc>
          <w:tcPr/>
          <w:p>
            <w:pPr>
              <w:pStyle w:val="Compact"/>
              <w:jc w:val="center"/>
            </w:pPr>
            <w:r>
              <w:rPr>
                <w:rFonts w:hint="eastAsia"/>
              </w:rPr>
              <w:t xml:space="preserve">1,552美元</w:t>
            </w:r>
          </w:p>
        </w:tc>
        <w:tc>
          <w:tcPr/>
          <w:p>
            <w:pPr>
              <w:pStyle w:val="Compact"/>
              <w:jc w:val="center"/>
            </w:pPr>
            <w:r>
              <w:t xml:space="preserve">+4.4%</w:t>
            </w:r>
          </w:p>
        </w:tc>
      </w:tr>
      <w:tr>
        <w:tc>
          <w:tcPr/>
          <w:p>
            <w:pPr>
              <w:pStyle w:val="Compact"/>
              <w:jc w:val="left"/>
            </w:pPr>
            <w:r>
              <w:rPr>
                <w:rFonts w:hint="eastAsia"/>
              </w:rPr>
              <w:t xml:space="preserve">门店转化率</w:t>
            </w:r>
          </w:p>
        </w:tc>
        <w:tc>
          <w:tcPr/>
          <w:p>
            <w:pPr>
              <w:pStyle w:val="Compact"/>
              <w:jc w:val="center"/>
            </w:pPr>
            <w:r>
              <w:t xml:space="preserve">22.8%</w:t>
            </w:r>
          </w:p>
        </w:tc>
        <w:tc>
          <w:tcPr/>
          <w:p>
            <w:pPr>
              <w:pStyle w:val="Compact"/>
              <w:jc w:val="center"/>
            </w:pPr>
            <w:r>
              <w:t xml:space="preserve">20.6%</w:t>
            </w:r>
          </w:p>
        </w:tc>
        <w:tc>
          <w:tcPr/>
          <w:p>
            <w:pPr>
              <w:pStyle w:val="Compact"/>
              <w:jc w:val="center"/>
            </w:pPr>
            <w:r>
              <w:rPr>
                <w:rFonts w:hint="eastAsia"/>
              </w:rPr>
              <w:t xml:space="preserve">–2.2个百分点</w:t>
            </w:r>
          </w:p>
        </w:tc>
      </w:tr>
      <w:tr>
        <w:tc>
          <w:tcPr/>
          <w:p>
            <w:pPr>
              <w:pStyle w:val="Compact"/>
              <w:jc w:val="left"/>
            </w:pPr>
            <w:r>
              <w:rPr>
                <w:rFonts w:hint="eastAsia"/>
              </w:rPr>
              <w:t xml:space="preserve">网站转化率</w:t>
            </w:r>
          </w:p>
        </w:tc>
        <w:tc>
          <w:tcPr/>
          <w:p>
            <w:pPr>
              <w:pStyle w:val="Compact"/>
              <w:jc w:val="center"/>
            </w:pPr>
            <w:r>
              <w:t xml:space="preserve">1.82%</w:t>
            </w:r>
          </w:p>
        </w:tc>
        <w:tc>
          <w:tcPr/>
          <w:p>
            <w:pPr>
              <w:pStyle w:val="Compact"/>
              <w:jc w:val="center"/>
            </w:pPr>
            <w:r>
              <w:t xml:space="preserve">1.54%</w:t>
            </w:r>
          </w:p>
        </w:tc>
        <w:tc>
          <w:tcPr/>
          <w:p>
            <w:pPr>
              <w:pStyle w:val="Compact"/>
              <w:jc w:val="center"/>
            </w:pPr>
            <w:r>
              <w:rPr>
                <w:rFonts w:hint="eastAsia"/>
              </w:rPr>
              <w:t xml:space="preserve">–0.28个百分点</w:t>
            </w:r>
          </w:p>
        </w:tc>
      </w:tr>
      <w:tr>
        <w:tc>
          <w:tcPr/>
          <w:p>
            <w:pPr>
              <w:pStyle w:val="Compact"/>
              <w:jc w:val="left"/>
            </w:pPr>
            <w:r>
              <w:rPr>
                <w:rFonts w:hint="eastAsia"/>
              </w:rPr>
              <w:t xml:space="preserve">订单延迟交付率</w:t>
            </w:r>
          </w:p>
        </w:tc>
        <w:tc>
          <w:tcPr/>
          <w:p>
            <w:pPr>
              <w:pStyle w:val="Compact"/>
              <w:jc w:val="center"/>
            </w:pPr>
            <w:r>
              <w:t xml:space="preserve">8.7%</w:t>
            </w:r>
          </w:p>
        </w:tc>
        <w:tc>
          <w:tcPr/>
          <w:p>
            <w:pPr>
              <w:pStyle w:val="Compact"/>
              <w:jc w:val="center"/>
            </w:pPr>
            <w:r>
              <w:t xml:space="preserve">13.9%</w:t>
            </w:r>
          </w:p>
        </w:tc>
        <w:tc>
          <w:tcPr/>
          <w:p>
            <w:pPr>
              <w:pStyle w:val="Compact"/>
              <w:jc w:val="center"/>
            </w:pPr>
            <w:r>
              <w:rPr>
                <w:rFonts w:hint="eastAsia"/>
              </w:rPr>
              <w:t xml:space="preserve">+5.2个百分点</w:t>
            </w:r>
          </w:p>
        </w:tc>
      </w:tr>
      <w:tr>
        <w:tc>
          <w:tcPr/>
          <w:p>
            <w:pPr>
              <w:pStyle w:val="Compact"/>
              <w:jc w:val="left"/>
            </w:pPr>
            <w:r>
              <w:rPr>
                <w:rFonts w:hint="eastAsia"/>
              </w:rPr>
              <w:t xml:space="preserve">按成本计算的库存</w:t>
            </w:r>
          </w:p>
        </w:tc>
        <w:tc>
          <w:tcPr/>
          <w:p>
            <w:pPr>
              <w:pStyle w:val="Compact"/>
              <w:jc w:val="center"/>
            </w:pPr>
            <w:r>
              <w:rPr>
                <w:rFonts w:hint="eastAsia"/>
              </w:rPr>
              <w:t xml:space="preserve">8,260万美元</w:t>
            </w:r>
          </w:p>
        </w:tc>
        <w:tc>
          <w:tcPr/>
          <w:p>
            <w:pPr>
              <w:pStyle w:val="Compact"/>
              <w:jc w:val="center"/>
            </w:pPr>
            <w:r>
              <w:rPr>
                <w:rFonts w:hint="eastAsia"/>
              </w:rPr>
              <w:t xml:space="preserve">10,340万美元</w:t>
            </w:r>
          </w:p>
        </w:tc>
        <w:tc>
          <w:tcPr/>
          <w:p>
            <w:pPr>
              <w:pStyle w:val="Compact"/>
              <w:jc w:val="center"/>
            </w:pPr>
            <w:r>
              <w:t xml:space="preserve">+25.2%</w:t>
            </w:r>
          </w:p>
        </w:tc>
      </w:tr>
      <w:tr>
        <w:tc>
          <w:tcPr/>
          <w:p>
            <w:pPr>
              <w:pStyle w:val="Compact"/>
              <w:jc w:val="left"/>
            </w:pPr>
            <w:r>
              <w:rPr>
                <w:rFonts w:hint="eastAsia"/>
              </w:rPr>
              <w:t xml:space="preserve">广告支出</w:t>
            </w:r>
          </w:p>
        </w:tc>
        <w:tc>
          <w:tcPr/>
          <w:p>
            <w:pPr>
              <w:pStyle w:val="Compact"/>
              <w:jc w:val="center"/>
            </w:pPr>
            <w:r>
              <w:rPr>
                <w:rFonts w:hint="eastAsia"/>
              </w:rPr>
              <w:t xml:space="preserve">1,210万美元</w:t>
            </w:r>
          </w:p>
        </w:tc>
        <w:tc>
          <w:tcPr/>
          <w:p>
            <w:pPr>
              <w:pStyle w:val="Compact"/>
              <w:jc w:val="center"/>
            </w:pPr>
            <w:r>
              <w:rPr>
                <w:rFonts w:hint="eastAsia"/>
              </w:rPr>
              <w:t xml:space="preserve">1,480万美元</w:t>
            </w:r>
          </w:p>
        </w:tc>
        <w:tc>
          <w:tcPr/>
          <w:p>
            <w:pPr>
              <w:pStyle w:val="Compact"/>
              <w:jc w:val="center"/>
            </w:pPr>
            <w:r>
              <w:t xml:space="preserve">+22.3%</w:t>
            </w:r>
          </w:p>
        </w:tc>
      </w:tr>
    </w:tbl>
    <w:p>
      <w:pPr>
        <w:pStyle w:val="BodyText"/>
      </w:pPr>
      <w:r>
        <w:rPr>
          <w:rFonts w:hint="eastAsia"/>
        </w:rPr>
        <w:t xml:space="preserve">财务团队认为,炉光家居是在购买”流量”,而非有利可图的需求。数字广告支出增加了,但转化率却下降了。商品团队则反驳称,问题不在于流量,而在于货源可得性:点击热门配置的顾客常常发现交付预计需要10到14周。门店经理们提出了另一种解释——顾客希望亲眼看到、亲手触摸这些大件商品,但人员削减使得周末门店经验丰富的销售人员严重不足。</w:t>
      </w:r>
    </w:p>
    <w:bookmarkEnd w:id="10"/>
    <w:bookmarkEnd w:id="11"/>
    <w:bookmarkStart w:id="13" w:name="品类组合问题"/>
    <w:p>
      <w:pPr>
        <w:pStyle w:val="Heading1"/>
      </w:pPr>
      <w:r>
        <w:rPr>
          <w:rFonts w:hint="eastAsia"/>
        </w:rPr>
        <w:t xml:space="preserve">品类组合问题</w:t>
      </w:r>
    </w:p>
    <w:p>
      <w:pPr>
        <w:pStyle w:val="FirstParagraph"/>
      </w:pPr>
      <w:r>
        <w:rPr>
          <w:rFonts w:hint="eastAsia"/>
        </w:rPr>
        <w:t xml:space="preserve">炉光家居拥有约4,800个在售库存单位(SKU),但其中420款产品贡献了61%的销售额。管理层曾扩大品类组合,以提升搜索引擎可见度并为顾客提供更多选择。结果却是形成了一条由滞销品构成的长尾,陈列变得复杂,库存也变得分散。一款沙发可能提供六种面料、三种配置组合,但顾客所偏好的组合方式因地区而异,差异显著。</w:t>
      </w:r>
    </w:p>
    <w:bookmarkStart w:id="12" w:name="表2.-精选产品系列"/>
    <w:p>
      <w:pPr>
        <w:pStyle w:val="Heading2"/>
      </w:pPr>
      <w:r>
        <w:rPr>
          <w:rFonts w:hint="eastAsia"/>
        </w:rPr>
        <w:t xml:space="preserve">表2.</w:t>
      </w:r>
      <w:r>
        <w:t xml:space="preserve"> </w:t>
      </w:r>
      <w:r>
        <w:rPr>
          <w:rFonts w:hint="eastAsia"/>
        </w:rPr>
        <w:t xml:space="preserve">精选产品系列</w:t>
      </w:r>
    </w:p>
    <w:tbl>
      <w:tblPr>
        <w:tblStyle w:val="Table"/>
        <w:tblW w:type="pct" w:w="4924"/>
        <w:tblLayout w:type="fixed"/>
        <w:tblLook w:firstRow="1" w:lastRow="0" w:firstColumn="0" w:lastColumn="0" w:noHBand="0" w:noVBand="0" w:val="0020"/>
      </w:tblPr>
      <w:tblGrid>
        <w:gridCol w:w="1632"/>
        <w:gridCol w:w="906"/>
        <w:gridCol w:w="1088"/>
        <w:gridCol w:w="846"/>
        <w:gridCol w:w="3325"/>
      </w:tblGrid>
      <w:tr>
        <w:trPr>
          <w:tblHeader w:val="on"/>
        </w:trPr>
        <w:tc>
          <w:tcPr/>
          <w:p>
            <w:pPr>
              <w:pStyle w:val="Compact"/>
              <w:jc w:val="left"/>
            </w:pPr>
            <w:r>
              <w:rPr>
                <w:rFonts w:hint="eastAsia"/>
              </w:rPr>
              <w:t xml:space="preserve">产品系列</w:t>
            </w:r>
          </w:p>
        </w:tc>
        <w:tc>
          <w:tcPr/>
          <w:p>
            <w:pPr>
              <w:pStyle w:val="Compact"/>
              <w:jc w:val="left"/>
            </w:pPr>
            <w:r>
              <w:rPr>
                <w:rFonts w:hint="eastAsia"/>
              </w:rPr>
              <w:t xml:space="preserve">毛利率</w:t>
            </w:r>
          </w:p>
        </w:tc>
        <w:tc>
          <w:tcPr/>
          <w:p>
            <w:pPr>
              <w:pStyle w:val="Compact"/>
              <w:jc w:val="left"/>
            </w:pPr>
            <w:r>
              <w:rPr>
                <w:rFonts w:hint="eastAsia"/>
              </w:rPr>
              <w:t xml:space="preserve">周供应量</w:t>
            </w:r>
          </w:p>
        </w:tc>
        <w:tc>
          <w:tcPr/>
          <w:p>
            <w:pPr>
              <w:pStyle w:val="Compact"/>
              <w:jc w:val="center"/>
            </w:pPr>
            <w:r>
              <w:rPr>
                <w:rFonts w:hint="eastAsia"/>
              </w:rPr>
              <w:t xml:space="preserve">延迟订单率</w:t>
            </w:r>
          </w:p>
        </w:tc>
        <w:tc>
          <w:tcPr/>
          <w:p>
            <w:pPr>
              <w:pStyle w:val="Compact"/>
              <w:jc w:val="center"/>
            </w:pPr>
            <w:r>
              <w:rPr>
                <w:rFonts w:hint="eastAsia"/>
              </w:rPr>
              <w:t xml:space="preserve">近期需求信号</w:t>
            </w:r>
          </w:p>
        </w:tc>
      </w:tr>
      <w:tr>
        <w:tc>
          <w:tcPr/>
          <w:p>
            <w:pPr>
              <w:pStyle w:val="Compact"/>
              <w:jc w:val="left"/>
            </w:pPr>
            <w:r>
              <w:rPr>
                <w:rFonts w:hint="eastAsia"/>
              </w:rPr>
              <w:t xml:space="preserve">Solace组合式座椅</w:t>
            </w:r>
          </w:p>
        </w:tc>
        <w:tc>
          <w:tcPr/>
          <w:p>
            <w:pPr>
              <w:pStyle w:val="Compact"/>
              <w:jc w:val="left"/>
            </w:pPr>
            <w:r>
              <w:t xml:space="preserve">49%</w:t>
            </w:r>
          </w:p>
        </w:tc>
        <w:tc>
          <w:tcPr/>
          <w:p>
            <w:pPr>
              <w:pStyle w:val="Compact"/>
              <w:jc w:val="left"/>
            </w:pPr>
            <w:r>
              <w:t xml:space="preserve">5.2</w:t>
            </w:r>
          </w:p>
        </w:tc>
        <w:tc>
          <w:tcPr/>
          <w:p>
            <w:pPr>
              <w:pStyle w:val="Compact"/>
              <w:jc w:val="center"/>
            </w:pPr>
            <w:r>
              <w:t xml:space="preserve">28%</w:t>
            </w:r>
          </w:p>
        </w:tc>
        <w:tc>
          <w:tcPr/>
          <w:p>
            <w:pPr>
              <w:pStyle w:val="Compact"/>
              <w:jc w:val="center"/>
            </w:pPr>
            <w:r>
              <w:rPr>
                <w:rFonts w:hint="eastAsia"/>
              </w:rPr>
              <w:t xml:space="preserve">社交媒体关注度高;需求集中在特定区域</w:t>
            </w:r>
          </w:p>
        </w:tc>
      </w:tr>
      <w:tr>
        <w:tc>
          <w:tcPr/>
          <w:p>
            <w:pPr>
              <w:pStyle w:val="Compact"/>
              <w:jc w:val="left"/>
            </w:pPr>
            <w:r>
              <w:rPr>
                <w:rFonts w:hint="eastAsia"/>
              </w:rPr>
              <w:t xml:space="preserve">Harbor耐用型沙发</w:t>
            </w:r>
          </w:p>
        </w:tc>
        <w:tc>
          <w:tcPr/>
          <w:p>
            <w:pPr>
              <w:pStyle w:val="Compact"/>
              <w:jc w:val="left"/>
            </w:pPr>
            <w:r>
              <w:t xml:space="preserve">44%</w:t>
            </w:r>
          </w:p>
        </w:tc>
        <w:tc>
          <w:tcPr/>
          <w:p>
            <w:pPr>
              <w:pStyle w:val="Compact"/>
              <w:jc w:val="left"/>
            </w:pPr>
            <w:r>
              <w:t xml:space="preserve">9.1</w:t>
            </w:r>
          </w:p>
        </w:tc>
        <w:tc>
          <w:tcPr/>
          <w:p>
            <w:pPr>
              <w:pStyle w:val="Compact"/>
              <w:jc w:val="center"/>
            </w:pPr>
            <w:r>
              <w:t xml:space="preserve">14%</w:t>
            </w:r>
          </w:p>
        </w:tc>
        <w:tc>
          <w:tcPr/>
          <w:p>
            <w:pPr>
              <w:pStyle w:val="Compact"/>
              <w:jc w:val="center"/>
            </w:pPr>
            <w:r>
              <w:rPr>
                <w:rFonts w:hint="eastAsia"/>
              </w:rPr>
              <w:t xml:space="preserve">复购需求稳定;比价行为上升</w:t>
            </w:r>
          </w:p>
        </w:tc>
      </w:tr>
      <w:tr>
        <w:tc>
          <w:tcPr/>
          <w:p>
            <w:pPr>
              <w:pStyle w:val="Compact"/>
              <w:jc w:val="left"/>
            </w:pPr>
            <w:r>
              <w:rPr>
                <w:rFonts w:hint="eastAsia"/>
              </w:rPr>
              <w:t xml:space="preserve">Alden餐厅系列</w:t>
            </w:r>
          </w:p>
        </w:tc>
        <w:tc>
          <w:tcPr/>
          <w:p>
            <w:pPr>
              <w:pStyle w:val="Compact"/>
              <w:jc w:val="left"/>
            </w:pPr>
            <w:r>
              <w:t xml:space="preserve">51%</w:t>
            </w:r>
          </w:p>
        </w:tc>
        <w:tc>
          <w:tcPr/>
          <w:p>
            <w:pPr>
              <w:pStyle w:val="Compact"/>
              <w:jc w:val="left"/>
            </w:pPr>
            <w:r>
              <w:t xml:space="preserve">17.8</w:t>
            </w:r>
          </w:p>
        </w:tc>
        <w:tc>
          <w:tcPr/>
          <w:p>
            <w:pPr>
              <w:pStyle w:val="Compact"/>
              <w:jc w:val="center"/>
            </w:pPr>
            <w:r>
              <w:t xml:space="preserve">3%</w:t>
            </w:r>
          </w:p>
        </w:tc>
        <w:tc>
          <w:tcPr/>
          <w:p>
            <w:pPr>
              <w:pStyle w:val="Compact"/>
              <w:jc w:val="center"/>
            </w:pPr>
            <w:r>
              <w:rPr>
                <w:rFonts w:hint="eastAsia"/>
              </w:rPr>
              <w:t xml:space="preserve">尽管网站流量强劲,转化率仍疲软</w:t>
            </w:r>
          </w:p>
        </w:tc>
      </w:tr>
      <w:tr>
        <w:tc>
          <w:tcPr/>
          <w:p>
            <w:pPr>
              <w:pStyle w:val="Compact"/>
              <w:jc w:val="left"/>
            </w:pPr>
            <w:r>
              <w:rPr>
                <w:rFonts w:hint="eastAsia"/>
              </w:rPr>
              <w:t xml:space="preserve">Luma卧室系列</w:t>
            </w:r>
          </w:p>
        </w:tc>
        <w:tc>
          <w:tcPr/>
          <w:p>
            <w:pPr>
              <w:pStyle w:val="Compact"/>
              <w:jc w:val="left"/>
            </w:pPr>
            <w:r>
              <w:t xml:space="preserve">47%</w:t>
            </w:r>
          </w:p>
        </w:tc>
        <w:tc>
          <w:tcPr/>
          <w:p>
            <w:pPr>
              <w:pStyle w:val="Compact"/>
              <w:jc w:val="left"/>
            </w:pPr>
            <w:r>
              <w:t xml:space="preserve">11.6</w:t>
            </w:r>
          </w:p>
        </w:tc>
        <w:tc>
          <w:tcPr/>
          <w:p>
            <w:pPr>
              <w:pStyle w:val="Compact"/>
              <w:jc w:val="center"/>
            </w:pPr>
            <w:r>
              <w:t xml:space="preserve">9%</w:t>
            </w:r>
          </w:p>
        </w:tc>
        <w:tc>
          <w:tcPr/>
          <w:p>
            <w:pPr>
              <w:pStyle w:val="Compact"/>
              <w:jc w:val="center"/>
            </w:pPr>
            <w:r>
              <w:rPr>
                <w:rFonts w:hint="eastAsia"/>
              </w:rPr>
              <w:t xml:space="preserve">首次购房者中的需求上升</w:t>
            </w:r>
          </w:p>
        </w:tc>
      </w:tr>
      <w:tr>
        <w:tc>
          <w:tcPr/>
          <w:p>
            <w:pPr>
              <w:pStyle w:val="Compact"/>
              <w:jc w:val="left"/>
            </w:pPr>
            <w:r>
              <w:rPr>
                <w:rFonts w:hint="eastAsia"/>
              </w:rPr>
              <w:t xml:space="preserve">Studio家庭办公系列</w:t>
            </w:r>
          </w:p>
        </w:tc>
        <w:tc>
          <w:tcPr/>
          <w:p>
            <w:pPr>
              <w:pStyle w:val="Compact"/>
              <w:jc w:val="left"/>
            </w:pPr>
            <w:r>
              <w:t xml:space="preserve">42%</w:t>
            </w:r>
          </w:p>
        </w:tc>
        <w:tc>
          <w:tcPr/>
          <w:p>
            <w:pPr>
              <w:pStyle w:val="Compact"/>
              <w:jc w:val="left"/>
            </w:pPr>
            <w:r>
              <w:t xml:space="preserve">15.4</w:t>
            </w:r>
          </w:p>
        </w:tc>
        <w:tc>
          <w:tcPr/>
          <w:p>
            <w:pPr>
              <w:pStyle w:val="Compact"/>
              <w:jc w:val="center"/>
            </w:pPr>
            <w:r>
              <w:t xml:space="preserve">5%</w:t>
            </w:r>
          </w:p>
        </w:tc>
        <w:tc>
          <w:tcPr/>
          <w:p>
            <w:pPr>
              <w:pStyle w:val="Compact"/>
              <w:jc w:val="center"/>
            </w:pPr>
            <w:r>
              <w:rPr>
                <w:rFonts w:hint="eastAsia"/>
              </w:rPr>
              <w:t xml:space="preserve">经历两年强劲增长后销量下滑</w:t>
            </w:r>
          </w:p>
        </w:tc>
      </w:tr>
      <w:tr>
        <w:tc>
          <w:tcPr/>
          <w:p>
            <w:pPr>
              <w:pStyle w:val="Compact"/>
              <w:jc w:val="left"/>
            </w:pPr>
            <w:r>
              <w:rPr>
                <w:rFonts w:hint="eastAsia"/>
              </w:rPr>
              <w:t xml:space="preserve">配饰与装饰品</w:t>
            </w:r>
          </w:p>
        </w:tc>
        <w:tc>
          <w:tcPr/>
          <w:p>
            <w:pPr>
              <w:pStyle w:val="Compact"/>
              <w:jc w:val="left"/>
            </w:pPr>
            <w:r>
              <w:t xml:space="preserve">58%</w:t>
            </w:r>
          </w:p>
        </w:tc>
        <w:tc>
          <w:tcPr/>
          <w:p>
            <w:pPr>
              <w:pStyle w:val="Compact"/>
              <w:jc w:val="left"/>
            </w:pPr>
            <w:r>
              <w:t xml:space="preserve">7.0</w:t>
            </w:r>
          </w:p>
        </w:tc>
        <w:tc>
          <w:tcPr/>
          <w:p>
            <w:pPr>
              <w:pStyle w:val="Compact"/>
              <w:jc w:val="center"/>
            </w:pPr>
            <w:r>
              <w:t xml:space="preserve">2%</w:t>
            </w:r>
          </w:p>
        </w:tc>
        <w:tc>
          <w:tcPr/>
          <w:p>
            <w:pPr>
              <w:pStyle w:val="Compact"/>
              <w:jc w:val="center"/>
            </w:pPr>
            <w:r>
              <w:rPr>
                <w:rFonts w:hint="eastAsia"/>
              </w:rPr>
              <w:t xml:space="preserve">附加购买毛利率高;陈列不一致</w:t>
            </w:r>
          </w:p>
        </w:tc>
      </w:tr>
    </w:tbl>
    <w:p>
      <w:pPr>
        <w:pStyle w:val="BodyText"/>
      </w:pPr>
      <w:r>
        <w:rPr>
          <w:rFonts w:hint="eastAsia"/>
        </w:rPr>
        <w:t xml:space="preserve">商品团队提议从网站和门店中撤下900款低销量产品,将营销集中在12个”主打”系列上。电子商务团队反对这一提议。宽泛的品类组合能吸引搜索流量,并让炉光家居了解新兴的品味偏好,即便访客并未立即购买。门店组织则担心,统一品类组合会忽视当地的住房风格、人口结构和收入水平。</w:t>
      </w:r>
    </w:p>
    <w:bookmarkEnd w:id="12"/>
    <w:bookmarkEnd w:id="13"/>
    <w:bookmarkStart w:id="15" w:name="价格促销与训练顾客的风险"/>
    <w:p>
      <w:pPr>
        <w:pStyle w:val="Heading1"/>
      </w:pPr>
      <w:r>
        <w:rPr>
          <w:rFonts w:hint="eastAsia"/>
        </w:rPr>
        <w:t xml:space="preserve">价格、促销与”训练”顾客的风险</w:t>
      </w:r>
    </w:p>
    <w:p>
      <w:pPr>
        <w:pStyle w:val="FirstParagraph"/>
      </w:pPr>
      <w:r>
        <w:rPr>
          <w:rFonts w:hint="eastAsia"/>
        </w:rPr>
        <w:t xml:space="preserve">炉光家居以往的促销日历包括假日折扣、分期付款优惠、成套家具组合优惠,以及偶尔的清仓活动。竞争对手的促销力度日益加大,打出”四折优惠”的广告,但由于标价和产品规格各不相同,很难进行比较。炉光家居的顾客研究表明,许多购物者会一直等到促销出现才购买。</w:t>
      </w:r>
    </w:p>
    <w:p>
      <w:pPr>
        <w:pStyle w:val="BodyText"/>
      </w:pPr>
      <w:r>
        <w:rPr>
          <w:rFonts w:hint="eastAsia"/>
        </w:rPr>
        <w:t xml:space="preserve">马尔克斯正在考虑推出一项全公司范围的”打造整间房”活动:顾客购买一款沙发及两件配套家具即可享受85折的套装折扣,并获得免费配送服务。此举可能提高平均订单价值,并有助于配饰产品的销售。但也可能降低本可无需折扣就能售出的产品的利润率,并在假日季来临前造成配送拥堵。</w:t>
      </w:r>
    </w:p>
    <w:bookmarkStart w:id="14" w:name="表3.-拟议的需求刺激举措"/>
    <w:p>
      <w:pPr>
        <w:pStyle w:val="Heading2"/>
      </w:pPr>
      <w:r>
        <w:rPr>
          <w:rFonts w:hint="eastAsia"/>
        </w:rPr>
        <w:t xml:space="preserve">表3.</w:t>
      </w:r>
      <w:r>
        <w:t xml:space="preserve"> </w:t>
      </w:r>
      <w:r>
        <w:rPr>
          <w:rFonts w:hint="eastAsia"/>
        </w:rPr>
        <w:t xml:space="preserve">拟议的需求刺激举措</w:t>
      </w:r>
    </w:p>
    <w:tbl>
      <w:tblPr>
        <w:tblStyle w:val="Table"/>
        <w:tblW w:type="pct" w:w="4918"/>
        <w:tblLayout w:type="fixed"/>
        <w:tblLook w:firstRow="1" w:lastRow="0" w:firstColumn="0" w:lastColumn="0" w:noHBand="0" w:noVBand="0" w:val="0020"/>
      </w:tblPr>
      <w:tblGrid>
        <w:gridCol w:w="1882"/>
        <w:gridCol w:w="1233"/>
        <w:gridCol w:w="2012"/>
        <w:gridCol w:w="2661"/>
      </w:tblGrid>
      <w:tr>
        <w:trPr>
          <w:tblHeader w:val="on"/>
        </w:trPr>
        <w:tc>
          <w:tcPr/>
          <w:p>
            <w:pPr>
              <w:pStyle w:val="Compact"/>
              <w:jc w:val="left"/>
            </w:pPr>
            <w:r>
              <w:rPr>
                <w:rFonts w:hint="eastAsia"/>
              </w:rPr>
              <w:t xml:space="preserve">举措</w:t>
            </w:r>
          </w:p>
        </w:tc>
        <w:tc>
          <w:tcPr/>
          <w:p>
            <w:pPr>
              <w:pStyle w:val="Compact"/>
              <w:jc w:val="left"/>
            </w:pPr>
            <w:r>
              <w:rPr>
                <w:rFonts w:hint="eastAsia"/>
              </w:rPr>
              <w:t xml:space="preserve">四个月成本</w:t>
            </w:r>
          </w:p>
        </w:tc>
        <w:tc>
          <w:tcPr/>
          <w:p>
            <w:pPr>
              <w:pStyle w:val="Compact"/>
              <w:jc w:val="center"/>
            </w:pPr>
            <w:r>
              <w:rPr>
                <w:rFonts w:hint="eastAsia"/>
              </w:rPr>
              <w:t xml:space="preserve">预期覆盖范围</w:t>
            </w:r>
          </w:p>
        </w:tc>
        <w:tc>
          <w:tcPr/>
          <w:p>
            <w:pPr>
              <w:pStyle w:val="Compact"/>
              <w:jc w:val="center"/>
            </w:pPr>
            <w:r>
              <w:rPr>
                <w:rFonts w:hint="eastAsia"/>
              </w:rPr>
              <w:t xml:space="preserve">主要顾虑</w:t>
            </w:r>
          </w:p>
        </w:tc>
      </w:tr>
      <w:tr>
        <w:tc>
          <w:tcPr/>
          <w:p>
            <w:pPr>
              <w:pStyle w:val="Compact"/>
              <w:jc w:val="left"/>
            </w:pPr>
            <w:r>
              <w:rPr>
                <w:rFonts w:hint="eastAsia"/>
              </w:rPr>
              <w:t xml:space="preserve">扩大付费搜索</w:t>
            </w:r>
          </w:p>
        </w:tc>
        <w:tc>
          <w:tcPr/>
          <w:p>
            <w:pPr>
              <w:pStyle w:val="Compact"/>
              <w:jc w:val="left"/>
            </w:pPr>
            <w:r>
              <w:rPr>
                <w:rFonts w:hint="eastAsia"/>
              </w:rPr>
              <w:t xml:space="preserve">160万美元</w:t>
            </w:r>
          </w:p>
        </w:tc>
        <w:tc>
          <w:tcPr/>
          <w:p>
            <w:pPr>
              <w:pStyle w:val="Compact"/>
              <w:jc w:val="center"/>
            </w:pPr>
            <w:r>
              <w:rPr>
                <w:rFonts w:hint="eastAsia"/>
              </w:rPr>
              <w:t xml:space="preserve">高购买意向购物者</w:t>
            </w:r>
          </w:p>
        </w:tc>
        <w:tc>
          <w:tcPr/>
          <w:p>
            <w:pPr>
              <w:pStyle w:val="Compact"/>
              <w:jc w:val="center"/>
            </w:pPr>
            <w:r>
              <w:rPr>
                <w:rFonts w:hint="eastAsia"/>
              </w:rPr>
              <w:t xml:space="preserve">竞价成本及竞争对手的应对</w:t>
            </w:r>
          </w:p>
        </w:tc>
      </w:tr>
      <w:tr>
        <w:tc>
          <w:tcPr/>
          <w:p>
            <w:pPr>
              <w:pStyle w:val="Compact"/>
              <w:jc w:val="left"/>
            </w:pPr>
            <w:r>
              <w:rPr>
                <w:rFonts w:hint="eastAsia"/>
              </w:rPr>
              <w:t xml:space="preserve">社交视频+网红合作</w:t>
            </w:r>
          </w:p>
        </w:tc>
        <w:tc>
          <w:tcPr/>
          <w:p>
            <w:pPr>
              <w:pStyle w:val="Compact"/>
              <w:jc w:val="left"/>
            </w:pPr>
            <w:r>
              <w:rPr>
                <w:rFonts w:hint="eastAsia"/>
              </w:rPr>
              <w:t xml:space="preserve">120万美元</w:t>
            </w:r>
          </w:p>
        </w:tc>
        <w:tc>
          <w:tcPr/>
          <w:p>
            <w:pPr>
              <w:pStyle w:val="Compact"/>
              <w:jc w:val="center"/>
            </w:pPr>
            <w:r>
              <w:rPr>
                <w:rFonts w:hint="eastAsia"/>
              </w:rPr>
              <w:t xml:space="preserve">注重风格的家庭</w:t>
            </w:r>
            <w:r>
              <w:t xml:space="preserve"> </w:t>
            </w:r>
            <w:r>
              <w:rPr>
                <w:rFonts w:hint="eastAsia"/>
              </w:rPr>
              <w:t xml:space="preserve">浏</w:t>
            </w:r>
          </w:p>
        </w:tc>
        <w:tc>
          <w:tcPr/>
          <w:p>
            <w:pPr>
              <w:pStyle w:val="Compact"/>
              <w:jc w:val="center"/>
            </w:pPr>
            <w:r>
              <w:rPr>
                <w:rFonts w:hint="eastAsia"/>
              </w:rPr>
              <w:t xml:space="preserve">览量未必能转化为购买</w:t>
            </w:r>
          </w:p>
        </w:tc>
      </w:tr>
      <w:tr>
        <w:tc>
          <w:tcPr/>
          <w:p>
            <w:pPr>
              <w:pStyle w:val="Compact"/>
              <w:jc w:val="left"/>
            </w:pPr>
            <w:r>
              <w:rPr>
                <w:rFonts w:hint="eastAsia"/>
              </w:rPr>
              <w:t xml:space="preserve">区域电视广告</w:t>
            </w:r>
          </w:p>
        </w:tc>
        <w:tc>
          <w:tcPr/>
          <w:p>
            <w:pPr>
              <w:pStyle w:val="Compact"/>
              <w:jc w:val="left"/>
            </w:pPr>
            <w:r>
              <w:rPr>
                <w:rFonts w:hint="eastAsia"/>
              </w:rPr>
              <w:t xml:space="preserve">150万美元</w:t>
            </w:r>
          </w:p>
        </w:tc>
        <w:tc>
          <w:tcPr/>
          <w:p>
            <w:pPr>
              <w:pStyle w:val="Compact"/>
              <w:jc w:val="center"/>
            </w:pPr>
            <w:r>
              <w:rPr>
                <w:rFonts w:hint="eastAsia"/>
              </w:rPr>
              <w:t xml:space="preserve">广泛的本地知名度</w:t>
            </w:r>
          </w:p>
        </w:tc>
        <w:tc>
          <w:tcPr/>
          <w:p>
            <w:pPr>
              <w:pStyle w:val="Compact"/>
              <w:jc w:val="center"/>
            </w:pPr>
            <w:r>
              <w:rPr>
                <w:rFonts w:hint="eastAsia"/>
              </w:rPr>
              <w:t xml:space="preserve">归因薄弱且存在溢出效应</w:t>
            </w:r>
          </w:p>
        </w:tc>
      </w:tr>
      <w:tr>
        <w:tc>
          <w:tcPr/>
          <w:p>
            <w:pPr>
              <w:pStyle w:val="Compact"/>
              <w:jc w:val="left"/>
            </w:pPr>
            <w:r>
              <w:rPr>
                <w:rFonts w:hint="eastAsia"/>
              </w:rPr>
              <w:t xml:space="preserve">直邮成套家具推广</w:t>
            </w:r>
          </w:p>
        </w:tc>
        <w:tc>
          <w:tcPr/>
          <w:p>
            <w:pPr>
              <w:pStyle w:val="Compact"/>
              <w:jc w:val="left"/>
            </w:pPr>
            <w:r>
              <w:rPr>
                <w:rFonts w:hint="eastAsia"/>
              </w:rPr>
              <w:t xml:space="preserve">70万美元</w:t>
            </w:r>
          </w:p>
        </w:tc>
        <w:tc>
          <w:tcPr/>
          <w:p>
            <w:pPr>
              <w:pStyle w:val="Compact"/>
              <w:jc w:val="center"/>
            </w:pPr>
            <w:r>
              <w:rPr>
                <w:rFonts w:hint="eastAsia"/>
              </w:rPr>
              <w:t xml:space="preserve">门店附近的已知家庭</w:t>
            </w:r>
          </w:p>
        </w:tc>
        <w:tc>
          <w:tcPr/>
          <w:p>
            <w:pPr>
              <w:pStyle w:val="Compact"/>
              <w:jc w:val="center"/>
            </w:pPr>
            <w:r>
              <w:rPr>
                <w:rFonts w:hint="eastAsia"/>
              </w:rPr>
              <w:t xml:space="preserve">可能偏向现有顾客</w:t>
            </w:r>
          </w:p>
        </w:tc>
      </w:tr>
      <w:tr>
        <w:tc>
          <w:tcPr/>
          <w:p>
            <w:pPr>
              <w:pStyle w:val="Compact"/>
              <w:jc w:val="left"/>
            </w:pPr>
            <w:r>
              <w:rPr>
                <w:rFonts w:hint="eastAsia"/>
              </w:rPr>
              <w:t xml:space="preserve">15%成套家具套装折扣</w:t>
            </w:r>
          </w:p>
        </w:tc>
        <w:tc>
          <w:tcPr/>
          <w:p>
            <w:pPr>
              <w:pStyle w:val="Compact"/>
              <w:jc w:val="left"/>
            </w:pPr>
            <w:r>
              <w:rPr>
                <w:rFonts w:hint="eastAsia"/>
              </w:rPr>
              <w:t xml:space="preserve">200万–450万美元*</w:t>
            </w:r>
          </w:p>
        </w:tc>
        <w:tc>
          <w:tcPr/>
          <w:p>
            <w:pPr>
              <w:pStyle w:val="Compact"/>
              <w:jc w:val="center"/>
            </w:pPr>
            <w:r>
              <w:rPr>
                <w:rFonts w:hint="eastAsia"/>
              </w:rPr>
              <w:t xml:space="preserve">接近购买决策的顾客</w:t>
            </w:r>
          </w:p>
        </w:tc>
        <w:tc>
          <w:tcPr/>
          <w:p>
            <w:pPr>
              <w:pStyle w:val="Compact"/>
              <w:jc w:val="center"/>
            </w:pPr>
            <w:r>
              <w:rPr>
                <w:rFonts w:hint="eastAsia"/>
              </w:rPr>
              <w:t xml:space="preserve">利润损失及需求激增</w:t>
            </w:r>
          </w:p>
        </w:tc>
      </w:tr>
      <w:tr>
        <w:tc>
          <w:tcPr/>
          <w:p>
            <w:pPr>
              <w:pStyle w:val="Compact"/>
              <w:jc w:val="left"/>
            </w:pPr>
            <w:r>
              <w:rPr>
                <w:rFonts w:hint="eastAsia"/>
              </w:rPr>
              <w:t xml:space="preserve">网站A/B测试</w:t>
            </w:r>
          </w:p>
        </w:tc>
        <w:tc>
          <w:tcPr/>
          <w:p>
            <w:pPr>
              <w:pStyle w:val="Compact"/>
              <w:jc w:val="left"/>
            </w:pPr>
            <w:r>
              <w:rPr>
                <w:rFonts w:hint="eastAsia"/>
              </w:rPr>
              <w:t xml:space="preserve">45万美元</w:t>
            </w:r>
          </w:p>
        </w:tc>
        <w:tc>
          <w:tcPr/>
          <w:p>
            <w:pPr>
              <w:pStyle w:val="Compact"/>
              <w:jc w:val="center"/>
            </w:pPr>
            <w:r>
              <w:rPr>
                <w:rFonts w:hint="eastAsia"/>
              </w:rPr>
              <w:t xml:space="preserve">所有数字访客</w:t>
            </w:r>
          </w:p>
        </w:tc>
        <w:tc>
          <w:tcPr/>
          <w:p>
            <w:pPr>
              <w:pStyle w:val="Compact"/>
              <w:jc w:val="center"/>
            </w:pPr>
            <w:r>
              <w:rPr>
                <w:rFonts w:hint="eastAsia"/>
              </w:rPr>
              <w:t xml:space="preserve">学习成果可能在旺季结束后才能获得</w:t>
            </w:r>
          </w:p>
        </w:tc>
      </w:tr>
      <w:tr>
        <w:tc>
          <w:tcPr/>
          <w:p>
            <w:pPr>
              <w:pStyle w:val="Compact"/>
              <w:jc w:val="left"/>
            </w:pPr>
            <w:r>
              <w:rPr>
                <w:rFonts w:hint="eastAsia"/>
              </w:rPr>
              <w:t xml:space="preserve">周末门店人员配置</w:t>
            </w:r>
          </w:p>
        </w:tc>
        <w:tc>
          <w:tcPr/>
          <w:p>
            <w:pPr>
              <w:pStyle w:val="Compact"/>
              <w:jc w:val="left"/>
            </w:pPr>
            <w:r>
              <w:rPr>
                <w:rFonts w:hint="eastAsia"/>
              </w:rPr>
              <w:t xml:space="preserve">85万美元</w:t>
            </w:r>
          </w:p>
        </w:tc>
        <w:tc>
          <w:tcPr/>
          <w:p>
            <w:pPr>
              <w:pStyle w:val="Compact"/>
              <w:jc w:val="center"/>
            </w:pPr>
            <w:r>
              <w:rPr>
                <w:rFonts w:hint="eastAsia"/>
              </w:rPr>
              <w:t xml:space="preserve">店内购物者</w:t>
            </w:r>
          </w:p>
        </w:tc>
        <w:tc>
          <w:tcPr/>
          <w:p>
            <w:pPr>
              <w:pStyle w:val="Compact"/>
              <w:jc w:val="center"/>
            </w:pPr>
            <w:r>
              <w:rPr>
                <w:rFonts w:hint="eastAsia"/>
              </w:rPr>
              <w:t xml:space="preserve">招聘和培训存在延迟</w:t>
            </w:r>
          </w:p>
        </w:tc>
      </w:tr>
    </w:tbl>
    <w:p>
      <w:pPr>
        <w:pStyle w:val="BodyText"/>
      </w:pPr>
      <w:r>
        <w:rPr>
          <w:rFonts w:hint="eastAsia"/>
        </w:rPr>
        <w:t xml:space="preserve">*预计收入减少幅度取决于参与率与替代效应。</w:t>
      </w:r>
    </w:p>
    <w:bookmarkEnd w:id="14"/>
    <w:bookmarkEnd w:id="15"/>
    <w:bookmarkStart w:id="17" w:name="数字信号与不完美的学习"/>
    <w:p>
      <w:pPr>
        <w:pStyle w:val="Heading1"/>
      </w:pPr>
      <w:r>
        <w:rPr>
          <w:rFonts w:hint="eastAsia"/>
        </w:rPr>
        <w:t xml:space="preserve">数字信号与不完美的学习</w:t>
      </w:r>
    </w:p>
    <w:p>
      <w:pPr>
        <w:pStyle w:val="FirstParagraph"/>
      </w:pPr>
      <w:r>
        <w:rPr>
          <w:rFonts w:hint="eastAsia"/>
        </w:rPr>
        <w:t xml:space="preserve">炉光家居收集了数以百万计的数字观测数据:搜索、点击、产品页面浏览、已保存的房间方案、加入购物车、分期付款申请、聊天会话以及放弃的购物车。然而,管理者们对这些数据的含义存在分歧。某个系列页面浏览量高,可能表明兴趣浓厚——也可能反映出对尺寸、颜色或配送方式的困惑。跳出率高可能反映页面缺乏吸引力,也可能是价格不合适,又或者是顾客立即找到了所需信息。</w:t>
      </w:r>
    </w:p>
    <w:p>
      <w:pPr>
        <w:pStyle w:val="BodyText"/>
      </w:pPr>
      <w:r>
        <w:rPr>
          <w:rFonts w:hint="eastAsia"/>
        </w:rPr>
        <w:t xml:space="preserve">分析团队提议开展一系列受控实验。不同的访客可以看到不同的页面布局、配送信息、分期付款优惠或产品推荐。选定的门店可以测试不同的成套家具组合和价格点。然而,这些测试将占用流量,可能造成顾客体验不一致,且所得结果可能无法在不同地区或季节之间通用。</w:t>
      </w:r>
    </w:p>
    <w:bookmarkStart w:id="16" w:name="表4.-8月数字营销漏斗"/>
    <w:p>
      <w:pPr>
        <w:pStyle w:val="Heading2"/>
      </w:pPr>
      <w:r>
        <w:rPr>
          <w:rFonts w:hint="eastAsia"/>
        </w:rPr>
        <w:t xml:space="preserve">表4.</w:t>
      </w:r>
      <w:r>
        <w:t xml:space="preserve"> </w:t>
      </w:r>
      <w:r>
        <w:rPr>
          <w:rFonts w:hint="eastAsia"/>
        </w:rPr>
        <w:t xml:space="preserve">8月数字营销漏斗</w:t>
      </w:r>
    </w:p>
    <w:tbl>
      <w:tblPr>
        <w:tblStyle w:val="Table"/>
        <w:tblW w:type="pct" w:w="4917"/>
        <w:tblLayout w:type="fixed"/>
        <w:tblLook w:firstRow="1" w:lastRow="0" w:firstColumn="0" w:lastColumn="0" w:noHBand="0" w:noVBand="0" w:val="0020"/>
      </w:tblPr>
      <w:tblGrid>
        <w:gridCol w:w="2029"/>
        <w:gridCol w:w="1112"/>
        <w:gridCol w:w="1570"/>
        <w:gridCol w:w="3076"/>
      </w:tblGrid>
      <w:tr>
        <w:trPr>
          <w:tblHeader w:val="on"/>
        </w:trPr>
        <w:tc>
          <w:tcPr/>
          <w:p>
            <w:pPr>
              <w:pStyle w:val="Compact"/>
              <w:jc w:val="left"/>
            </w:pPr>
            <w:r>
              <w:rPr>
                <w:rFonts w:hint="eastAsia"/>
              </w:rPr>
              <w:t xml:space="preserve">阶段</w:t>
            </w:r>
          </w:p>
        </w:tc>
        <w:tc>
          <w:tcPr/>
          <w:p>
            <w:pPr>
              <w:pStyle w:val="Compact"/>
              <w:jc w:val="center"/>
            </w:pPr>
            <w:r>
              <w:rPr>
                <w:rFonts w:hint="eastAsia"/>
              </w:rPr>
              <w:t xml:space="preserve">月度数量</w:t>
            </w:r>
          </w:p>
        </w:tc>
        <w:tc>
          <w:tcPr/>
          <w:p>
            <w:pPr>
              <w:pStyle w:val="Compact"/>
              <w:jc w:val="center"/>
            </w:pPr>
            <w:r>
              <w:rPr>
                <w:rFonts w:hint="eastAsia"/>
              </w:rPr>
              <w:t xml:space="preserve">相较上一阶段的转化率</w:t>
            </w:r>
          </w:p>
        </w:tc>
        <w:tc>
          <w:tcPr/>
          <w:p>
            <w:pPr>
              <w:pStyle w:val="Compact"/>
              <w:jc w:val="center"/>
            </w:pPr>
            <w:r>
              <w:rPr>
                <w:rFonts w:hint="eastAsia"/>
              </w:rPr>
              <w:t xml:space="preserve">观察到的波动情况</w:t>
            </w:r>
          </w:p>
        </w:tc>
      </w:tr>
      <w:tr>
        <w:tc>
          <w:tcPr/>
          <w:p>
            <w:pPr>
              <w:pStyle w:val="Compact"/>
              <w:jc w:val="left"/>
            </w:pPr>
            <w:r>
              <w:rPr>
                <w:rFonts w:hint="eastAsia"/>
              </w:rPr>
              <w:t xml:space="preserve">网站会话数</w:t>
            </w:r>
          </w:p>
        </w:tc>
        <w:tc>
          <w:tcPr/>
          <w:p>
            <w:pPr>
              <w:pStyle w:val="Compact"/>
              <w:jc w:val="center"/>
            </w:pPr>
            <w:r>
              <w:t xml:space="preserve">3,840,000</w:t>
            </w:r>
          </w:p>
        </w:tc>
        <w:tc>
          <w:tcPr/>
          <w:p>
            <w:pPr>
              <w:pStyle w:val="Compact"/>
              <w:jc w:val="center"/>
            </w:pPr>
            <w:r>
              <w:t xml:space="preserve">—</w:t>
            </w:r>
          </w:p>
        </w:tc>
        <w:tc>
          <w:tcPr/>
          <w:p>
            <w:pPr>
              <w:pStyle w:val="Compact"/>
              <w:jc w:val="center"/>
            </w:pPr>
            <w:r>
              <w:rPr>
                <w:rFonts w:hint="eastAsia"/>
              </w:rPr>
              <w:t xml:space="preserve">按周波动±18%</w:t>
            </w:r>
          </w:p>
        </w:tc>
      </w:tr>
      <w:tr>
        <w:tc>
          <w:tcPr/>
          <w:p>
            <w:pPr>
              <w:pStyle w:val="Compact"/>
              <w:jc w:val="left"/>
            </w:pPr>
            <w:r>
              <w:rPr>
                <w:rFonts w:hint="eastAsia"/>
              </w:rPr>
              <w:t xml:space="preserve">产品详情页浏览量</w:t>
            </w:r>
          </w:p>
        </w:tc>
        <w:tc>
          <w:tcPr/>
          <w:p>
            <w:pPr>
              <w:pStyle w:val="Compact"/>
              <w:jc w:val="center"/>
            </w:pPr>
            <w:r>
              <w:t xml:space="preserve">2,110,000</w:t>
            </w:r>
          </w:p>
        </w:tc>
        <w:tc>
          <w:tcPr/>
          <w:p>
            <w:pPr>
              <w:pStyle w:val="Compact"/>
              <w:jc w:val="center"/>
            </w:pPr>
            <w:r>
              <w:t xml:space="preserve">55.0%</w:t>
            </w:r>
          </w:p>
        </w:tc>
        <w:tc>
          <w:tcPr/>
          <w:p>
            <w:pPr>
              <w:pStyle w:val="Compact"/>
              <w:jc w:val="center"/>
            </w:pPr>
            <w:r>
              <w:rPr>
                <w:rFonts w:hint="eastAsia"/>
              </w:rPr>
              <w:t xml:space="preserve">因家具品类及流量来源而异</w:t>
            </w:r>
          </w:p>
        </w:tc>
      </w:tr>
      <w:tr>
        <w:tc>
          <w:tcPr/>
          <w:p>
            <w:pPr>
              <w:pStyle w:val="Compact"/>
              <w:jc w:val="left"/>
            </w:pPr>
            <w:r>
              <w:rPr>
                <w:rFonts w:hint="eastAsia"/>
              </w:rPr>
              <w:t xml:space="preserve">房间规划/已保存商品</w:t>
            </w:r>
          </w:p>
        </w:tc>
        <w:tc>
          <w:tcPr/>
          <w:p>
            <w:pPr>
              <w:pStyle w:val="Compact"/>
              <w:jc w:val="center"/>
            </w:pPr>
            <w:r>
              <w:t xml:space="preserve">286,000</w:t>
            </w:r>
          </w:p>
        </w:tc>
        <w:tc>
          <w:tcPr/>
          <w:p>
            <w:pPr>
              <w:pStyle w:val="Compact"/>
              <w:jc w:val="center"/>
            </w:pPr>
            <w:r>
              <w:t xml:space="preserve">13.6%</w:t>
            </w:r>
          </w:p>
        </w:tc>
        <w:tc>
          <w:tcPr/>
          <w:p>
            <w:pPr>
              <w:pStyle w:val="Compact"/>
              <w:jc w:val="center"/>
            </w:pPr>
            <w:r>
              <w:rPr>
                <w:rFonts w:hint="eastAsia"/>
              </w:rPr>
              <w:t xml:space="preserve">组合式座椅的比例明显更高</w:t>
            </w:r>
          </w:p>
        </w:tc>
      </w:tr>
      <w:tr>
        <w:tc>
          <w:tcPr/>
          <w:p>
            <w:pPr>
              <w:pStyle w:val="Compact"/>
              <w:jc w:val="left"/>
            </w:pPr>
            <w:r>
              <w:rPr>
                <w:rFonts w:hint="eastAsia"/>
              </w:rPr>
              <w:t xml:space="preserve">购物车或报价开始</w:t>
            </w:r>
          </w:p>
        </w:tc>
        <w:tc>
          <w:tcPr/>
          <w:p>
            <w:pPr>
              <w:pStyle w:val="Compact"/>
              <w:jc w:val="center"/>
            </w:pPr>
            <w:r>
              <w:t xml:space="preserve">93,400</w:t>
            </w:r>
          </w:p>
        </w:tc>
        <w:tc>
          <w:tcPr/>
          <w:p>
            <w:pPr>
              <w:pStyle w:val="Compact"/>
              <w:jc w:val="center"/>
            </w:pPr>
            <w:r>
              <w:t xml:space="preserve">32.7%</w:t>
            </w:r>
          </w:p>
        </w:tc>
        <w:tc>
          <w:tcPr/>
          <w:p>
            <w:pPr>
              <w:pStyle w:val="Compact"/>
              <w:jc w:val="center"/>
            </w:pPr>
            <w:r>
              <w:rPr>
                <w:rFonts w:hint="eastAsia"/>
              </w:rPr>
              <w:t xml:space="preserve">当配送周期超过8周时急剧下降</w:t>
            </w:r>
          </w:p>
        </w:tc>
      </w:tr>
      <w:tr>
        <w:tc>
          <w:tcPr/>
          <w:p>
            <w:pPr>
              <w:pStyle w:val="Compact"/>
              <w:jc w:val="left"/>
            </w:pPr>
            <w:r>
              <w:rPr>
                <w:rFonts w:hint="eastAsia"/>
              </w:rPr>
              <w:t xml:space="preserve">订单完成</w:t>
            </w:r>
          </w:p>
        </w:tc>
        <w:tc>
          <w:tcPr/>
          <w:p>
            <w:pPr>
              <w:pStyle w:val="Compact"/>
              <w:jc w:val="center"/>
            </w:pPr>
            <w:r>
              <w:t xml:space="preserve">59,100</w:t>
            </w:r>
          </w:p>
        </w:tc>
        <w:tc>
          <w:tcPr/>
          <w:p>
            <w:pPr>
              <w:pStyle w:val="Compact"/>
              <w:jc w:val="center"/>
            </w:pPr>
            <w:r>
              <w:t xml:space="preserve">63.3%</w:t>
            </w:r>
          </w:p>
        </w:tc>
        <w:tc>
          <w:tcPr/>
          <w:p>
            <w:pPr>
              <w:pStyle w:val="Compact"/>
              <w:jc w:val="center"/>
            </w:pPr>
            <w:r>
              <w:rPr>
                <w:rFonts w:hint="eastAsia"/>
              </w:rPr>
              <w:t xml:space="preserve">对分期付款审批敏感</w:t>
            </w:r>
          </w:p>
        </w:tc>
      </w:tr>
      <w:tr>
        <w:tc>
          <w:tcPr/>
          <w:p>
            <w:pPr>
              <w:pStyle w:val="Compact"/>
              <w:jc w:val="left"/>
            </w:pPr>
            <w:r>
              <w:rPr>
                <w:rFonts w:hint="eastAsia"/>
              </w:rPr>
              <w:t xml:space="preserve">订单在14天后仍保留</w:t>
            </w:r>
          </w:p>
        </w:tc>
        <w:tc>
          <w:tcPr/>
          <w:p>
            <w:pPr>
              <w:pStyle w:val="Compact"/>
              <w:jc w:val="center"/>
            </w:pPr>
            <w:r>
              <w:t xml:space="preserve">54,800</w:t>
            </w:r>
          </w:p>
        </w:tc>
        <w:tc>
          <w:tcPr/>
          <w:p>
            <w:pPr>
              <w:pStyle w:val="Compact"/>
              <w:jc w:val="center"/>
            </w:pPr>
            <w:r>
              <w:t xml:space="preserve">92.7%</w:t>
            </w:r>
          </w:p>
        </w:tc>
        <w:tc>
          <w:tcPr/>
          <w:p>
            <w:pPr>
              <w:pStyle w:val="Compact"/>
              <w:jc w:val="center"/>
            </w:pPr>
            <w:r>
              <w:rPr>
                <w:rFonts w:hint="eastAsia"/>
              </w:rPr>
              <w:t xml:space="preserve">取消订单集中于延迟交付的订单</w:t>
            </w:r>
          </w:p>
        </w:tc>
      </w:tr>
    </w:tbl>
    <w:p>
      <w:pPr>
        <w:pStyle w:val="BodyText"/>
      </w:pPr>
      <w:r>
        <w:rPr>
          <w:rFonts w:hint="eastAsia"/>
        </w:rPr>
        <w:t xml:space="preserve">首席信息官对过度自信提出了警告。顾客身份信息在门店、网站和分期付款系统之间存在割裂。一些家庭在线上进行调研,却在门店以配偶的名义完成购买。广告平台使用不同的归因窗口来报告转化数据。门店经理有时为了节省时间,会用通用的顾客档案录入订单。同一场营销活动,在一个系统中可能显示为成功,在另一个系统中却显示为失败。</w:t>
      </w:r>
    </w:p>
    <w:bookmarkEnd w:id="16"/>
    <w:bookmarkEnd w:id="17"/>
    <w:bookmarkStart w:id="18" w:name="门店员工与本地判断"/>
    <w:p>
      <w:pPr>
        <w:pStyle w:val="Heading1"/>
      </w:pPr>
      <w:r>
        <w:rPr>
          <w:rFonts w:hint="eastAsia"/>
        </w:rPr>
        <w:t xml:space="preserve">门店、员工与本地判断</w:t>
      </w:r>
    </w:p>
    <w:p>
      <w:pPr>
        <w:pStyle w:val="FirstParagraph"/>
      </w:pPr>
      <w:r>
        <w:rPr>
          <w:rFonts w:hint="eastAsia"/>
        </w:rPr>
        <w:t xml:space="preserve">门店的人力既是一项成本,也是一种需求杠杆。经验丰富的销售人员能够帮助顾客协调风格、解释面料选择、安排分期付款,并对交付时间设定合理预期。新员工需要数月时间才能达到高效水平。然而,为应对高峰流量而在每家门店都配足人手成本高昂,而客流量又会随天气、本地活动和竞争对手促销而波动。</w:t>
      </w:r>
    </w:p>
    <w:p>
      <w:pPr>
        <w:pStyle w:val="BodyText"/>
      </w:pPr>
      <w:r>
        <w:rPr>
          <w:rFonts w:hint="eastAsia"/>
        </w:rPr>
        <w:t xml:space="preserve">各区域副总裁希望在人员配置、陈列、促销和本地媒体投放方面拥有自主裁量权。总部则希望实验方式统一、结果具有可比性。一位经理指出,在拥有大型展厅的郊区门店测试的促销活动,不能拿来与更依赖配送和数字可视化的城市展厅相比较评判。</w:t>
      </w:r>
    </w:p>
    <w:bookmarkEnd w:id="18"/>
    <w:bookmarkStart w:id="19" w:name="需求决策背后的供应约束"/>
    <w:p>
      <w:pPr>
        <w:pStyle w:val="Heading1"/>
      </w:pPr>
      <w:r>
        <w:rPr>
          <w:rFonts w:hint="eastAsia"/>
        </w:rPr>
        <w:t xml:space="preserve">需求决策背后的供应约束</w:t>
      </w:r>
    </w:p>
    <w:p>
      <w:pPr>
        <w:pStyle w:val="FirstParagraph"/>
      </w:pPr>
      <w:r>
        <w:rPr>
          <w:rFonts w:hint="eastAsia"/>
        </w:rPr>
        <w:t xml:space="preserve">尽管马尔克斯的任务涉及需求方面,但她无法忽视产品流通问题。Solace系列中最畅销的转角组件在一家软体家具供应商处出现延误。Alden餐厅套装占满了配送中心的仓位。由于港口拥堵,两个进口卧室家具集装箱预计将延迟三周到货。一场成功的营销活动,如果宣传的是公司无法交付的产品,反而可能使顾客服务状况恶化。</w:t>
      </w:r>
    </w:p>
    <w:p>
      <w:pPr>
        <w:pStyle w:val="BodyText"/>
      </w:pPr>
      <w:r>
        <w:rPr>
          <w:rFonts w:hint="eastAsia"/>
        </w:rPr>
        <w:t xml:space="preserve">供应链团队建议只对可用库存至少达到八周供应量的商品进行营销。商品团队对此表示反对,认为这样的规则会偏向滞销产品,并压制那些正在带动品牌热度的系列。财务部门建议对积压商品大幅降价。品牌管理部门则担心,反复的折扣促销会削弱炉光家居的中高端市场定位。</w:t>
      </w:r>
    </w:p>
    <w:bookmarkEnd w:id="19"/>
    <w:bookmarkStart w:id="21" w:name="假日季前的决策"/>
    <w:p>
      <w:pPr>
        <w:pStyle w:val="Heading1"/>
      </w:pPr>
      <w:r>
        <w:rPr>
          <w:rFonts w:hint="eastAsia"/>
        </w:rPr>
        <w:t xml:space="preserve">假日季前的决策</w:t>
      </w:r>
    </w:p>
    <w:p>
      <w:pPr>
        <w:pStyle w:val="FirstParagraph"/>
      </w:pPr>
      <w:r>
        <w:rPr>
          <w:rFonts w:hint="eastAsia"/>
        </w:rPr>
        <w:t xml:space="preserve">马尔克斯将这一问题归纳为三种宽泛的方案,这些方案彼此并不排斥,均可辅以较小规模的配套举措。</w:t>
      </w:r>
    </w:p>
    <w:p>
      <w:pPr>
        <w:pStyle w:val="BodyText"/>
      </w:pPr>
      <w:r>
        <w:rPr>
          <w:rFonts w:hint="eastAsia"/>
        </w:rPr>
        <w:t xml:space="preserve">方案A:集中聚焦。炉光家居将缩减可见的品类组合,将营销集中在少数几个系列上,在其表现最强劲的市场增加周末人手,并采用根据现有库存量身定制的区域性营销活动。该方案有望使执行更加清晰,但也可能因此错失新兴偏好,并削弱搜索流量。</w:t>
      </w:r>
    </w:p>
    <w:p>
      <w:pPr>
        <w:pStyle w:val="BodyText"/>
      </w:pPr>
      <w:r>
        <w:rPr>
          <w:rFonts w:hint="eastAsia"/>
        </w:rPr>
        <w:t xml:space="preserve">方案B:广泛促销。公司将保留完整的品类组合,在全国范围内推出成套家具套装折扣,并扩大付费搜索和社交媒体投入。该方案可能迅速刺激销售,并提供大量顾客响应数据,但可能牺牲利润率,并使供应受限的产品和配送能力不堪重负。</w:t>
      </w:r>
    </w:p>
    <w:p>
      <w:pPr>
        <w:pStyle w:val="BodyText"/>
      </w:pPr>
      <w:r>
        <w:rPr>
          <w:rFonts w:hint="eastAsia"/>
        </w:rPr>
        <w:t xml:space="preserve">方案C:实验与学习。炉光家居将限制大幅折扣,把更多资金投入网页实验、顾客调研和受控的区域测试,并推迟全国性营销活动,直至获得测试结果。该方案有助于改进未来的决策,但假日季可能会在公司能够自信行动之前就已过去。</w:t>
      </w:r>
    </w:p>
    <w:bookmarkStart w:id="20" w:name="表5.-9月至12月管理规划情景"/>
    <w:p>
      <w:pPr>
        <w:pStyle w:val="Heading2"/>
      </w:pPr>
      <w:r>
        <w:rPr>
          <w:rFonts w:hint="eastAsia"/>
        </w:rPr>
        <w:t xml:space="preserve">表5.</w:t>
      </w:r>
      <w:r>
        <w:t xml:space="preserve"> </w:t>
      </w:r>
      <w:r>
        <w:rPr>
          <w:rFonts w:hint="eastAsia"/>
        </w:rPr>
        <w:t xml:space="preserve">9月至12月管理规划情景</w:t>
      </w:r>
    </w:p>
    <w:tbl>
      <w:tblPr>
        <w:tblStyle w:val="Table"/>
        <w:tblW w:type="pct" w:w="4907"/>
        <w:tblLayout w:type="fixed"/>
        <w:tblLook w:firstRow="1" w:lastRow="0" w:firstColumn="0" w:lastColumn="0" w:noHBand="0" w:noVBand="0" w:val="0020"/>
      </w:tblPr>
      <w:tblGrid>
        <w:gridCol w:w="2420"/>
        <w:gridCol w:w="880"/>
        <w:gridCol w:w="1100"/>
        <w:gridCol w:w="1393"/>
        <w:gridCol w:w="1980"/>
      </w:tblGrid>
      <w:tr>
        <w:trPr>
          <w:tblHeader w:val="on"/>
        </w:trPr>
        <w:tc>
          <w:tcPr/>
          <w:p>
            <w:pPr>
              <w:pStyle w:val="Compact"/>
              <w:jc w:val="left"/>
            </w:pPr>
            <w:r>
              <w:rPr>
                <w:rFonts w:hint="eastAsia"/>
              </w:rPr>
              <w:t xml:space="preserve">情景</w:t>
            </w:r>
          </w:p>
        </w:tc>
        <w:tc>
          <w:tcPr/>
          <w:p>
            <w:pPr>
              <w:pStyle w:val="Compact"/>
              <w:jc w:val="left"/>
            </w:pPr>
            <w:r>
              <w:rPr>
                <w:rFonts w:hint="eastAsia"/>
              </w:rPr>
              <w:t xml:space="preserve">净销售额</w:t>
            </w:r>
          </w:p>
        </w:tc>
        <w:tc>
          <w:tcPr/>
          <w:p>
            <w:pPr>
              <w:pStyle w:val="Compact"/>
              <w:jc w:val="center"/>
            </w:pPr>
            <w:r>
              <w:rPr>
                <w:rFonts w:hint="eastAsia"/>
              </w:rPr>
              <w:t xml:space="preserve">毛利率</w:t>
            </w:r>
          </w:p>
        </w:tc>
        <w:tc>
          <w:tcPr/>
          <w:p>
            <w:pPr>
              <w:pStyle w:val="Compact"/>
              <w:jc w:val="center"/>
            </w:pPr>
            <w:r>
              <w:rPr>
                <w:rFonts w:hint="eastAsia"/>
              </w:rPr>
              <w:t xml:space="preserve">期末库存</w:t>
            </w:r>
          </w:p>
        </w:tc>
        <w:tc>
          <w:tcPr/>
          <w:p>
            <w:pPr>
              <w:pStyle w:val="Compact"/>
              <w:jc w:val="center"/>
            </w:pPr>
            <w:r>
              <w:rPr>
                <w:rFonts w:hint="eastAsia"/>
              </w:rPr>
              <w:t xml:space="preserve">延迟订单率</w:t>
            </w:r>
          </w:p>
        </w:tc>
      </w:tr>
      <w:tr>
        <w:tc>
          <w:tcPr/>
          <w:p>
            <w:pPr>
              <w:pStyle w:val="Compact"/>
              <w:jc w:val="left"/>
            </w:pPr>
            <w:r>
              <w:rPr>
                <w:rFonts w:hint="eastAsia"/>
              </w:rPr>
              <w:t xml:space="preserve">疲软市场</w:t>
            </w:r>
          </w:p>
        </w:tc>
        <w:tc>
          <w:tcPr/>
          <w:p>
            <w:pPr>
              <w:pStyle w:val="Compact"/>
              <w:jc w:val="left"/>
            </w:pPr>
            <w:r>
              <w:rPr>
                <w:rFonts w:hint="eastAsia"/>
              </w:rPr>
              <w:t xml:space="preserve">1.33亿美元</w:t>
            </w:r>
          </w:p>
        </w:tc>
        <w:tc>
          <w:tcPr/>
          <w:p>
            <w:pPr>
              <w:pStyle w:val="Compact"/>
              <w:jc w:val="center"/>
            </w:pPr>
            <w:r>
              <w:t xml:space="preserve">42.0%</w:t>
            </w:r>
          </w:p>
        </w:tc>
        <w:tc>
          <w:tcPr/>
          <w:p>
            <w:pPr>
              <w:pStyle w:val="Compact"/>
              <w:jc w:val="center"/>
            </w:pPr>
            <w:r>
              <w:rPr>
                <w:rFonts w:hint="eastAsia"/>
              </w:rPr>
              <w:t xml:space="preserve">1.12亿美元</w:t>
            </w:r>
          </w:p>
        </w:tc>
        <w:tc>
          <w:tcPr/>
          <w:p>
            <w:pPr>
              <w:pStyle w:val="Compact"/>
              <w:jc w:val="center"/>
            </w:pPr>
            <w:r>
              <w:t xml:space="preserve">10%</w:t>
            </w:r>
          </w:p>
        </w:tc>
      </w:tr>
      <w:tr>
        <w:tc>
          <w:tcPr/>
          <w:p>
            <w:pPr>
              <w:pStyle w:val="Compact"/>
              <w:jc w:val="left"/>
            </w:pPr>
            <w:r>
              <w:rPr>
                <w:rFonts w:hint="eastAsia"/>
              </w:rPr>
              <w:t xml:space="preserve">基准预测</w:t>
            </w:r>
          </w:p>
        </w:tc>
        <w:tc>
          <w:tcPr/>
          <w:p>
            <w:pPr>
              <w:pStyle w:val="Compact"/>
              <w:jc w:val="left"/>
            </w:pPr>
            <w:r>
              <w:rPr>
                <w:rFonts w:hint="eastAsia"/>
              </w:rPr>
              <w:t xml:space="preserve">1.51亿美元</w:t>
            </w:r>
          </w:p>
        </w:tc>
        <w:tc>
          <w:tcPr/>
          <w:p>
            <w:pPr>
              <w:pStyle w:val="Compact"/>
              <w:jc w:val="center"/>
            </w:pPr>
            <w:r>
              <w:t xml:space="preserve">43.5%</w:t>
            </w:r>
          </w:p>
        </w:tc>
        <w:tc>
          <w:tcPr/>
          <w:p>
            <w:pPr>
              <w:pStyle w:val="Compact"/>
              <w:jc w:val="center"/>
            </w:pPr>
            <w:r>
              <w:rPr>
                <w:rFonts w:hint="eastAsia"/>
              </w:rPr>
              <w:t xml:space="preserve">9,400万美元</w:t>
            </w:r>
          </w:p>
        </w:tc>
        <w:tc>
          <w:tcPr/>
          <w:p>
            <w:pPr>
              <w:pStyle w:val="Compact"/>
              <w:jc w:val="center"/>
            </w:pPr>
            <w:r>
              <w:t xml:space="preserve">13%</w:t>
            </w:r>
          </w:p>
        </w:tc>
      </w:tr>
      <w:tr>
        <w:tc>
          <w:tcPr/>
          <w:p>
            <w:pPr>
              <w:pStyle w:val="Compact"/>
              <w:jc w:val="left"/>
            </w:pPr>
            <w:r>
              <w:rPr>
                <w:rFonts w:hint="eastAsia"/>
              </w:rPr>
              <w:t xml:space="preserve">促销响应</w:t>
            </w:r>
          </w:p>
        </w:tc>
        <w:tc>
          <w:tcPr/>
          <w:p>
            <w:pPr>
              <w:pStyle w:val="Compact"/>
              <w:jc w:val="left"/>
            </w:pPr>
            <w:r>
              <w:rPr>
                <w:rFonts w:hint="eastAsia"/>
              </w:rPr>
              <w:t xml:space="preserve">1.69亿美元</w:t>
            </w:r>
          </w:p>
        </w:tc>
        <w:tc>
          <w:tcPr/>
          <w:p>
            <w:pPr>
              <w:pStyle w:val="Compact"/>
              <w:jc w:val="center"/>
            </w:pPr>
            <w:r>
              <w:t xml:space="preserve">40.8%</w:t>
            </w:r>
          </w:p>
        </w:tc>
        <w:tc>
          <w:tcPr/>
          <w:p>
            <w:pPr>
              <w:pStyle w:val="Compact"/>
              <w:jc w:val="center"/>
            </w:pPr>
            <w:r>
              <w:rPr>
                <w:rFonts w:hint="eastAsia"/>
              </w:rPr>
              <w:t xml:space="preserve">7,600万美元</w:t>
            </w:r>
          </w:p>
        </w:tc>
        <w:tc>
          <w:tcPr/>
          <w:p>
            <w:pPr>
              <w:pStyle w:val="Compact"/>
              <w:jc w:val="center"/>
            </w:pPr>
            <w:r>
              <w:t xml:space="preserve">21%</w:t>
            </w:r>
          </w:p>
        </w:tc>
      </w:tr>
      <w:tr>
        <w:tc>
          <w:tcPr/>
          <w:p>
            <w:pPr>
              <w:pStyle w:val="Compact"/>
              <w:jc w:val="left"/>
            </w:pPr>
            <w:r>
              <w:rPr>
                <w:rFonts w:hint="eastAsia"/>
              </w:rPr>
              <w:t xml:space="preserve">向Solace/Luma的风格转移</w:t>
            </w:r>
          </w:p>
        </w:tc>
        <w:tc>
          <w:tcPr/>
          <w:p>
            <w:pPr>
              <w:pStyle w:val="Compact"/>
              <w:jc w:val="left"/>
            </w:pPr>
            <w:r>
              <w:rPr>
                <w:rFonts w:hint="eastAsia"/>
              </w:rPr>
              <w:t xml:space="preserve">1.58亿美元</w:t>
            </w:r>
          </w:p>
        </w:tc>
        <w:tc>
          <w:tcPr/>
          <w:p>
            <w:pPr>
              <w:pStyle w:val="Compact"/>
              <w:jc w:val="center"/>
            </w:pPr>
            <w:r>
              <w:t xml:space="preserve">44.1%</w:t>
            </w:r>
          </w:p>
        </w:tc>
        <w:tc>
          <w:tcPr/>
          <w:p>
            <w:pPr>
              <w:pStyle w:val="Compact"/>
              <w:jc w:val="center"/>
            </w:pPr>
            <w:r>
              <w:rPr>
                <w:rFonts w:hint="eastAsia"/>
              </w:rPr>
              <w:t xml:space="preserve">1.01亿美元</w:t>
            </w:r>
          </w:p>
        </w:tc>
        <w:tc>
          <w:tcPr/>
          <w:p>
            <w:pPr>
              <w:pStyle w:val="Compact"/>
              <w:jc w:val="center"/>
            </w:pPr>
            <w:r>
              <w:rPr>
                <w:rFonts w:hint="eastAsia"/>
              </w:rPr>
              <w:t xml:space="preserve">受限产品线为27%</w:t>
            </w:r>
          </w:p>
        </w:tc>
      </w:tr>
      <w:tr>
        <w:tc>
          <w:tcPr/>
          <w:p>
            <w:pPr>
              <w:pStyle w:val="Compact"/>
              <w:jc w:val="left"/>
            </w:pPr>
            <w:r>
              <w:rPr>
                <w:rFonts w:hint="eastAsia"/>
              </w:rPr>
              <w:t xml:space="preserve">竞争对手价格战</w:t>
            </w:r>
          </w:p>
        </w:tc>
        <w:tc>
          <w:tcPr/>
          <w:p>
            <w:pPr>
              <w:pStyle w:val="Compact"/>
              <w:jc w:val="left"/>
            </w:pPr>
            <w:r>
              <w:rPr>
                <w:rFonts w:hint="eastAsia"/>
              </w:rPr>
              <w:t xml:space="preserve">1.62亿美元</w:t>
            </w:r>
          </w:p>
        </w:tc>
        <w:tc>
          <w:tcPr/>
          <w:p>
            <w:pPr>
              <w:pStyle w:val="Compact"/>
              <w:jc w:val="center"/>
            </w:pPr>
            <w:r>
              <w:t xml:space="preserve">38.9%</w:t>
            </w:r>
          </w:p>
        </w:tc>
        <w:tc>
          <w:tcPr/>
          <w:p>
            <w:pPr>
              <w:pStyle w:val="Compact"/>
              <w:jc w:val="center"/>
            </w:pPr>
            <w:r>
              <w:rPr>
                <w:rFonts w:hint="eastAsia"/>
              </w:rPr>
              <w:t xml:space="preserve">8,800万美元</w:t>
            </w:r>
          </w:p>
        </w:tc>
        <w:tc>
          <w:tcPr/>
          <w:p>
            <w:pPr>
              <w:pStyle w:val="Compact"/>
              <w:jc w:val="center"/>
            </w:pPr>
            <w:r>
              <w:t xml:space="preserve">15%</w:t>
            </w:r>
          </w:p>
        </w:tc>
      </w:tr>
    </w:tbl>
    <w:p>
      <w:pPr>
        <w:pStyle w:val="BodyText"/>
      </w:pPr>
      <w:r>
        <w:rPr>
          <w:rFonts w:hint="eastAsia"/>
        </w:rPr>
        <w:t xml:space="preserve">这些情景并非概率预测。它们是由财务、商品、供应链和营销部门共同构建的、内部逻辑自洽的叙述。每个部门都对其他部门的假设提出质疑。没有人知道一项折扣促销究竟能带来多少增量销售,顾客在心仪产品缺货时会如何替代选择,也没有人知道竞争对手会以多快的速度作出回应。</w:t>
      </w:r>
    </w:p>
    <w:bookmarkEnd w:id="20"/>
    <w:bookmarkEnd w:id="21"/>
    <w:bookmarkStart w:id="22" w:name="周五的截止期限"/>
    <w:p>
      <w:pPr>
        <w:pStyle w:val="Heading1"/>
      </w:pPr>
      <w:r>
        <w:rPr>
          <w:rFonts w:hint="eastAsia"/>
        </w:rPr>
        <w:t xml:space="preserve">周五的截止期限</w:t>
      </w:r>
    </w:p>
    <w:p>
      <w:pPr>
        <w:pStyle w:val="FirstParagraph"/>
      </w:pPr>
      <w:r>
        <w:rPr>
          <w:rFonts w:hint="eastAsia"/>
        </w:rPr>
        <w:t xml:space="preserve">到周五之前,马尔克斯必须提出如何分配这680万美元预算的建议,明确应重点推广哪些产品和市场,是否授权推出全国性成套家具套装折扣,以及炉光家居在活动前及活动期间应收集哪些信息。首席执行官还希望得到一份清单,列明在营销季期间管理层应据以调整方向的各项条件。</w:t>
      </w:r>
    </w:p>
    <w:p>
      <w:pPr>
        <w:pStyle w:val="BodyText"/>
      </w:pPr>
      <w:r>
        <w:rPr>
          <w:rFonts w:hint="eastAsia"/>
        </w:rPr>
        <w:t xml:space="preserve">看着这些仪表盘,马尔克斯不禁思考,炉光家居真正的问题究竟是需求疲软、品类组合错误、执行不力、交付承诺周期过长、顾客引导不足,还是公司无法解读自己已经掌握的信号。每一种解释都指向不同的行动方案。而每一种行动方案,又都可能改变用来评估该方案本身的证据。</w:t>
      </w:r>
    </w:p>
    <w:bookmarkEnd w:id="22"/>
    <w:bookmarkStart w:id="23" w:name="讨论问题"/>
    <w:p>
      <w:pPr>
        <w:pStyle w:val="Heading1"/>
      </w:pPr>
      <w:r>
        <w:rPr>
          <w:rFonts w:hint="eastAsia"/>
        </w:rPr>
        <w:t xml:space="preserve">讨论问题</w:t>
      </w:r>
    </w:p>
    <w:p>
      <w:pPr>
        <w:numPr>
          <w:ilvl w:val="0"/>
          <w:numId w:val="1001"/>
        </w:numPr>
      </w:pPr>
      <w:r>
        <w:rPr>
          <w:rFonts w:hint="eastAsia"/>
        </w:rPr>
        <w:t xml:space="preserve">马尔克斯所面临的核心商业问题是什么?哪些症状可能是结果而非原因?</w:t>
      </w:r>
    </w:p>
    <w:p>
      <w:pPr>
        <w:numPr>
          <w:ilvl w:val="0"/>
          <w:numId w:val="1001"/>
        </w:numPr>
      </w:pPr>
      <w:r>
        <w:rPr>
          <w:rFonts w:hint="eastAsia"/>
        </w:rPr>
        <w:t xml:space="preserve">当最受欢迎的产品可能面临供应约束时,炉光家居应如何决定重点推广哪些产品?</w:t>
      </w:r>
    </w:p>
    <w:p>
      <w:pPr>
        <w:numPr>
          <w:ilvl w:val="0"/>
          <w:numId w:val="1001"/>
        </w:numPr>
      </w:pPr>
      <w:r>
        <w:rPr>
          <w:rFonts w:hint="eastAsia"/>
        </w:rPr>
        <w:t xml:space="preserve">成套家具套装折扣应在全国范围内推出、在区域范围内测试、重新设计,还是予以否决?</w:t>
      </w:r>
    </w:p>
    <w:p>
      <w:pPr>
        <w:numPr>
          <w:ilvl w:val="0"/>
          <w:numId w:val="1001"/>
        </w:numPr>
      </w:pPr>
      <w:r>
        <w:rPr>
          <w:rFonts w:hint="eastAsia"/>
        </w:rPr>
        <w:t xml:space="preserve">公司应如何将680万美元分配到媒体投放、折扣促销、网站实验、市场调研和门店人员配置之间?</w:t>
      </w:r>
    </w:p>
    <w:p>
      <w:pPr>
        <w:numPr>
          <w:ilvl w:val="0"/>
          <w:numId w:val="1001"/>
        </w:numPr>
      </w:pPr>
      <w:r>
        <w:rPr>
          <w:rFonts w:hint="eastAsia"/>
        </w:rPr>
        <w:t xml:space="preserve">什么样的证据能够区分出问题究竟出在广告、定价、品类组合、配送,还是人员配置上?</w:t>
      </w:r>
    </w:p>
    <w:p>
      <w:pPr>
        <w:numPr>
          <w:ilvl w:val="0"/>
          <w:numId w:val="1001"/>
        </w:numPr>
      </w:pPr>
      <w:r>
        <w:rPr>
          <w:rFonts w:hint="eastAsia"/>
        </w:rPr>
        <w:t xml:space="preserve">炉光家居应尝试影响哪些顾客行为?又有哪些行为可能因成本过高或难以预测而不宜管理?</w:t>
      </w:r>
    </w:p>
    <w:p>
      <w:pPr>
        <w:numPr>
          <w:ilvl w:val="0"/>
          <w:numId w:val="1001"/>
        </w:numPr>
      </w:pPr>
      <w:r>
        <w:rPr>
          <w:rFonts w:hint="eastAsia"/>
        </w:rPr>
        <w:t xml:space="preserve">当顾客在不同渠道之间转移时,应如何评估线上和线下门店的活动表现?</w:t>
      </w:r>
    </w:p>
    <w:p>
      <w:pPr>
        <w:numPr>
          <w:ilvl w:val="0"/>
          <w:numId w:val="1001"/>
        </w:numPr>
      </w:pPr>
      <w:r>
        <w:rPr>
          <w:rFonts w:hint="eastAsia"/>
        </w:rPr>
        <w:t xml:space="preserve">在假日季结束之前,哪些实验能够产生最有价值的信息?</w:t>
      </w:r>
    </w:p>
    <w:p>
      <w:pPr>
        <w:numPr>
          <w:ilvl w:val="0"/>
          <w:numId w:val="1001"/>
        </w:numPr>
      </w:pPr>
      <w:r>
        <w:rPr>
          <w:rFonts w:hint="eastAsia"/>
        </w:rPr>
        <w:t xml:space="preserve">在营销活动期间,应设定哪些运营触发条件,以促使管理层调整定价、广告、品类组合或人员配置?</w:t>
      </w:r>
    </w:p>
    <w:p>
      <w:pPr>
        <w:numPr>
          <w:ilvl w:val="0"/>
          <w:numId w:val="1001"/>
        </w:numPr>
      </w:pPr>
      <w:r>
        <w:rPr>
          <w:rFonts w:hint="eastAsia"/>
        </w:rPr>
        <w:t xml:space="preserve">如果销售额、利润率、库存和服务水平以及学习成果各自指向不同的方向,什么样的结果才算是成功?</w:t>
      </w:r>
    </w:p>
    <w:bookmarkEnd w:id="23"/>
    <w:bookmarkStart w:id="29" w:name="决策框架问题"/>
    <w:p>
      <w:pPr>
        <w:pStyle w:val="Heading1"/>
      </w:pPr>
      <w:r>
        <w:rPr>
          <w:rFonts w:hint="eastAsia"/>
        </w:rPr>
        <w:t xml:space="preserve">决策框架问题</w:t>
      </w:r>
    </w:p>
    <w:p>
      <w:pPr>
        <w:numPr>
          <w:ilvl w:val="0"/>
          <w:numId w:val="1002"/>
        </w:numPr>
      </w:pPr>
      <w:r>
        <w:rPr>
          <w:rFonts w:hint="eastAsia"/>
        </w:rPr>
        <w:t xml:space="preserve">识别并描述决策者的职责范围。这应当界定问题的边界。</w:t>
      </w:r>
    </w:p>
    <w:p>
      <w:pPr>
        <w:numPr>
          <w:ilvl w:val="0"/>
          <w:numId w:val="1002"/>
        </w:numPr>
      </w:pPr>
      <w:r>
        <w:rPr>
          <w:rFonts w:hint="eastAsia"/>
        </w:rPr>
        <w:t xml:space="preserve">使用</w:t>
      </w:r>
      <w:hyperlink r:id="rId24">
        <w:r>
          <w:rPr>
            <w:rStyle w:val="Hyperlink"/>
            <w:rFonts w:hint="eastAsia"/>
          </w:rPr>
          <w:t xml:space="preserve">指标金字塔工具</w:t>
        </w:r>
      </w:hyperlink>
      <w:r>
        <w:rPr>
          <w:rFonts w:hint="eastAsia"/>
        </w:rPr>
        <w:t xml:space="preserve">来识别并排列不同绩效指标的优先级。点击承载指标的椭圆形图标,以标明该指标应最大化(绿色)、最小化(红色)、作为下限的目标值(浅绿色)、作为上限的目标值(浅红色),或作为目标值(紫色)。</w:t>
      </w:r>
    </w:p>
    <w:p>
      <w:pPr>
        <w:numPr>
          <w:ilvl w:val="0"/>
          <w:numId w:val="1002"/>
        </w:numPr>
      </w:pPr>
      <w:r>
        <w:rPr>
          <w:rFonts w:hint="eastAsia"/>
        </w:rPr>
        <w:t xml:space="preserve">使用</w:t>
      </w:r>
      <w:hyperlink r:id="rId25">
        <w:r>
          <w:rPr>
            <w:rStyle w:val="Hyperlink"/>
            <w:rFonts w:hint="eastAsia"/>
          </w:rPr>
          <w:t xml:space="preserve">决策优先级工具</w:t>
        </w:r>
      </w:hyperlink>
      <w:r>
        <w:rPr>
          <w:rFonts w:hint="eastAsia"/>
        </w:rPr>
        <w:t xml:space="preserve">,首先列出不同类型的决策(可参考</w:t>
      </w:r>
      <w:hyperlink r:id="rId26">
        <w:r>
          <w:rPr>
            <w:rStyle w:val="Hyperlink"/>
            <w:rFonts w:hint="eastAsia"/>
          </w:rPr>
          <w:t xml:space="preserve">决策类型</w:t>
        </w:r>
      </w:hyperlink>
      <w:r>
        <w:rPr>
          <w:rFonts w:hint="eastAsia"/>
        </w:rPr>
        <w:t xml:space="preserve">作为指导)。这些决策类型将构成右侧矩阵的各行,而矩阵的各列则是按照上方金字塔中的优先级从左到右排列的绩效指标。点击每个单元格,以标明该决策对各项指标的影响程度是高(红色)、中(橙色)、低(黄色)还是无影响(白色)。</w:t>
      </w:r>
    </w:p>
    <w:p>
      <w:pPr>
        <w:numPr>
          <w:ilvl w:val="0"/>
          <w:numId w:val="1002"/>
        </w:numPr>
      </w:pPr>
      <w:r>
        <w:rPr>
          <w:rFonts w:hint="eastAsia"/>
        </w:rPr>
        <w:t xml:space="preserve">你可以抓取每行最左侧的把手(三条横杠)上下移动该行。对各行进行排序,使得对最重要指标影响最大的决策位于顶部。左上角的单元格中应集中最多的红色和橙色单元格。据此,确定在你的研究中应给予最多关注的决策。如果没有任何决策对最重要的指标具有中等或高等影响,请重新审视你的决策清单。</w:t>
      </w:r>
    </w:p>
    <w:p>
      <w:pPr>
        <w:numPr>
          <w:ilvl w:val="0"/>
          <w:numId w:val="1002"/>
        </w:numPr>
      </w:pPr>
      <w:r>
        <w:rPr>
          <w:rFonts w:hint="eastAsia"/>
        </w:rPr>
        <w:t xml:space="preserve">使用</w:t>
      </w:r>
      <w:hyperlink r:id="rId27">
        <w:r>
          <w:rPr>
            <w:rStyle w:val="Hyperlink"/>
            <w:rFonts w:hint="eastAsia"/>
          </w:rPr>
          <w:t xml:space="preserve">不确定性优先级工具</w:t>
        </w:r>
      </w:hyperlink>
      <w:r>
        <w:rPr>
          <w:rFonts w:hint="eastAsia"/>
        </w:rPr>
        <w:t xml:space="preserve">,重复上述过程以列出并排列不确定性因素的优先级。使用</w:t>
      </w:r>
      <w:hyperlink r:id="rId28">
        <w:r>
          <w:rPr>
            <w:rStyle w:val="Hyperlink"/>
            <w:rFonts w:hint="eastAsia"/>
          </w:rPr>
          <w:t xml:space="preserve">不确定性类别</w:t>
        </w:r>
      </w:hyperlink>
      <w:r>
        <w:rPr>
          <w:rFonts w:hint="eastAsia"/>
        </w:rPr>
        <w:t xml:space="preserve">来帮助识别这些因素。</w:t>
      </w:r>
    </w:p>
    <w:p>
      <w:pPr>
        <w:numPr>
          <w:ilvl w:val="0"/>
          <w:numId w:val="1002"/>
        </w:numPr>
      </w:pPr>
      <w:r>
        <w:rPr>
          <w:rFonts w:hint="eastAsia"/>
        </w:rPr>
        <w:t xml:space="preserve">区分那些可以通过长期平均表现来评估的不确定性,与那些属于风险事件形式的不确定性,这一点十分重要:</w:t>
      </w:r>
    </w:p>
    <w:p>
      <w:pPr>
        <w:numPr>
          <w:ilvl w:val="1"/>
          <w:numId w:val="1003"/>
        </w:numPr>
      </w:pPr>
      <w:r>
        <w:rPr>
          <w:rFonts w:hint="eastAsia"/>
        </w:rPr>
        <w:t xml:space="preserve">哪些不确定性来源可以通过一段时间内的平均绩效来体现?</w:t>
      </w:r>
    </w:p>
    <w:p>
      <w:pPr>
        <w:numPr>
          <w:ilvl w:val="1"/>
          <w:numId w:val="1003"/>
        </w:numPr>
      </w:pPr>
      <w:r>
        <w:rPr>
          <w:rFonts w:hint="eastAsia"/>
        </w:rPr>
        <w:t xml:space="preserve">哪些不确定性来源代表了无法通过平均值恰当反映的风险形式?</w:t>
      </w:r>
    </w:p>
    <w:p>
      <w:pPr>
        <w:numPr>
          <w:ilvl w:val="0"/>
          <w:numId w:val="1002"/>
        </w:numPr>
      </w:pPr>
      <w:r>
        <w:rPr>
          <w:rFonts w:hint="eastAsia"/>
        </w:rPr>
        <w:t xml:space="preserve">选出对最重要指标似乎具有最高影响的单一决策。</w:t>
      </w:r>
    </w:p>
    <w:p>
      <w:pPr>
        <w:numPr>
          <w:ilvl w:val="1"/>
          <w:numId w:val="1004"/>
        </w:numPr>
      </w:pPr>
      <w:r>
        <w:rPr>
          <w:rFonts w:hint="eastAsia"/>
        </w:rPr>
        <w:t xml:space="preserve">你认为应采用什么方法来做出这项决策?</w:t>
      </w:r>
    </w:p>
    <w:p>
      <w:pPr>
        <w:numPr>
          <w:ilvl w:val="1"/>
          <w:numId w:val="1004"/>
        </w:numPr>
      </w:pPr>
      <w:r>
        <w:rPr>
          <w:rFonts w:hint="eastAsia"/>
        </w:rPr>
        <w:t xml:space="preserve">做出这项决策似乎需要哪些数据,包括对该决策具有高或中等影响的任何绩效指标的计算所需数据。</w:t>
      </w:r>
    </w:p>
    <w:p>
      <w:pPr>
        <w:numPr>
          <w:ilvl w:val="0"/>
          <w:numId w:val="1002"/>
        </w:numPr>
      </w:pPr>
      <w:r>
        <w:rPr>
          <w:rFonts w:hint="eastAsia"/>
        </w:rPr>
        <w:t xml:space="preserve">针对(7)中确定的同一决策,识别出你在实施该决策时需要合作的人员、部门、团队或组织。</w:t>
      </w:r>
    </w:p>
    <w:bookmarkEnd w:id="29"/>
    <w:bookmarkStart w:id="30" w:name="资料来源说明"/>
    <w:p>
      <w:pPr>
        <w:pStyle w:val="Heading1"/>
      </w:pPr>
      <w:r>
        <w:rPr>
          <w:rFonts w:hint="eastAsia"/>
        </w:rPr>
        <w:t xml:space="preserve">资料来源说明</w:t>
      </w:r>
    </w:p>
    <w:p>
      <w:pPr>
        <w:pStyle w:val="FirstParagraph"/>
      </w:pPr>
      <w:r>
        <w:rPr>
          <w:rFonts w:hint="eastAsia"/>
        </w:rPr>
        <w:t xml:space="preserve">本案例的概念基础来自Warren</w:t>
      </w:r>
      <w:r>
        <w:t xml:space="preserve"> B. </w:t>
      </w:r>
      <w:r>
        <w:rPr>
          <w:rFonts w:hint="eastAsia"/>
        </w:rPr>
        <w:t xml:space="preserve">Powell所著《Bridging</w:t>
      </w:r>
      <w:r>
        <w:t xml:space="preserve"> Decision Problems, Volume I: Framing the </w:t>
      </w:r>
      <w:r>
        <w:rPr>
          <w:rFonts w:hint="eastAsia"/>
        </w:rPr>
        <w:t xml:space="preserve">Problem》第2章中的”需求管理——家具销售”一节。本案例将该节的理念融入叙述和图表之中,并未单独对指标、决策或不确定性的类别加以标注。</w:t>
      </w:r>
    </w:p>
    <w:p>
      <w:pPr>
        <w:pStyle w:val="BodyText"/>
      </w:pPr>
      <w:r>
        <w:rPr>
          <w:rFonts w:hint="eastAsia"/>
        </w:rPr>
        <w:t xml:space="preserve">用于铺垫情境背景的公开数据来源包括:美国人口普查局,《月度州零售销售报告》,2025年12月(家具及家居用品商店销售额较2024年12月下降5.5%);美国人口普查局与美国住房和城市发展部,《新建住宅销售报告》,2025年12月(2025年新建独栋住宅销售量约为679,000套);以及美国人口普查局,《季度零售电子商务销售报告》,2026年第一季度(估计电子商务销售额为3,267亿美元)。炉光家居的所有财务、运营、营销及顾客数据均属虚构。</w:t>
      </w:r>
    </w:p>
    <w:bookmarkEnd w:id="30"/>
    <w:bookmarkStart w:id="33" w:name="chatgpt笔记"/>
    <w:p>
      <w:pPr>
        <w:pStyle w:val="Heading1"/>
      </w:pPr>
      <w:r>
        <w:rPr>
          <w:rFonts w:hint="eastAsia"/>
        </w:rPr>
        <w:t xml:space="preserve">ChatGPT笔记</w:t>
      </w:r>
    </w:p>
    <w:bookmarkStart w:id="31" w:name="提示词"/>
    <w:p>
      <w:pPr>
        <w:pStyle w:val="Heading2"/>
      </w:pPr>
      <w:r>
        <w:rPr>
          <w:rFonts w:hint="eastAsia"/>
        </w:rPr>
        <w:t xml:space="preserve">提示词</w:t>
      </w:r>
    </w:p>
    <w:p>
      <w:pPr>
        <w:pStyle w:val="FirstParagraph"/>
      </w:pPr>
      <w:r>
        <w:rPr>
          <w:rFonts w:hint="eastAsia"/>
        </w:rPr>
        <w:t xml:space="preserve">请根据</w:t>
      </w:r>
      <w:r>
        <w:t xml:space="preserve"> https://warrenpowell.org/bridging-vol1/chapter-2/#demandmanagementfurniture </w:t>
      </w:r>
      <w:r>
        <w:rPr>
          <w:rFonts w:hint="eastAsia"/>
        </w:rPr>
        <w:t xml:space="preserve">该节中的材料,撰写一篇4至6页的案例研究。请基于该节中的指标、决策和不确定性构建情境,但不要明确指出这些内容。请使用数据为你的案例问题提供背景支撑。</w:t>
      </w:r>
    </w:p>
    <w:bookmarkEnd w:id="31"/>
    <w:bookmarkStart w:id="32" w:name="摘要"/>
    <w:p>
      <w:pPr>
        <w:pStyle w:val="Heading2"/>
      </w:pPr>
      <w:r>
        <w:rPr>
          <w:rFonts w:hint="eastAsia"/>
        </w:rPr>
        <w:t xml:space="preserve">摘要</w:t>
      </w:r>
    </w:p>
    <w:p>
      <w:pPr>
        <w:pStyle w:val="FirstParagraph"/>
      </w:pPr>
      <w:r>
        <w:rPr>
          <w:rFonts w:hint="eastAsia"/>
        </w:rPr>
        <w:t xml:space="preserve">本案例遵循家具需求管理一节的概念结构,但并未明确标注其背后的类别体系。案例将一家虚构的区域性家具零售商置于假日季来临前的几个月之中,面临以下方面的决策:</w:t>
      </w:r>
    </w:p>
    <w:p>
      <w:pPr>
        <w:numPr>
          <w:ilvl w:val="0"/>
          <w:numId w:val="1005"/>
        </w:numPr>
      </w:pPr>
      <w:r>
        <w:rPr>
          <w:rFonts w:hint="eastAsia"/>
        </w:rPr>
        <w:t xml:space="preserve">产品品类组合与区域备货</w:t>
      </w:r>
    </w:p>
    <w:p>
      <w:pPr>
        <w:numPr>
          <w:ilvl w:val="0"/>
          <w:numId w:val="1005"/>
        </w:numPr>
      </w:pPr>
      <w:r>
        <w:rPr>
          <w:rFonts w:hint="eastAsia"/>
        </w:rPr>
        <w:t xml:space="preserve">定价、套装组合与促销折扣</w:t>
      </w:r>
    </w:p>
    <w:p>
      <w:pPr>
        <w:numPr>
          <w:ilvl w:val="0"/>
          <w:numId w:val="1005"/>
        </w:numPr>
      </w:pPr>
      <w:r>
        <w:rPr>
          <w:rFonts w:hint="eastAsia"/>
        </w:rPr>
        <w:t xml:space="preserve">付费搜索、社交媒体、电视、直邮及网红合作</w:t>
      </w:r>
    </w:p>
    <w:p>
      <w:pPr>
        <w:numPr>
          <w:ilvl w:val="0"/>
          <w:numId w:val="1005"/>
        </w:numPr>
      </w:pPr>
      <w:r>
        <w:rPr>
          <w:rFonts w:hint="eastAsia"/>
        </w:rPr>
        <w:t xml:space="preserve">网站实验与顾客调研</w:t>
      </w:r>
    </w:p>
    <w:p>
      <w:pPr>
        <w:numPr>
          <w:ilvl w:val="0"/>
          <w:numId w:val="1005"/>
        </w:numPr>
      </w:pPr>
      <w:r>
        <w:rPr>
          <w:rFonts w:hint="eastAsia"/>
        </w:rPr>
        <w:t xml:space="preserve">门店人员配置与本地管理自主权</w:t>
      </w:r>
    </w:p>
    <w:p>
      <w:pPr>
        <w:numPr>
          <w:ilvl w:val="0"/>
          <w:numId w:val="1005"/>
        </w:numPr>
      </w:pPr>
      <w:r>
        <w:rPr>
          <w:rFonts w:hint="eastAsia"/>
        </w:rPr>
        <w:t xml:space="preserve">需求刺激与受限产品供应之间的协调</w:t>
      </w:r>
    </w:p>
    <w:p>
      <w:pPr>
        <w:pStyle w:val="FirstParagraph"/>
      </w:pPr>
      <w:r>
        <w:rPr>
          <w:rFonts w:hint="eastAsia"/>
        </w:rPr>
        <w:t xml:space="preserve">本案例包含五张定量图表、相互对立的管理层观点、三种宽泛的战略方案,以及十个讨论问题。案例有意不解答该公司的首要问题究竟是需求疲软、品类组合错误、定价、广告效果、配送延迟、人员配置,还是对顾客数据的解读方式。</w:t>
      </w:r>
    </w:p>
    <w:p>
      <w:pPr>
        <w:pStyle w:val="BodyText"/>
      </w:pPr>
      <w:r>
        <w:rPr>
          <w:rFonts w:hint="eastAsia"/>
        </w:rPr>
        <w:t xml:space="preserve">案例的市场背景以人口普查数据为依据:数据显示2025年12月家具及家居用品商店销售额较上年同期下降5.5%,2025年全年新建独栋住宅销售量约为679,000套,2026年第一季度美国零售电子商务销售额估计达3,267亿美元。案例框架取材自《Bridging</w:t>
      </w:r>
      <w:r>
        <w:t xml:space="preserve"> Decision Problems, Volume </w:t>
      </w:r>
      <w:r>
        <w:rPr>
          <w:rFonts w:hint="eastAsia"/>
        </w:rPr>
        <w:t xml:space="preserve">I》中指定的需求管理一节。</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2026-09-11T17:12:48Z</dcterms:created>
  <dcterms:modified xsi:type="dcterms:W3CDTF">2026-09-11T17:12:48Z</dcterms:modified>
</cp:coreProperties>
</file>

<file path=docProps/custom.xml><?xml version="1.0" encoding="utf-8"?>
<Properties xmlns="http://schemas.openxmlformats.org/officeDocument/2006/custom-properties" xmlns:vt="http://schemas.openxmlformats.org/officeDocument/2006/docPropsVTypes"/>
</file>