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湖畔医疗集团</w:t>
      </w:r>
    </w:p>
    <w:p>
      <w:pPr>
        <w:pStyle w:val="BodyText"/>
      </w:pPr>
      <w:r>
        <w:rPr>
          <w:rFonts w:hint="eastAsia"/>
        </w:rPr>
        <w:t xml:space="preserve">未来九十天</w:t>
      </w:r>
    </w:p>
    <w:p>
      <w:pPr>
        <w:pStyle w:val="BodyText"/>
      </w:pPr>
      <w:r>
        <w:rPr>
          <w:rFonts w:hint="eastAsia"/>
          <w:i/>
          <w:iCs/>
        </w:rPr>
        <w:t xml:space="preserve">一个关于在临床反应、日常行为、技术与可负担性难以分割的情况下管理2型糖尿病的商业案例</w:t>
      </w:r>
    </w:p>
    <w:p>
      <w:pPr>
        <w:pStyle w:val="BodyText"/>
      </w:pPr>
      <w:r>
        <w:rPr>
          <w:rFonts w:hint="eastAsia"/>
        </w:rPr>
        <w:t xml:space="preserve">本案例为虚构内容，旨在用于教学讨论。姓名、事件、组织和运营数据均为虚构，但行业背景参考了公开资料来源。</w:t>
      </w:r>
    </w:p>
    <w:tbl>
      <w:tblPr>
        <w:tblStyle w:val="Table"/>
        <w:tblW w:type="auto" w:w="0"/>
        <w:tblLook w:firstRow="0" w:lastRow="0" w:firstColumn="0" w:lastColumn="0" w:noHBand="0" w:noVBand="0" w:val="0000"/>
      </w:tblPr>
      <w:tblGrid>
        <w:gridCol w:w="7920"/>
      </w:tblGrid>
      <w:tr>
        <w:tc>
          <w:tcPr/>
          <w:p>
            <w:pPr>
              <w:pStyle w:val="Compact"/>
              <w:jc w:val="left"/>
            </w:pPr>
            <w:r>
              <w:rPr>
                <w:rFonts w:hint="eastAsia"/>
              </w:rPr>
              <w:t xml:space="preserve">2026年10月，一个初级保健团队必须决定如何重新设计一名患者的治疗方案——尽管经过反复就诊、药物调整和大量咨询，该患者的血糖仍然控制不佳。下一步措施可能改善他的长期健康状况——也可能增加他可能无法承受的成本和复杂性。</w:t>
            </w:r>
          </w:p>
        </w:tc>
      </w:tr>
    </w:tbl>
    <w:p>
      <w:r>
        <w:pict>
          <v:rect style="width:0;height:1.5pt" o:hralign="center" o:hrstd="t" o:hr="t"/>
        </w:pict>
      </w:r>
    </w:p>
    <w:p>
      <w:pPr>
        <w:pStyle w:val="FirstParagraph"/>
      </w:pPr>
      <w:r>
        <w:rPr>
          <w:rFonts w:hint="eastAsia"/>
        </w:rPr>
        <w:t xml:space="preserve">本案例为虚构内容，旨在用于教学讨论，而非医疗指导。姓名、事件和内部数据均为本案例创作而成。公开统计数据在来源说明中列出。</w:t>
      </w:r>
    </w:p>
    <w:bookmarkStart w:id="9" w:name="周二的预约"/>
    <w:p>
      <w:pPr>
        <w:pStyle w:val="Heading1"/>
      </w:pPr>
      <w:r>
        <w:rPr>
          <w:rFonts w:hint="eastAsia"/>
        </w:rPr>
        <w:t xml:space="preserve">周二的预约</w:t>
      </w:r>
    </w:p>
    <w:p>
      <w:pPr>
        <w:pStyle w:val="FirstParagraph"/>
      </w:pPr>
      <w:r>
        <w:rPr>
          <w:rFonts w:hint="eastAsia"/>
        </w:rPr>
        <w:t xml:space="preserve">周二早上7点35分，第一位预约患者到来之前，埃琳娜·帕克医生打开了马库斯·里德的病历，地点是湖畔医疗集团的北门诊所。里德58岁，从事轮班维护主管工作，已患2型糖尿病九年。他最近的糖化血红蛋白（A1c）为9.2%——高于六个月前的水平，也远高于其护理团队与他讨论过的个体化目标。</w:t>
      </w:r>
    </w:p>
    <w:p>
      <w:pPr>
        <w:pStyle w:val="BodyText"/>
      </w:pPr>
      <w:r>
        <w:rPr>
          <w:rFonts w:hint="eastAsia"/>
        </w:rPr>
        <w:t xml:space="preserve">这个数字并未揭示出问题所在。里德因反复出现胃肠道症状而停用了二甲双胍。他大多数日子会服用第二种口服药物，但在轮班变化时并不总能坚持服用。他在春季减重八磅，在一个加班频繁的夏天又增重五磅，并因照顾母亲而错过了两次预约。一次短期的连续血糖监测试验显示，在深夜进餐后血糖会急剧升高，但也出现了两次夜间读数低到令诊所药剂师担忧的程度。</w:t>
      </w:r>
    </w:p>
    <w:p>
      <w:pPr>
        <w:pStyle w:val="BodyText"/>
      </w:pPr>
      <w:r>
        <w:rPr>
          <w:rFonts w:hint="eastAsia"/>
        </w:rPr>
        <w:t xml:space="preserve">帕克安排了一次30分钟的病例讨论会，参与者包括一名临床药剂师、一名糖尿病教育者、一名护士护理经理和一名财务顾问。团队必须为接下来的九十天提出一个方案建议。备选方案包括调整药物、增加注射类疗法、开具更长期的血糖监测、加强营养与运动支持、安排更频繁的联系，或简化方案。每种方案都会给里德和诊所带来不同的成本与负担。没有任何方案能保证最终方案会被遵循——也无法保证他的身体会如预期般作出反应。</w:t>
      </w:r>
    </w:p>
    <w:bookmarkEnd w:id="9"/>
    <w:bookmarkStart w:id="11" w:name="一种庞大且昂贵的疾病"/>
    <w:p>
      <w:pPr>
        <w:pStyle w:val="Heading1"/>
      </w:pPr>
      <w:r>
        <w:rPr>
          <w:rFonts w:hint="eastAsia"/>
        </w:rPr>
        <w:t xml:space="preserve">一种庞大且昂贵的疾病</w:t>
      </w:r>
    </w:p>
    <w:p>
      <w:pPr>
        <w:pStyle w:val="FirstParagraph"/>
      </w:pPr>
      <w:r>
        <w:rPr>
          <w:rFonts w:hint="eastAsia"/>
        </w:rPr>
        <w:t xml:space="preserve">里德的情况足够普遍，构成了一个全国性问题，但又足够个人化，难以用标准化方案解决。美国疾病控制与预防中心（CDC）估计，2023年美国有4010万人被诊断出或未被诊断出患有糖尿病，约占总人口的12%。2型糖尿病约占已确诊病例的90%至95%。据估计，超过四分之一的糖尿病成人患者并不知道自己患病。</w:t>
      </w:r>
    </w:p>
    <w:p>
      <w:pPr>
        <w:pStyle w:val="BodyText"/>
      </w:pPr>
      <w:r>
        <w:rPr>
          <w:rFonts w:hint="eastAsia"/>
        </w:rPr>
        <w:t xml:space="preserve">财务负担同样巨大。联邦估计数据显示，糖尿病每年通过直接医疗支出和生产力下降造成的总成本高达数千亿美元。糖尿病患者的医疗成本是非糖尿病患者的两倍多。然而，许多最严重的后果——肾衰竭、心血管疾病、视力丧失、神经病变和下肢截肢——是经年累月发展而来的，而患者与临床医生却是每天都要做出选择。</w:t>
      </w:r>
    </w:p>
    <w:bookmarkStart w:id="10" w:name="附表1.-马库斯里德当前临床与个人状况概览"/>
    <w:p>
      <w:pPr>
        <w:pStyle w:val="Heading2"/>
      </w:pPr>
      <w:r>
        <w:rPr>
          <w:rFonts w:hint="eastAsia"/>
        </w:rPr>
        <w:t xml:space="preserve">附表1.</w:t>
      </w:r>
      <w:r>
        <w:t xml:space="preserve"> </w:t>
      </w:r>
      <w:r>
        <w:rPr>
          <w:rFonts w:hint="eastAsia"/>
        </w:rPr>
        <w:t xml:space="preserve">马库斯·里德：当前临床与个人状况概览</w:t>
      </w:r>
    </w:p>
    <w:tbl>
      <w:tblPr>
        <w:tblStyle w:val="Table"/>
        <w:tblW w:type="pct" w:w="4900"/>
        <w:tblLayout w:type="fixed"/>
        <w:tblLook w:firstRow="1" w:lastRow="0" w:firstColumn="0" w:lastColumn="0" w:noHBand="0" w:noVBand="0" w:val="0020"/>
      </w:tblPr>
      <w:tblGrid>
        <w:gridCol w:w="2296"/>
        <w:gridCol w:w="3009"/>
        <w:gridCol w:w="2455"/>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当前信息</w:t>
            </w:r>
          </w:p>
        </w:tc>
        <w:tc>
          <w:tcPr/>
          <w:p>
            <w:pPr>
              <w:pStyle w:val="Compact"/>
              <w:jc w:val="center"/>
            </w:pPr>
            <w:r>
              <w:rPr>
                <w:rFonts w:hint="eastAsia"/>
              </w:rPr>
              <w:t xml:space="preserve">既往/参考值</w:t>
            </w:r>
          </w:p>
        </w:tc>
      </w:tr>
      <w:tr>
        <w:tc>
          <w:tcPr/>
          <w:p>
            <w:pPr>
              <w:pStyle w:val="Compact"/>
              <w:jc w:val="left"/>
            </w:pPr>
            <w:r>
              <w:rPr>
                <w:rFonts w:hint="eastAsia"/>
              </w:rPr>
              <w:t xml:space="preserve">糖化血红蛋白（A1c）</w:t>
            </w:r>
          </w:p>
        </w:tc>
        <w:tc>
          <w:tcPr/>
          <w:p>
            <w:pPr>
              <w:pStyle w:val="Compact"/>
              <w:jc w:val="center"/>
            </w:pPr>
            <w:r>
              <w:t xml:space="preserve">9.2%</w:t>
            </w:r>
          </w:p>
        </w:tc>
        <w:tc>
          <w:tcPr/>
          <w:p>
            <w:pPr>
              <w:pStyle w:val="Compact"/>
              <w:jc w:val="center"/>
            </w:pPr>
            <w:r>
              <w:rPr>
                <w:rFonts w:hint="eastAsia"/>
              </w:rPr>
              <w:t xml:space="preserve">六个月前为8.4%</w:t>
            </w:r>
          </w:p>
        </w:tc>
      </w:tr>
      <w:tr>
        <w:tc>
          <w:tcPr/>
          <w:p>
            <w:pPr>
              <w:pStyle w:val="Compact"/>
              <w:jc w:val="left"/>
            </w:pPr>
            <w:r>
              <w:rPr>
                <w:rFonts w:hint="eastAsia"/>
              </w:rPr>
              <w:t xml:space="preserve">空腹实验室血糖</w:t>
            </w:r>
          </w:p>
        </w:tc>
        <w:tc>
          <w:tcPr/>
          <w:p>
            <w:pPr>
              <w:pStyle w:val="Compact"/>
              <w:jc w:val="center"/>
            </w:pPr>
            <w:r>
              <w:t xml:space="preserve">186 mg/dL</w:t>
            </w:r>
          </w:p>
        </w:tc>
        <w:tc>
          <w:tcPr/>
          <w:p>
            <w:pPr>
              <w:pStyle w:val="Compact"/>
              <w:jc w:val="center"/>
            </w:pPr>
            <w:r>
              <w:rPr>
                <w:rFonts w:hint="eastAsia"/>
              </w:rPr>
              <w:t xml:space="preserve">六个月前为154</w:t>
            </w:r>
            <w:r>
              <w:t xml:space="preserve"> mg/dL</w:t>
            </w:r>
          </w:p>
        </w:tc>
      </w:tr>
      <w:tr>
        <w:tc>
          <w:tcPr/>
          <w:p>
            <w:pPr>
              <w:pStyle w:val="Compact"/>
              <w:jc w:val="left"/>
            </w:pPr>
            <w:r>
              <w:rPr>
                <w:rFonts w:hint="eastAsia"/>
              </w:rPr>
              <w:t xml:space="preserve">血压</w:t>
            </w:r>
          </w:p>
        </w:tc>
        <w:tc>
          <w:tcPr/>
          <w:p>
            <w:pPr>
              <w:pStyle w:val="Compact"/>
              <w:jc w:val="center"/>
            </w:pPr>
            <w:r>
              <w:t xml:space="preserve">142/86 mm Hg</w:t>
            </w:r>
          </w:p>
        </w:tc>
        <w:tc>
          <w:tcPr/>
          <w:p>
            <w:pPr>
              <w:pStyle w:val="Compact"/>
              <w:jc w:val="center"/>
            </w:pPr>
            <w:r>
              <w:rPr>
                <w:rFonts w:hint="eastAsia"/>
              </w:rPr>
              <w:t xml:space="preserve">通常为134–140</w:t>
            </w:r>
            <w:r>
              <w:t xml:space="preserve"> / 80–86</w:t>
            </w:r>
          </w:p>
        </w:tc>
      </w:tr>
      <w:tr>
        <w:tc>
          <w:tcPr/>
          <w:p>
            <w:pPr>
              <w:pStyle w:val="Compact"/>
              <w:jc w:val="left"/>
            </w:pPr>
            <w:r>
              <w:rPr>
                <w:rFonts w:hint="eastAsia"/>
              </w:rPr>
              <w:t xml:space="preserve">体重</w:t>
            </w:r>
          </w:p>
        </w:tc>
        <w:tc>
          <w:tcPr/>
          <w:p>
            <w:pPr>
              <w:pStyle w:val="Compact"/>
              <w:jc w:val="center"/>
            </w:pPr>
            <w:r>
              <w:rPr>
                <w:rFonts w:hint="eastAsia"/>
              </w:rPr>
              <w:t xml:space="preserve">226磅</w:t>
            </w:r>
          </w:p>
        </w:tc>
        <w:tc>
          <w:tcPr/>
          <w:p>
            <w:pPr>
              <w:pStyle w:val="Compact"/>
              <w:jc w:val="center"/>
            </w:pPr>
            <w:r>
              <w:rPr>
                <w:rFonts w:hint="eastAsia"/>
              </w:rPr>
              <w:t xml:space="preserve">三个月前为221磅</w:t>
            </w:r>
          </w:p>
        </w:tc>
      </w:tr>
      <w:tr>
        <w:tc>
          <w:tcPr/>
          <w:p>
            <w:pPr>
              <w:pStyle w:val="Compact"/>
              <w:jc w:val="left"/>
            </w:pPr>
            <w:r>
              <w:rPr>
                <w:rFonts w:hint="eastAsia"/>
              </w:rPr>
              <w:t xml:space="preserve">肾功能</w:t>
            </w:r>
          </w:p>
        </w:tc>
        <w:tc>
          <w:tcPr/>
          <w:p>
            <w:pPr>
              <w:pStyle w:val="Compact"/>
              <w:jc w:val="center"/>
            </w:pPr>
            <w:r>
              <w:rPr>
                <w:rFonts w:hint="eastAsia"/>
              </w:rPr>
              <w:t xml:space="preserve">轻度下降；复查后稳定</w:t>
            </w:r>
          </w:p>
        </w:tc>
        <w:tc>
          <w:tcPr/>
          <w:p>
            <w:pPr>
              <w:pStyle w:val="Compact"/>
              <w:jc w:val="center"/>
            </w:pPr>
            <w:r>
              <w:rPr>
                <w:rFonts w:hint="eastAsia"/>
              </w:rPr>
              <w:t xml:space="preserve">两年前正常</w:t>
            </w:r>
          </w:p>
        </w:tc>
      </w:tr>
      <w:tr>
        <w:tc>
          <w:tcPr/>
          <w:p>
            <w:pPr>
              <w:pStyle w:val="Compact"/>
              <w:jc w:val="left"/>
            </w:pPr>
            <w:r>
              <w:rPr>
                <w:rFonts w:hint="eastAsia"/>
              </w:rPr>
              <w:t xml:space="preserve">眼科检查</w:t>
            </w:r>
          </w:p>
        </w:tc>
        <w:tc>
          <w:tcPr/>
          <w:p>
            <w:pPr>
              <w:pStyle w:val="Compact"/>
              <w:jc w:val="center"/>
            </w:pPr>
            <w:r>
              <w:rPr>
                <w:rFonts w:hint="eastAsia"/>
              </w:rPr>
              <w:t xml:space="preserve">逾期14个月</w:t>
            </w:r>
          </w:p>
        </w:tc>
        <w:tc>
          <w:tcPr/>
          <w:p>
            <w:pPr>
              <w:pStyle w:val="Compact"/>
              <w:jc w:val="center"/>
            </w:pPr>
            <w:r>
              <w:rPr>
                <w:rFonts w:hint="eastAsia"/>
              </w:rPr>
              <w:t xml:space="preserve">上次检查无视网膜病变</w:t>
            </w:r>
          </w:p>
        </w:tc>
      </w:tr>
      <w:tr>
        <w:tc>
          <w:tcPr/>
          <w:p>
            <w:pPr>
              <w:pStyle w:val="Compact"/>
              <w:jc w:val="left"/>
            </w:pPr>
            <w:r>
              <w:rPr>
                <w:rFonts w:hint="eastAsia"/>
              </w:rPr>
              <w:t xml:space="preserve">足部症状</w:t>
            </w:r>
          </w:p>
        </w:tc>
        <w:tc>
          <w:tcPr/>
          <w:p>
            <w:pPr>
              <w:pStyle w:val="Compact"/>
              <w:jc w:val="center"/>
            </w:pPr>
            <w:r>
              <w:rPr>
                <w:rFonts w:hint="eastAsia"/>
              </w:rPr>
              <w:t xml:space="preserve">间歇性麻木</w:t>
            </w:r>
          </w:p>
        </w:tc>
        <w:tc>
          <w:tcPr/>
          <w:p>
            <w:pPr>
              <w:pStyle w:val="Compact"/>
              <w:jc w:val="center"/>
            </w:pPr>
            <w:r>
              <w:rPr>
                <w:rFonts w:hint="eastAsia"/>
              </w:rPr>
              <w:t xml:space="preserve">过去一年中报告过两次</w:t>
            </w:r>
          </w:p>
        </w:tc>
      </w:tr>
      <w:tr>
        <w:tc>
          <w:tcPr/>
          <w:p>
            <w:pPr>
              <w:pStyle w:val="Compact"/>
              <w:jc w:val="left"/>
            </w:pPr>
            <w:r>
              <w:rPr>
                <w:rFonts w:hint="eastAsia"/>
              </w:rPr>
              <w:t xml:space="preserve">工作模式</w:t>
            </w:r>
          </w:p>
        </w:tc>
        <w:tc>
          <w:tcPr/>
          <w:p>
            <w:pPr>
              <w:pStyle w:val="Compact"/>
              <w:jc w:val="center"/>
            </w:pPr>
            <w:r>
              <w:rPr>
                <w:rFonts w:hint="eastAsia"/>
              </w:rPr>
              <w:t xml:space="preserve">白班/夜班轮换</w:t>
            </w:r>
          </w:p>
        </w:tc>
        <w:tc>
          <w:tcPr/>
          <w:p>
            <w:pPr>
              <w:pStyle w:val="Compact"/>
              <w:jc w:val="center"/>
            </w:pPr>
            <w:r>
              <w:rPr>
                <w:rFonts w:hint="eastAsia"/>
              </w:rPr>
              <w:t xml:space="preserve">排班每周变化</w:t>
            </w:r>
          </w:p>
        </w:tc>
      </w:tr>
      <w:tr>
        <w:tc>
          <w:tcPr/>
          <w:p>
            <w:pPr>
              <w:pStyle w:val="Compact"/>
              <w:jc w:val="left"/>
            </w:pPr>
            <w:r>
              <w:rPr>
                <w:rFonts w:hint="eastAsia"/>
              </w:rPr>
              <w:t xml:space="preserve">药物报销</w:t>
            </w:r>
          </w:p>
        </w:tc>
        <w:tc>
          <w:tcPr/>
          <w:p>
            <w:pPr>
              <w:pStyle w:val="Compact"/>
              <w:jc w:val="center"/>
            </w:pPr>
            <w:r>
              <w:rPr>
                <w:rFonts w:hint="eastAsia"/>
              </w:rPr>
              <w:t xml:space="preserve">$2,000年度免赔额</w:t>
            </w:r>
          </w:p>
        </w:tc>
        <w:tc>
          <w:tcPr/>
          <w:p>
            <w:pPr>
              <w:pStyle w:val="Compact"/>
              <w:jc w:val="center"/>
            </w:pPr>
            <w:r>
              <w:rPr>
                <w:rFonts w:hint="eastAsia"/>
              </w:rPr>
              <w:t xml:space="preserve">免赔额于1月1日重置</w:t>
            </w:r>
          </w:p>
        </w:tc>
      </w:tr>
    </w:tbl>
    <w:p>
      <w:pPr>
        <w:pStyle w:val="BodyText"/>
      </w:pPr>
      <w:r>
        <w:rPr>
          <w:rFonts w:hint="eastAsia"/>
        </w:rPr>
        <w:t xml:space="preserve">帕克不愿将不断上升的A1c简单解读为努力不足的结果。这一数值大致反映了两到三个月的血糖暴露情况，但并未显示里德的血糖何时偏高或偏低。手指血糖检测的读数稀少，且多集中在就诊前。监测试验仅覆盖十四天，其中包括他上夜班的一周和休假的一周。</w:t>
      </w:r>
    </w:p>
    <w:bookmarkEnd w:id="10"/>
    <w:bookmarkEnd w:id="11"/>
    <w:bookmarkStart w:id="13" w:name="监测仪揭示了什么又掩盖了什么"/>
    <w:p>
      <w:pPr>
        <w:pStyle w:val="Heading1"/>
      </w:pPr>
      <w:r>
        <w:rPr>
          <w:rFonts w:hint="eastAsia"/>
        </w:rPr>
        <w:t xml:space="preserve">监测仪揭示了什么——又掩盖了什么</w:t>
      </w:r>
    </w:p>
    <w:p>
      <w:pPr>
        <w:pStyle w:val="FirstParagraph"/>
      </w:pPr>
      <w:r>
        <w:rPr>
          <w:rFonts w:hint="eastAsia"/>
        </w:rPr>
        <w:t xml:space="preserve">这台连续血糖监测仪产生了1,300多条读数。里德的平均血糖偏高，但每日模式差异很大。在白班期间，早餐和午餐相对可预测。在夜班期间，他有时在午夜前后吃一顿丰盛的大餐，跳过早餐，睡到下午早些时候才起床。运动情况则取决于他当天是负责监督工作还是亲自维修设备。</w:t>
      </w:r>
    </w:p>
    <w:bookmarkStart w:id="12" w:name="附表2.-十四天血糖监测摘要"/>
    <w:p>
      <w:pPr>
        <w:pStyle w:val="Heading2"/>
      </w:pPr>
      <w:r>
        <w:rPr>
          <w:rFonts w:hint="eastAsia"/>
        </w:rPr>
        <w:t xml:space="preserve">附表2.</w:t>
      </w:r>
      <w:r>
        <w:t xml:space="preserve"> </w:t>
      </w:r>
      <w:r>
        <w:rPr>
          <w:rFonts w:hint="eastAsia"/>
        </w:rPr>
        <w:t xml:space="preserve">十四天血糖监测摘要</w:t>
      </w:r>
    </w:p>
    <w:tbl>
      <w:tblPr>
        <w:tblStyle w:val="Table"/>
        <w:tblW w:type="pct" w:w="4896"/>
        <w:tblLayout w:type="fixed"/>
        <w:tblLook w:firstRow="1" w:lastRow="0" w:firstColumn="0" w:lastColumn="0" w:noHBand="0" w:noVBand="0" w:val="0020"/>
      </w:tblPr>
      <w:tblGrid>
        <w:gridCol w:w="2227"/>
        <w:gridCol w:w="1485"/>
        <w:gridCol w:w="4042"/>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观测结果</w:t>
            </w:r>
          </w:p>
        </w:tc>
        <w:tc>
          <w:tcPr/>
          <w:p>
            <w:pPr>
              <w:pStyle w:val="Compact"/>
              <w:jc w:val="center"/>
            </w:pPr>
            <w:r>
              <w:rPr>
                <w:rFonts w:hint="eastAsia"/>
              </w:rPr>
              <w:t xml:space="preserve">团队记录的模式</w:t>
            </w:r>
          </w:p>
        </w:tc>
      </w:tr>
      <w:tr>
        <w:tc>
          <w:tcPr/>
          <w:p>
            <w:pPr>
              <w:pStyle w:val="Compact"/>
              <w:jc w:val="left"/>
            </w:pPr>
            <w:r>
              <w:rPr>
                <w:rFonts w:hint="eastAsia"/>
              </w:rPr>
              <w:t xml:space="preserve">平均血糖</w:t>
            </w:r>
          </w:p>
        </w:tc>
        <w:tc>
          <w:tcPr/>
          <w:p>
            <w:pPr>
              <w:pStyle w:val="Compact"/>
              <w:jc w:val="center"/>
            </w:pPr>
            <w:r>
              <w:t xml:space="preserve">204 mg/dL</w:t>
            </w:r>
          </w:p>
        </w:tc>
        <w:tc>
          <w:tcPr/>
          <w:p>
            <w:pPr>
              <w:pStyle w:val="Compact"/>
              <w:jc w:val="center"/>
            </w:pPr>
            <w:r>
              <w:rPr>
                <w:rFonts w:hint="eastAsia"/>
              </w:rPr>
              <w:t xml:space="preserve">夜班日更高</w:t>
            </w:r>
          </w:p>
        </w:tc>
      </w:tr>
      <w:tr>
        <w:tc>
          <w:tcPr/>
          <w:p>
            <w:pPr>
              <w:pStyle w:val="Compact"/>
              <w:jc w:val="left"/>
            </w:pPr>
            <w:r>
              <w:t xml:space="preserve">70–180 </w:t>
            </w:r>
            <w:r>
              <w:rPr>
                <w:rFonts w:hint="eastAsia"/>
              </w:rPr>
              <w:t xml:space="preserve">mg/dL的时间占比</w:t>
            </w:r>
          </w:p>
        </w:tc>
        <w:tc>
          <w:tcPr/>
          <w:p>
            <w:pPr>
              <w:pStyle w:val="Compact"/>
              <w:jc w:val="center"/>
            </w:pPr>
            <w:r>
              <w:t xml:space="preserve">38%</w:t>
            </w:r>
          </w:p>
        </w:tc>
        <w:tc>
          <w:tcPr/>
          <w:p>
            <w:pPr>
              <w:pStyle w:val="Compact"/>
              <w:jc w:val="center"/>
            </w:pPr>
            <w:r>
              <w:rPr>
                <w:rFonts w:hint="eastAsia"/>
              </w:rPr>
              <w:t xml:space="preserve">在按时进餐的周末表现最佳</w:t>
            </w:r>
          </w:p>
        </w:tc>
      </w:tr>
      <w:tr>
        <w:tc>
          <w:tcPr/>
          <w:p>
            <w:pPr>
              <w:pStyle w:val="Compact"/>
              <w:jc w:val="left"/>
            </w:pPr>
            <w:r>
              <w:rPr>
                <w:rFonts w:hint="eastAsia"/>
              </w:rPr>
              <w:t xml:space="preserve">高于180</w:t>
            </w:r>
            <w:r>
              <w:t xml:space="preserve"> </w:t>
            </w:r>
            <w:r>
              <w:rPr>
                <w:rFonts w:hint="eastAsia"/>
              </w:rPr>
              <w:t xml:space="preserve">mg/dL的时间占比</w:t>
            </w:r>
          </w:p>
        </w:tc>
        <w:tc>
          <w:tcPr/>
          <w:p>
            <w:pPr>
              <w:pStyle w:val="Compact"/>
              <w:jc w:val="center"/>
            </w:pPr>
            <w:r>
              <w:t xml:space="preserve">59%</w:t>
            </w:r>
          </w:p>
        </w:tc>
        <w:tc>
          <w:tcPr/>
          <w:p>
            <w:pPr>
              <w:pStyle w:val="Compact"/>
              <w:jc w:val="center"/>
            </w:pPr>
            <w:r>
              <w:rPr>
                <w:rFonts w:hint="eastAsia"/>
              </w:rPr>
              <w:t xml:space="preserve">集中在晚餐/夜间进餐之后</w:t>
            </w:r>
          </w:p>
        </w:tc>
      </w:tr>
      <w:tr>
        <w:tc>
          <w:tcPr/>
          <w:p>
            <w:pPr>
              <w:pStyle w:val="Compact"/>
              <w:jc w:val="left"/>
            </w:pPr>
            <w:r>
              <w:rPr>
                <w:rFonts w:hint="eastAsia"/>
              </w:rPr>
              <w:t xml:space="preserve">低于70</w:t>
            </w:r>
            <w:r>
              <w:t xml:space="preserve"> </w:t>
            </w:r>
            <w:r>
              <w:rPr>
                <w:rFonts w:hint="eastAsia"/>
              </w:rPr>
              <w:t xml:space="preserve">mg/dL的时间占比</w:t>
            </w:r>
          </w:p>
        </w:tc>
        <w:tc>
          <w:tcPr/>
          <w:p>
            <w:pPr>
              <w:pStyle w:val="Compact"/>
              <w:jc w:val="center"/>
            </w:pPr>
            <w:r>
              <w:t xml:space="preserve">3%</w:t>
            </w:r>
          </w:p>
        </w:tc>
        <w:tc>
          <w:tcPr/>
          <w:p>
            <w:pPr>
              <w:pStyle w:val="Compact"/>
              <w:jc w:val="center"/>
            </w:pPr>
            <w:r>
              <w:rPr>
                <w:rFonts w:hint="eastAsia"/>
              </w:rPr>
              <w:t xml:space="preserve">两次夜间发作</w:t>
            </w:r>
          </w:p>
        </w:tc>
      </w:tr>
      <w:tr>
        <w:tc>
          <w:tcPr/>
          <w:p>
            <w:pPr>
              <w:pStyle w:val="Compact"/>
              <w:jc w:val="left"/>
            </w:pPr>
            <w:r>
              <w:rPr>
                <w:rFonts w:hint="eastAsia"/>
              </w:rPr>
              <w:t xml:space="preserve">估算A1c等效值</w:t>
            </w:r>
          </w:p>
        </w:tc>
        <w:tc>
          <w:tcPr/>
          <w:p>
            <w:pPr>
              <w:pStyle w:val="Compact"/>
              <w:jc w:val="center"/>
            </w:pPr>
            <w:r>
              <w:t xml:space="preserve">8.7%</w:t>
            </w:r>
          </w:p>
        </w:tc>
        <w:tc>
          <w:tcPr/>
          <w:p>
            <w:pPr>
              <w:pStyle w:val="Compact"/>
              <w:jc w:val="center"/>
            </w:pPr>
            <w:r>
              <w:rPr>
                <w:rFonts w:hint="eastAsia"/>
              </w:rPr>
              <w:t xml:space="preserve">低于实验室A1c</w:t>
            </w:r>
          </w:p>
        </w:tc>
      </w:tr>
      <w:tr>
        <w:tc>
          <w:tcPr/>
          <w:p>
            <w:pPr>
              <w:pStyle w:val="Compact"/>
              <w:jc w:val="left"/>
            </w:pPr>
            <w:r>
              <w:rPr>
                <w:rFonts w:hint="eastAsia"/>
              </w:rPr>
              <w:t xml:space="preserve">每日波动性</w:t>
            </w:r>
          </w:p>
        </w:tc>
        <w:tc>
          <w:tcPr/>
          <w:p>
            <w:pPr>
              <w:pStyle w:val="Compact"/>
              <w:jc w:val="center"/>
            </w:pPr>
            <w:r>
              <w:rPr>
                <w:rFonts w:hint="eastAsia"/>
              </w:rPr>
              <w:t xml:space="preserve">高</w:t>
            </w:r>
          </w:p>
        </w:tc>
        <w:tc>
          <w:tcPr/>
          <w:p>
            <w:pPr>
              <w:pStyle w:val="Compact"/>
              <w:jc w:val="center"/>
            </w:pPr>
            <w:r>
              <w:rPr>
                <w:rFonts w:hint="eastAsia"/>
              </w:rPr>
              <w:t xml:space="preserve">进餐时间和用药时间均发生变化</w:t>
            </w:r>
          </w:p>
        </w:tc>
      </w:tr>
    </w:tbl>
    <w:p>
      <w:pPr>
        <w:pStyle w:val="BodyText"/>
      </w:pPr>
      <w:r>
        <w:rPr>
          <w:rFonts w:hint="eastAsia"/>
        </w:rPr>
        <w:t xml:space="preserve">药剂师看到的证据表明，当前药物可能在里德跳过进餐时导致夜间低血糖。教育者看到的是进餐时间安排的问题。帕克看到的证据表明可能需要一种更有效的药物。里德看到的则是一个在开会时发出提示音、出汗后会松脱、并且每当曲线急剧变化时都让他感到焦虑的设备。</w:t>
      </w:r>
    </w:p>
    <w:p>
      <w:pPr>
        <w:pStyle w:val="BodyText"/>
      </w:pPr>
      <w:r>
        <w:rPr>
          <w:rFonts w:hint="eastAsia"/>
        </w:rPr>
        <w:t xml:space="preserve">监测仪本身也引发了关于观察行为本身的问题。里德表示，他因为知道设备在记录而改变了饮食习惯。如果监测有助于改善他的行为，那么它本身可以被视为治疗的一部分。但如果它只是产生了两周异常自律的表现，那么它对未来血糖控制的预测可能会产生误导。</w:t>
      </w:r>
    </w:p>
    <w:bookmarkEnd w:id="12"/>
    <w:bookmarkEnd w:id="13"/>
    <w:bookmarkStart w:id="15" w:name="迄今为止的治疗路径"/>
    <w:p>
      <w:pPr>
        <w:pStyle w:val="Heading1"/>
      </w:pPr>
      <w:r>
        <w:rPr>
          <w:rFonts w:hint="eastAsia"/>
        </w:rPr>
        <w:t xml:space="preserve">迄今为止的治疗路径</w:t>
      </w:r>
    </w:p>
    <w:p>
      <w:pPr>
        <w:pStyle w:val="FirstParagraph"/>
      </w:pPr>
      <w:r>
        <w:rPr>
          <w:rFonts w:hint="eastAsia"/>
        </w:rPr>
        <w:t xml:space="preserve">里德被确诊时，在改变饮食、坚持步行并开始服用二甲双胍后，他的A1c曾下降。但随着时间推移，这种效果逐渐减弱。增加剂量导致了胃部不适。降低剂量虽可耐受，但似乎效果不足。第二种口服药物改善了读数，但也带来了对进餐延迟时低血糖风险的更大担忧。里德抗拒注射治疗，部分原因是他将其与父亲经历的严重糖尿病联系在一起。</w:t>
      </w:r>
    </w:p>
    <w:p>
      <w:pPr>
        <w:pStyle w:val="BodyText"/>
      </w:pPr>
      <w:r>
        <w:rPr>
          <w:rFonts w:hint="eastAsia"/>
        </w:rPr>
        <w:t xml:space="preserve">湖畔的临床医生有几条大方向的治疗路径可供选择。较新型药物可以改善血糖水平，有时还有助于控制体重或心血管风险，但保险审批和自付费用各不相同。胰岛素若按适当方式使用并调整剂量，可以可靠地降低血糖，但需要教育、监测以及对低血糖风险的关注。技术手段可以揭示模式，但前提是里德愿意佩戴设备，且护理团队有时间解读数据。</w:t>
      </w:r>
    </w:p>
    <w:bookmarkStart w:id="14" w:name="附表3.-若干方案的规划估算"/>
    <w:p>
      <w:pPr>
        <w:pStyle w:val="Heading2"/>
      </w:pPr>
      <w:r>
        <w:rPr>
          <w:rFonts w:hint="eastAsia"/>
        </w:rPr>
        <w:t xml:space="preserve">附表3.</w:t>
      </w:r>
      <w:r>
        <w:t xml:space="preserve"> </w:t>
      </w:r>
      <w:r>
        <w:rPr>
          <w:rFonts w:hint="eastAsia"/>
        </w:rPr>
        <w:t xml:space="preserve">若干方案的规划估算</w:t>
      </w:r>
    </w:p>
    <w:tbl>
      <w:tblPr>
        <w:tblStyle w:val="Table"/>
        <w:tblW w:type="pct" w:w="4928"/>
        <w:tblLayout w:type="fixed"/>
        <w:tblLook w:firstRow="1" w:lastRow="0" w:firstColumn="0" w:lastColumn="0" w:noHBand="0" w:noVBand="0" w:val="0020"/>
      </w:tblPr>
      <w:tblGrid>
        <w:gridCol w:w="2180"/>
        <w:gridCol w:w="1549"/>
        <w:gridCol w:w="2008"/>
        <w:gridCol w:w="2066"/>
      </w:tblGrid>
      <w:tr>
        <w:trPr>
          <w:tblHeader w:val="on"/>
        </w:trPr>
        <w:tc>
          <w:tcPr/>
          <w:p>
            <w:pPr>
              <w:pStyle w:val="Compact"/>
              <w:jc w:val="left"/>
            </w:pPr>
            <w:r>
              <w:rPr>
                <w:rFonts w:hint="eastAsia"/>
              </w:rPr>
              <w:t xml:space="preserve">方案</w:t>
            </w:r>
          </w:p>
        </w:tc>
        <w:tc>
          <w:tcPr/>
          <w:p>
            <w:pPr>
              <w:pStyle w:val="Compact"/>
              <w:jc w:val="center"/>
            </w:pPr>
            <w:r>
              <w:rPr>
                <w:rFonts w:hint="eastAsia"/>
              </w:rPr>
              <w:t xml:space="preserve">估计患者成本*</w:t>
            </w:r>
          </w:p>
        </w:tc>
        <w:tc>
          <w:tcPr/>
          <w:p>
            <w:pPr>
              <w:pStyle w:val="Compact"/>
              <w:jc w:val="center"/>
            </w:pPr>
            <w:r>
              <w:rPr>
                <w:rFonts w:hint="eastAsia"/>
              </w:rPr>
              <w:t xml:space="preserve">最初90天内的诊所工作量</w:t>
            </w:r>
          </w:p>
        </w:tc>
        <w:tc>
          <w:tcPr/>
          <w:p>
            <w:pPr>
              <w:pStyle w:val="Compact"/>
              <w:jc w:val="center"/>
            </w:pPr>
            <w:r>
              <w:rPr>
                <w:rFonts w:hint="eastAsia"/>
              </w:rPr>
              <w:t xml:space="preserve">主要担忧</w:t>
            </w:r>
          </w:p>
        </w:tc>
      </w:tr>
      <w:tr>
        <w:tc>
          <w:tcPr/>
          <w:p>
            <w:pPr>
              <w:pStyle w:val="Compact"/>
              <w:jc w:val="left"/>
            </w:pPr>
            <w:r>
              <w:rPr>
                <w:rFonts w:hint="eastAsia"/>
              </w:rPr>
              <w:t xml:space="preserve">简化口服用药方案</w:t>
            </w:r>
          </w:p>
        </w:tc>
        <w:tc>
          <w:tcPr/>
          <w:p>
            <w:pPr>
              <w:pStyle w:val="Compact"/>
              <w:jc w:val="center"/>
            </w:pPr>
            <w:r>
              <w:rPr>
                <w:rFonts w:hint="eastAsia"/>
              </w:rPr>
              <w:t xml:space="preserve">$15–$55/月</w:t>
            </w:r>
          </w:p>
        </w:tc>
        <w:tc>
          <w:tcPr/>
          <w:p>
            <w:pPr>
              <w:pStyle w:val="Compact"/>
              <w:jc w:val="center"/>
            </w:pPr>
            <w:r>
              <w:rPr>
                <w:rFonts w:hint="eastAsia"/>
              </w:rPr>
              <w:t xml:space="preserve">2次就诊</w:t>
            </w:r>
            <w:r>
              <w:t xml:space="preserve"> + </w:t>
            </w:r>
            <w:r>
              <w:rPr>
                <w:rFonts w:hint="eastAsia"/>
              </w:rPr>
              <w:t xml:space="preserve">电话随访</w:t>
            </w:r>
          </w:p>
        </w:tc>
        <w:tc>
          <w:tcPr/>
          <w:p>
            <w:pPr>
              <w:pStyle w:val="Compact"/>
              <w:jc w:val="center"/>
            </w:pPr>
            <w:r>
              <w:rPr>
                <w:rFonts w:hint="eastAsia"/>
              </w:rPr>
              <w:t xml:space="preserve">可能无法充分降低血糖</w:t>
            </w:r>
          </w:p>
        </w:tc>
      </w:tr>
      <w:tr>
        <w:tc>
          <w:tcPr/>
          <w:p>
            <w:pPr>
              <w:pStyle w:val="Compact"/>
              <w:jc w:val="left"/>
            </w:pPr>
            <w:r>
              <w:rPr>
                <w:rFonts w:hint="eastAsia"/>
              </w:rPr>
              <w:t xml:space="preserve">增加新型每周注射剂</w:t>
            </w:r>
          </w:p>
        </w:tc>
        <w:tc>
          <w:tcPr/>
          <w:p>
            <w:pPr>
              <w:pStyle w:val="Compact"/>
              <w:jc w:val="center"/>
            </w:pPr>
            <w:r>
              <w:rPr>
                <w:rFonts w:hint="eastAsia"/>
              </w:rPr>
              <w:t xml:space="preserve">$90–$550/月</w:t>
            </w:r>
          </w:p>
        </w:tc>
        <w:tc>
          <w:tcPr/>
          <w:p>
            <w:pPr>
              <w:pStyle w:val="Compact"/>
              <w:jc w:val="center"/>
            </w:pPr>
            <w:r>
              <w:rPr>
                <w:rFonts w:hint="eastAsia"/>
              </w:rPr>
              <w:t xml:space="preserve">事先授权</w:t>
            </w:r>
            <w:r>
              <w:t xml:space="preserve"> + </w:t>
            </w:r>
            <w:r>
              <w:rPr>
                <w:rFonts w:hint="eastAsia"/>
              </w:rPr>
              <w:t xml:space="preserve">3次联系</w:t>
            </w:r>
          </w:p>
        </w:tc>
        <w:tc>
          <w:tcPr/>
          <w:p>
            <w:pPr>
              <w:pStyle w:val="Compact"/>
              <w:jc w:val="center"/>
            </w:pPr>
            <w:r>
              <w:rPr>
                <w:rFonts w:hint="eastAsia"/>
              </w:rPr>
              <w:t xml:space="preserve">成本、耐受性、可获得性</w:t>
            </w:r>
          </w:p>
        </w:tc>
      </w:tr>
      <w:tr>
        <w:tc>
          <w:tcPr/>
          <w:p>
            <w:pPr>
              <w:pStyle w:val="Compact"/>
              <w:jc w:val="left"/>
            </w:pPr>
            <w:r>
              <w:rPr>
                <w:rFonts w:hint="eastAsia"/>
              </w:rPr>
              <w:t xml:space="preserve">开始基础胰岛素治疗</w:t>
            </w:r>
          </w:p>
        </w:tc>
        <w:tc>
          <w:tcPr/>
          <w:p>
            <w:pPr>
              <w:pStyle w:val="Compact"/>
              <w:jc w:val="center"/>
            </w:pPr>
            <w:r>
              <w:rPr>
                <w:rFonts w:hint="eastAsia"/>
              </w:rPr>
              <w:t xml:space="preserve">$35–$140/月</w:t>
            </w:r>
          </w:p>
        </w:tc>
        <w:tc>
          <w:tcPr/>
          <w:p>
            <w:pPr>
              <w:pStyle w:val="Compact"/>
              <w:jc w:val="center"/>
            </w:pPr>
            <w:r>
              <w:rPr>
                <w:rFonts w:hint="eastAsia"/>
              </w:rPr>
              <w:t xml:space="preserve">培训</w:t>
            </w:r>
            <w:r>
              <w:t xml:space="preserve"> + </w:t>
            </w:r>
            <w:r>
              <w:rPr>
                <w:rFonts w:hint="eastAsia"/>
              </w:rPr>
              <w:t xml:space="preserve">频繁的剂量审查</w:t>
            </w:r>
          </w:p>
        </w:tc>
        <w:tc>
          <w:tcPr/>
          <w:p>
            <w:pPr>
              <w:pStyle w:val="Compact"/>
              <w:jc w:val="center"/>
            </w:pPr>
            <w:r>
              <w:rPr>
                <w:rFonts w:hint="eastAsia"/>
              </w:rPr>
              <w:t xml:space="preserve">低血糖；对注射的抵触</w:t>
            </w:r>
          </w:p>
        </w:tc>
      </w:tr>
      <w:tr>
        <w:tc>
          <w:tcPr/>
          <w:p>
            <w:pPr>
              <w:pStyle w:val="Compact"/>
              <w:jc w:val="left"/>
            </w:pPr>
            <w:r>
              <w:rPr>
                <w:rFonts w:hint="eastAsia"/>
              </w:rPr>
              <w:t xml:space="preserve">持续使用CGM</w:t>
            </w:r>
            <w:r>
              <w:t xml:space="preserve"> </w:t>
            </w:r>
            <w:r>
              <w:rPr>
                <w:rFonts w:hint="eastAsia"/>
              </w:rPr>
              <w:t xml:space="preserve">90天</w:t>
            </w:r>
          </w:p>
        </w:tc>
        <w:tc>
          <w:tcPr/>
          <w:p>
            <w:pPr>
              <w:pStyle w:val="Compact"/>
              <w:jc w:val="center"/>
            </w:pPr>
            <w:r>
              <w:rPr>
                <w:rFonts w:hint="eastAsia"/>
              </w:rPr>
              <w:t xml:space="preserve">$0–$180/月</w:t>
            </w:r>
          </w:p>
        </w:tc>
        <w:tc>
          <w:tcPr/>
          <w:p>
            <w:pPr>
              <w:pStyle w:val="Compact"/>
              <w:jc w:val="center"/>
            </w:pPr>
            <w:r>
              <w:rPr>
                <w:rFonts w:hint="eastAsia"/>
              </w:rPr>
              <w:t xml:space="preserve">每2–4周进行数据审查</w:t>
            </w:r>
          </w:p>
        </w:tc>
        <w:tc>
          <w:tcPr/>
          <w:p>
            <w:pPr>
              <w:pStyle w:val="Compact"/>
              <w:jc w:val="center"/>
            </w:pPr>
            <w:r>
              <w:rPr>
                <w:rFonts w:hint="eastAsia"/>
              </w:rPr>
              <w:t xml:space="preserve">保险覆盖与持续使用</w:t>
            </w:r>
          </w:p>
        </w:tc>
      </w:tr>
      <w:tr>
        <w:tc>
          <w:tcPr/>
          <w:p>
            <w:pPr>
              <w:pStyle w:val="Compact"/>
              <w:jc w:val="left"/>
            </w:pPr>
            <w:r>
              <w:rPr>
                <w:rFonts w:hint="eastAsia"/>
              </w:rPr>
              <w:t xml:space="preserve">强化生活方式支持</w:t>
            </w:r>
          </w:p>
        </w:tc>
        <w:tc>
          <w:tcPr/>
          <w:p>
            <w:pPr>
              <w:pStyle w:val="Compact"/>
              <w:jc w:val="center"/>
            </w:pPr>
            <w:r>
              <w:rPr>
                <w:rFonts w:hint="eastAsia"/>
              </w:rPr>
              <w:t xml:space="preserve">$0–$350（合计）</w:t>
            </w:r>
          </w:p>
        </w:tc>
        <w:tc>
          <w:tcPr/>
          <w:p>
            <w:pPr>
              <w:pStyle w:val="Compact"/>
              <w:jc w:val="center"/>
            </w:pPr>
            <w:r>
              <w:rPr>
                <w:rFonts w:hint="eastAsia"/>
              </w:rPr>
              <w:t xml:space="preserve">营养师</w:t>
            </w:r>
            <w:r>
              <w:t xml:space="preserve"> + </w:t>
            </w:r>
            <w:r>
              <w:rPr>
                <w:rFonts w:hint="eastAsia"/>
              </w:rPr>
              <w:t xml:space="preserve">教育者</w:t>
            </w:r>
            <w:r>
              <w:t xml:space="preserve"> + </w:t>
            </w:r>
            <w:r>
              <w:rPr>
                <w:rFonts w:hint="eastAsia"/>
              </w:rPr>
              <w:t xml:space="preserve">辅导</w:t>
            </w:r>
          </w:p>
        </w:tc>
        <w:tc>
          <w:tcPr/>
          <w:p>
            <w:pPr>
              <w:pStyle w:val="Compact"/>
              <w:jc w:val="center"/>
            </w:pPr>
            <w:r>
              <w:rPr>
                <w:rFonts w:hint="eastAsia"/>
              </w:rPr>
              <w:t xml:space="preserve">出勤率与工作日程</w:t>
            </w:r>
          </w:p>
        </w:tc>
      </w:tr>
      <w:tr>
        <w:tc>
          <w:tcPr/>
          <w:p>
            <w:pPr>
              <w:pStyle w:val="Compact"/>
              <w:jc w:val="left"/>
            </w:pPr>
            <w:r>
              <w:rPr>
                <w:rFonts w:hint="eastAsia"/>
              </w:rPr>
              <w:t xml:space="preserve">联合药物/技术方案</w:t>
            </w:r>
          </w:p>
        </w:tc>
        <w:tc>
          <w:tcPr/>
          <w:p>
            <w:pPr>
              <w:pStyle w:val="Compact"/>
              <w:jc w:val="center"/>
            </w:pPr>
            <w:r>
              <w:rPr>
                <w:rFonts w:hint="eastAsia"/>
              </w:rPr>
              <w:t xml:space="preserve">$125–$700/月</w:t>
            </w:r>
          </w:p>
        </w:tc>
        <w:tc>
          <w:tcPr/>
          <w:p>
            <w:pPr>
              <w:pStyle w:val="Compact"/>
              <w:jc w:val="center"/>
            </w:pPr>
            <w:r>
              <w:rPr>
                <w:rFonts w:hint="eastAsia"/>
              </w:rPr>
              <w:t xml:space="preserve">最高的初始协调工作量</w:t>
            </w:r>
          </w:p>
        </w:tc>
        <w:tc>
          <w:tcPr/>
          <w:p>
            <w:pPr>
              <w:pStyle w:val="Compact"/>
              <w:jc w:val="center"/>
            </w:pPr>
            <w:r>
              <w:rPr>
                <w:rFonts w:hint="eastAsia"/>
              </w:rPr>
              <w:t xml:space="preserve">复杂性与放弃风险</w:t>
            </w:r>
          </w:p>
        </w:tc>
      </w:tr>
    </w:tbl>
    <w:p>
      <w:pPr>
        <w:pStyle w:val="BodyText"/>
      </w:pPr>
      <w:r>
        <w:rPr>
          <w:rFonts w:hint="eastAsia"/>
        </w:rPr>
        <w:t xml:space="preserve">*为示意性虚构估算，已计入保险后的费用；实际成本因保险计划、资格、药房和产品不同而差异很大。</w:t>
      </w:r>
    </w:p>
    <w:bookmarkEnd w:id="14"/>
    <w:bookmarkEnd w:id="15"/>
    <w:bookmarkStart w:id="16" w:name="患者版本的问题"/>
    <w:p>
      <w:pPr>
        <w:pStyle w:val="Heading1"/>
      </w:pPr>
      <w:r>
        <w:rPr>
          <w:rFonts w:hint="eastAsia"/>
        </w:rPr>
        <w:t xml:space="preserve">患者版本的问题</w:t>
      </w:r>
    </w:p>
    <w:p>
      <w:pPr>
        <w:pStyle w:val="FirstParagraph"/>
      </w:pPr>
      <w:r>
        <w:rPr>
          <w:rFonts w:hint="eastAsia"/>
        </w:rPr>
        <w:t xml:space="preserve">当帕克询问里德觉得方案中最难的部分是什么时，他并没有从血糖谈起。他描述了疲劳、轮班变化、母亲的就诊安排，以及担心新药物会带来他在工作中无法应对的副作用。他希望避免像亲属那样经历透析和截肢，但与错过一次轮班或一张$400的药费账单相比，这些风险感觉遥远得多。</w:t>
      </w:r>
    </w:p>
    <w:p>
      <w:pPr>
        <w:pStyle w:val="BodyText"/>
      </w:pPr>
      <w:r>
        <w:rPr>
          <w:rFonts w:hint="eastAsia"/>
        </w:rPr>
        <w:t xml:space="preserve">里德说，白班后他可以在晚饭后散步，但在凌晨2点靠近工厂附近这样做并不安全。员工食堂张贴的营养信息也不一致。他有时会随身携带食物以防低血糖，但即使读数并不低，他也会因为饥饿而吃掉它。他愿意再尝试一次监测仪，但不希望同事在他的手机上看到警报。</w:t>
      </w:r>
    </w:p>
    <w:p>
      <w:pPr>
        <w:pStyle w:val="BodyText"/>
      </w:pPr>
      <w:r>
        <w:rPr>
          <w:rFonts w:hint="eastAsia"/>
        </w:rPr>
        <w:t xml:space="preserve">财务顾问发现，在里德达到免赔额之前，某种药物需要较高的共付费用。制造商援助计划或许能降低费用，但资格需要定期重新申请，且可能发生变化。由于里德已记录到低血糖读数，监测仪可能会被保险覆盖，尽管保险公司可能要求提供频繁药物调整的证据。到了1月，免赔额将重置，这可能在团队刚刚了解方案是否有效之际，改变里德所能负担的方案。</w:t>
      </w:r>
    </w:p>
    <w:bookmarkEnd w:id="16"/>
    <w:bookmarkStart w:id="18" w:name="湖畔的能力"/>
    <w:p>
      <w:pPr>
        <w:pStyle w:val="Heading1"/>
      </w:pPr>
      <w:r>
        <w:rPr>
          <w:rFonts w:hint="eastAsia"/>
        </w:rPr>
        <w:t xml:space="preserve">湖畔的能力</w:t>
      </w:r>
    </w:p>
    <w:p>
      <w:pPr>
        <w:pStyle w:val="FirstParagraph"/>
      </w:pPr>
      <w:r>
        <w:rPr>
          <w:rFonts w:hint="eastAsia"/>
        </w:rPr>
        <w:t xml:space="preserve">湖畔为七家诊所范围内共11,800名确诊糖尿病成人提供服务。其护理管理项目优先服务于A1c值高、近期使用过医院服务、怀孕、肾病或用药困难的患者。北门诊所与另外两个地点共用一名教育者，药剂师每周有三个半天可用。就诊需求超过了现有能力。</w:t>
      </w:r>
    </w:p>
    <w:p>
      <w:pPr>
        <w:pStyle w:val="BodyText"/>
      </w:pPr>
      <w:r>
        <w:rPr>
          <w:rFonts w:hint="eastAsia"/>
        </w:rPr>
        <w:t xml:space="preserve">护理经理提出每周进行短信随访和快速用药审查。医疗主任对此提出质疑：在其他患者最近曾就诊急诊科的情况下，是否应该将如此多的关注投入到一个相对稳定的患者身上。首席财务官指出，许多协调活动的报销情况很差，即便它们可能在多年后预防了高昂的并发症费用。</w:t>
      </w:r>
    </w:p>
    <w:bookmarkStart w:id="17" w:name="附表4.-湖畔糖尿病项目最近12个月情况"/>
    <w:p>
      <w:pPr>
        <w:pStyle w:val="Heading2"/>
      </w:pPr>
      <w:r>
        <w:rPr>
          <w:rFonts w:hint="eastAsia"/>
        </w:rPr>
        <w:t xml:space="preserve">附表4.</w:t>
      </w:r>
      <w:r>
        <w:t xml:space="preserve"> </w:t>
      </w:r>
      <w:r>
        <w:rPr>
          <w:rFonts w:hint="eastAsia"/>
        </w:rPr>
        <w:t xml:space="preserve">湖畔糖尿病项目，最近12个月情况</w:t>
      </w:r>
    </w:p>
    <w:tbl>
      <w:tblPr>
        <w:tblStyle w:val="Table"/>
        <w:tblW w:type="pct" w:w="4792"/>
        <w:tblLayout w:type="fixed"/>
        <w:tblLook w:firstRow="1" w:lastRow="0" w:firstColumn="0" w:lastColumn="0" w:noHBand="0" w:noVBand="0" w:val="0020"/>
      </w:tblPr>
      <w:tblGrid>
        <w:gridCol w:w="5170"/>
        <w:gridCol w:w="2420"/>
      </w:tblGrid>
      <w:tr>
        <w:trPr>
          <w:tblHeader w:val="on"/>
        </w:trPr>
        <w:tc>
          <w:tcPr/>
          <w:p>
            <w:pPr>
              <w:pStyle w:val="Compact"/>
              <w:jc w:val="left"/>
            </w:pPr>
            <w:r>
              <w:rPr>
                <w:rFonts w:hint="eastAsia"/>
              </w:rPr>
              <w:t xml:space="preserve">项目指标</w:t>
            </w:r>
          </w:p>
        </w:tc>
        <w:tc>
          <w:tcPr/>
          <w:p>
            <w:pPr>
              <w:pStyle w:val="Compact"/>
              <w:jc w:val="center"/>
            </w:pPr>
            <w:r>
              <w:rPr>
                <w:rFonts w:hint="eastAsia"/>
              </w:rPr>
              <w:t xml:space="preserve">结果</w:t>
            </w:r>
          </w:p>
        </w:tc>
      </w:tr>
      <w:tr>
        <w:tc>
          <w:tcPr/>
          <w:p>
            <w:pPr>
              <w:pStyle w:val="Compact"/>
              <w:jc w:val="left"/>
            </w:pPr>
            <w:r>
              <w:rPr>
                <w:rFonts w:hint="eastAsia"/>
              </w:rPr>
              <w:t xml:space="preserve">确诊糖尿病成人人数</w:t>
            </w:r>
          </w:p>
        </w:tc>
        <w:tc>
          <w:tcPr/>
          <w:p>
            <w:pPr>
              <w:pStyle w:val="Compact"/>
              <w:jc w:val="center"/>
            </w:pPr>
            <w:r>
              <w:t xml:space="preserve">11,800</w:t>
            </w:r>
          </w:p>
        </w:tc>
      </w:tr>
      <w:tr>
        <w:tc>
          <w:tcPr/>
          <w:p>
            <w:pPr>
              <w:pStyle w:val="Compact"/>
              <w:jc w:val="left"/>
            </w:pPr>
            <w:r>
              <w:rPr>
                <w:rFonts w:hint="eastAsia"/>
              </w:rPr>
              <w:t xml:space="preserve">最近A1c≥9%的患者人数</w:t>
            </w:r>
          </w:p>
        </w:tc>
        <w:tc>
          <w:tcPr/>
          <w:p>
            <w:pPr>
              <w:pStyle w:val="Compact"/>
              <w:jc w:val="center"/>
            </w:pPr>
            <w:r>
              <w:t xml:space="preserve">2,140</w:t>
            </w:r>
          </w:p>
        </w:tc>
      </w:tr>
      <w:tr>
        <w:tc>
          <w:tcPr/>
          <w:p>
            <w:pPr>
              <w:pStyle w:val="Compact"/>
              <w:jc w:val="left"/>
            </w:pPr>
            <w:r>
              <w:rPr>
                <w:rFonts w:hint="eastAsia"/>
              </w:rPr>
              <w:t xml:space="preserve">12个月内未做A1c检测的患者人数</w:t>
            </w:r>
          </w:p>
        </w:tc>
        <w:tc>
          <w:tcPr/>
          <w:p>
            <w:pPr>
              <w:pStyle w:val="Compact"/>
              <w:jc w:val="center"/>
            </w:pPr>
            <w:r>
              <w:t xml:space="preserve">1,330</w:t>
            </w:r>
          </w:p>
        </w:tc>
      </w:tr>
      <w:tr>
        <w:tc>
          <w:tcPr/>
          <w:p>
            <w:pPr>
              <w:pStyle w:val="Compact"/>
              <w:jc w:val="left"/>
            </w:pPr>
            <w:r>
              <w:rPr>
                <w:rFonts w:hint="eastAsia"/>
              </w:rPr>
              <w:t xml:space="preserve">视网膜筛查逾期患者人数</w:t>
            </w:r>
          </w:p>
        </w:tc>
        <w:tc>
          <w:tcPr/>
          <w:p>
            <w:pPr>
              <w:pStyle w:val="Compact"/>
              <w:jc w:val="center"/>
            </w:pPr>
            <w:r>
              <w:t xml:space="preserve">3,420</w:t>
            </w:r>
          </w:p>
        </w:tc>
      </w:tr>
      <w:tr>
        <w:tc>
          <w:tcPr/>
          <w:p>
            <w:pPr>
              <w:pStyle w:val="Compact"/>
              <w:jc w:val="left"/>
            </w:pPr>
            <w:r>
              <w:rPr>
                <w:rFonts w:hint="eastAsia"/>
              </w:rPr>
              <w:t xml:space="preserve">与糖尿病相关的急诊就诊次数</w:t>
            </w:r>
          </w:p>
        </w:tc>
        <w:tc>
          <w:tcPr/>
          <w:p>
            <w:pPr>
              <w:pStyle w:val="Compact"/>
              <w:jc w:val="center"/>
            </w:pPr>
            <w:r>
              <w:t xml:space="preserve">684</w:t>
            </w:r>
          </w:p>
        </w:tc>
      </w:tr>
      <w:tr>
        <w:tc>
          <w:tcPr/>
          <w:p>
            <w:pPr>
              <w:pStyle w:val="Compact"/>
              <w:jc w:val="left"/>
            </w:pPr>
            <w:r>
              <w:rPr>
                <w:rFonts w:hint="eastAsia"/>
              </w:rPr>
              <w:t xml:space="preserve">完成的教育者预约次数</w:t>
            </w:r>
          </w:p>
        </w:tc>
        <w:tc>
          <w:tcPr/>
          <w:p>
            <w:pPr>
              <w:pStyle w:val="Compact"/>
              <w:jc w:val="center"/>
            </w:pPr>
            <w:r>
              <w:t xml:space="preserve">3,760</w:t>
            </w:r>
          </w:p>
        </w:tc>
      </w:tr>
      <w:tr>
        <w:tc>
          <w:tcPr/>
          <w:p>
            <w:pPr>
              <w:pStyle w:val="Compact"/>
              <w:jc w:val="left"/>
            </w:pPr>
            <w:r>
              <w:rPr>
                <w:rFonts w:hint="eastAsia"/>
              </w:rPr>
              <w:t xml:space="preserve">教育者爽约/临时取消率</w:t>
            </w:r>
          </w:p>
        </w:tc>
        <w:tc>
          <w:tcPr/>
          <w:p>
            <w:pPr>
              <w:pStyle w:val="Compact"/>
              <w:jc w:val="center"/>
            </w:pPr>
            <w:r>
              <w:t xml:space="preserve">24%</w:t>
            </w:r>
          </w:p>
        </w:tc>
      </w:tr>
      <w:tr>
        <w:tc>
          <w:tcPr/>
          <w:p>
            <w:pPr>
              <w:pStyle w:val="Compact"/>
              <w:jc w:val="left"/>
            </w:pPr>
            <w:r>
              <w:rPr>
                <w:rFonts w:hint="eastAsia"/>
              </w:rPr>
              <w:t xml:space="preserve">药剂师平均在管患者数</w:t>
            </w:r>
          </w:p>
        </w:tc>
        <w:tc>
          <w:tcPr/>
          <w:p>
            <w:pPr>
              <w:pStyle w:val="Compact"/>
              <w:jc w:val="center"/>
            </w:pPr>
            <w:r>
              <w:rPr>
                <w:rFonts w:hint="eastAsia"/>
              </w:rPr>
              <w:t xml:space="preserve">286名活跃患者</w:t>
            </w:r>
          </w:p>
        </w:tc>
      </w:tr>
      <w:tr>
        <w:tc>
          <w:tcPr/>
          <w:p>
            <w:pPr>
              <w:pStyle w:val="Compact"/>
              <w:jc w:val="left"/>
            </w:pPr>
            <w:r>
              <w:rPr>
                <w:rFonts w:hint="eastAsia"/>
              </w:rPr>
              <w:t xml:space="preserve">未获报销的护理管理支出</w:t>
            </w:r>
          </w:p>
        </w:tc>
        <w:tc>
          <w:tcPr/>
          <w:p>
            <w:pPr>
              <w:pStyle w:val="Compact"/>
              <w:jc w:val="center"/>
            </w:pPr>
            <w:r>
              <w:t xml:space="preserve">$1.18 million</w:t>
            </w:r>
          </w:p>
        </w:tc>
      </w:tr>
    </w:tbl>
    <w:p>
      <w:pPr>
        <w:pStyle w:val="BodyText"/>
      </w:pPr>
      <w:r>
        <w:rPr>
          <w:rFonts w:hint="eastAsia"/>
        </w:rPr>
        <w:t xml:space="preserve">诊所的质量仪表盘对改善A1c控制情况和完成特定筛查项目给予奖励，但并未充分反映所避免的严重低血糖事件、治疗负担、财务压力，或改善效果能否持续。一个使A1c降低但导致反复出现低血糖读数或造成经济困难的治疗方案，在一份报告中可能显得成功，而在另一份报告中却可能显得有害。</w:t>
      </w:r>
    </w:p>
    <w:bookmarkEnd w:id="17"/>
    <w:bookmarkEnd w:id="18"/>
    <w:bookmarkStart w:id="19" w:name="不同的解读"/>
    <w:p>
      <w:pPr>
        <w:pStyle w:val="Heading1"/>
      </w:pPr>
      <w:r>
        <w:rPr>
          <w:rFonts w:hint="eastAsia"/>
        </w:rPr>
        <w:t xml:space="preserve">不同的解读</w:t>
      </w:r>
    </w:p>
    <w:p>
      <w:pPr>
        <w:pStyle w:val="FirstParagraph"/>
      </w:pPr>
      <w:r>
        <w:rPr>
          <w:rFonts w:hint="eastAsia"/>
        </w:rPr>
        <w:t xml:space="preserve">护理团队的每位成员都以不同的方式看待里德的病例。药剂师倾向于停用与低血糖读数相关的药物，改用低血糖风险较低的药物，前提是能够安排好保险覆盖。教育者希望从一个里德能够在两种排班模式下都能执行的方案开始。护士护理经理认为，团队需要在做出另一项重大调整之前获得更多观测数据。帕克则担心，等待更好的信息可能会延长患者暴露于高血糖的时间。</w:t>
      </w:r>
    </w:p>
    <w:p>
      <w:pPr>
        <w:pStyle w:val="BodyText"/>
      </w:pPr>
      <w:r>
        <w:rPr>
          <w:rFonts w:hint="eastAsia"/>
        </w:rPr>
        <w:t xml:space="preserve">里德的优先事项并不完全契合任何一项提议。他希望获得更多精力、减少工作中的干扰、预防长期并发症，并拥有一个他能够预测的每月费用。他愿意做出改变，但不愿一次性全部改变。团队可以简化方案、强化方案，或分阶段推进方案——但不同的顺序会影响他们对改善或失败原因的理解。</w:t>
      </w:r>
    </w:p>
    <w:bookmarkEnd w:id="19"/>
    <w:bookmarkStart w:id="21" w:name="九十天的抉择"/>
    <w:p>
      <w:pPr>
        <w:pStyle w:val="Heading1"/>
      </w:pPr>
      <w:r>
        <w:rPr>
          <w:rFonts w:hint="eastAsia"/>
        </w:rPr>
        <w:t xml:space="preserve">九十天的抉择</w:t>
      </w:r>
    </w:p>
    <w:p>
      <w:pPr>
        <w:pStyle w:val="FirstParagraph"/>
      </w:pPr>
      <w:r>
        <w:rPr>
          <w:rFonts w:hint="eastAsia"/>
        </w:rPr>
        <w:t xml:space="preserve">病例讨论会将讨论范围缩小到三种大方向的方案。</w:t>
      </w:r>
    </w:p>
    <w:p>
      <w:pPr>
        <w:pStyle w:val="BodyText"/>
      </w:pPr>
      <w:r>
        <w:rPr>
          <w:rFonts w:hint="eastAsia"/>
        </w:rPr>
        <w:t xml:space="preserve">方案A：立即强化治疗。团队将替换当前的第二种药物，申请批准使用一种新型每周注射剂，继续进行连续血糖监测，并安排频繁随访。该方案带来快速改善的可能性最大，但成本、协调负担以及因副作用或审批延误而导致里德放弃治疗的风险也最高。</w:t>
      </w:r>
    </w:p>
    <w:p>
      <w:pPr>
        <w:pStyle w:val="BodyText"/>
      </w:pPr>
      <w:r>
        <w:rPr>
          <w:rFonts w:hint="eastAsia"/>
        </w:rPr>
        <w:t xml:space="preserve">方案B：简化并稳定方案。团队将围绕里德的轮班安排设计一个成本更低的用药方案，降低低血糖风险，专注于进餐时间安排和可行的运动方式，并在三个月后重新评估。该方案可能更易于坚持，但也可能在疾病持续进展的同时，让血糖仍处于偏高状态。</w:t>
      </w:r>
    </w:p>
    <w:p>
      <w:pPr>
        <w:pStyle w:val="BodyText"/>
      </w:pPr>
      <w:r>
        <w:rPr>
          <w:rFonts w:hint="eastAsia"/>
        </w:rPr>
        <w:t xml:space="preserve">方案C：先了解情况，再做决定。团队将再进行一次监测周期，配合结构化的饮食和用药记录，以及简短的远程联系，以在选择重大治疗调整之前先识别出各种模式。这一方法可能揭示出导致波动的原因，但额外获得的信息可能并不完整、可能因被观察而发生改变，或者可能来得太迟而无法证明延误是值得的。</w:t>
      </w:r>
    </w:p>
    <w:bookmarkStart w:id="20" w:name="附表5.-九十天规划情景"/>
    <w:p>
      <w:pPr>
        <w:pStyle w:val="Heading2"/>
      </w:pPr>
      <w:r>
        <w:rPr>
          <w:rFonts w:hint="eastAsia"/>
        </w:rPr>
        <w:t xml:space="preserve">附表5.</w:t>
      </w:r>
      <w:r>
        <w:t xml:space="preserve"> </w:t>
      </w:r>
      <w:r>
        <w:rPr>
          <w:rFonts w:hint="eastAsia"/>
        </w:rPr>
        <w:t xml:space="preserve">九十天规划情景</w:t>
      </w:r>
    </w:p>
    <w:tbl>
      <w:tblPr>
        <w:tblStyle w:val="Table"/>
        <w:tblW w:type="pct" w:w="4926"/>
        <w:tblLayout w:type="fixed"/>
        <w:tblLook w:firstRow="1" w:lastRow="0" w:firstColumn="0" w:lastColumn="0" w:noHBand="0" w:noVBand="0" w:val="0020"/>
      </w:tblPr>
      <w:tblGrid>
        <w:gridCol w:w="2445"/>
        <w:gridCol w:w="1106"/>
        <w:gridCol w:w="1281"/>
        <w:gridCol w:w="1106"/>
        <w:gridCol w:w="1863"/>
      </w:tblGrid>
      <w:tr>
        <w:trPr>
          <w:tblHeader w:val="on"/>
        </w:trPr>
        <w:tc>
          <w:tcPr/>
          <w:p>
            <w:pPr>
              <w:pStyle w:val="Compact"/>
              <w:jc w:val="left"/>
            </w:pPr>
            <w:r>
              <w:rPr>
                <w:rFonts w:hint="eastAsia"/>
              </w:rPr>
              <w:t xml:space="preserve">情景</w:t>
            </w:r>
          </w:p>
        </w:tc>
        <w:tc>
          <w:tcPr/>
          <w:p>
            <w:pPr>
              <w:pStyle w:val="Compact"/>
              <w:jc w:val="center"/>
            </w:pPr>
            <w:r>
              <w:rPr>
                <w:rFonts w:hint="eastAsia"/>
              </w:rPr>
              <w:t xml:space="preserve">随访时A1c</w:t>
            </w:r>
          </w:p>
        </w:tc>
        <w:tc>
          <w:tcPr/>
          <w:p>
            <w:pPr>
              <w:pStyle w:val="Compact"/>
              <w:jc w:val="center"/>
            </w:pPr>
            <w:r>
              <w:rPr>
                <w:rFonts w:hint="eastAsia"/>
              </w:rPr>
              <w:t xml:space="preserve">低血糖风险</w:t>
            </w:r>
          </w:p>
        </w:tc>
        <w:tc>
          <w:tcPr/>
          <w:p>
            <w:pPr>
              <w:pStyle w:val="Compact"/>
              <w:jc w:val="center"/>
            </w:pPr>
            <w:r>
              <w:rPr>
                <w:rFonts w:hint="eastAsia"/>
              </w:rPr>
              <w:t xml:space="preserve">患者负担</w:t>
            </w:r>
          </w:p>
        </w:tc>
        <w:tc>
          <w:tcPr/>
          <w:p>
            <w:pPr>
              <w:pStyle w:val="Compact"/>
              <w:jc w:val="center"/>
            </w:pPr>
            <w:r>
              <w:rPr>
                <w:rFonts w:hint="eastAsia"/>
              </w:rPr>
              <w:t xml:space="preserve">估计90天患者成本</w:t>
            </w:r>
          </w:p>
        </w:tc>
      </w:tr>
      <w:tr>
        <w:tc>
          <w:tcPr/>
          <w:p>
            <w:pPr>
              <w:pStyle w:val="Compact"/>
              <w:jc w:val="left"/>
            </w:pPr>
            <w:r>
              <w:rPr>
                <w:rFonts w:hint="eastAsia"/>
              </w:rPr>
              <w:t xml:space="preserve">反应良好/持续使用</w:t>
            </w:r>
          </w:p>
        </w:tc>
        <w:tc>
          <w:tcPr/>
          <w:p>
            <w:pPr>
              <w:pStyle w:val="Compact"/>
              <w:jc w:val="center"/>
            </w:pPr>
            <w:r>
              <w:t xml:space="preserve">7.4–8.0%</w:t>
            </w:r>
          </w:p>
        </w:tc>
        <w:tc>
          <w:tcPr/>
          <w:p>
            <w:pPr>
              <w:pStyle w:val="Compact"/>
              <w:jc w:val="center"/>
            </w:pPr>
            <w:r>
              <w:rPr>
                <w:rFonts w:hint="eastAsia"/>
              </w:rPr>
              <w:t xml:space="preserve">低到中等</w:t>
            </w:r>
          </w:p>
        </w:tc>
        <w:tc>
          <w:tcPr/>
          <w:p>
            <w:pPr>
              <w:pStyle w:val="Compact"/>
              <w:jc w:val="center"/>
            </w:pPr>
            <w:r>
              <w:rPr>
                <w:rFonts w:hint="eastAsia"/>
              </w:rPr>
              <w:t xml:space="preserve">中等</w:t>
            </w:r>
          </w:p>
        </w:tc>
        <w:tc>
          <w:tcPr/>
          <w:p>
            <w:pPr>
              <w:pStyle w:val="Compact"/>
              <w:jc w:val="center"/>
            </w:pPr>
            <w:r>
              <w:t xml:space="preserve">$180–$1,600</w:t>
            </w:r>
          </w:p>
        </w:tc>
      </w:tr>
      <w:tr>
        <w:tc>
          <w:tcPr/>
          <w:p>
            <w:pPr>
              <w:pStyle w:val="Compact"/>
              <w:jc w:val="left"/>
            </w:pPr>
            <w:r>
              <w:rPr>
                <w:rFonts w:hint="eastAsia"/>
              </w:rPr>
              <w:t xml:space="preserve">部分反应</w:t>
            </w:r>
          </w:p>
        </w:tc>
        <w:tc>
          <w:tcPr/>
          <w:p>
            <w:pPr>
              <w:pStyle w:val="Compact"/>
              <w:jc w:val="center"/>
            </w:pPr>
            <w:r>
              <w:t xml:space="preserve">8.1–8.7%</w:t>
            </w:r>
          </w:p>
        </w:tc>
        <w:tc>
          <w:tcPr/>
          <w:p>
            <w:pPr>
              <w:pStyle w:val="Compact"/>
              <w:jc w:val="center"/>
            </w:pPr>
            <w:r>
              <w:rPr>
                <w:rFonts w:hint="eastAsia"/>
              </w:rPr>
              <w:t xml:space="preserve">因方案而异</w:t>
            </w:r>
          </w:p>
        </w:tc>
        <w:tc>
          <w:tcPr/>
          <w:p>
            <w:pPr>
              <w:pStyle w:val="Compact"/>
              <w:jc w:val="center"/>
            </w:pPr>
            <w:r>
              <w:rPr>
                <w:rFonts w:hint="eastAsia"/>
              </w:rPr>
              <w:t xml:space="preserve">中到高</w:t>
            </w:r>
          </w:p>
        </w:tc>
        <w:tc>
          <w:tcPr/>
          <w:p>
            <w:pPr>
              <w:pStyle w:val="Compact"/>
              <w:jc w:val="center"/>
            </w:pPr>
            <w:r>
              <w:t xml:space="preserve">$120–$1,500</w:t>
            </w:r>
          </w:p>
        </w:tc>
      </w:tr>
      <w:tr>
        <w:tc>
          <w:tcPr/>
          <w:p>
            <w:pPr>
              <w:pStyle w:val="Compact"/>
              <w:jc w:val="left"/>
            </w:pPr>
            <w:r>
              <w:rPr>
                <w:rFonts w:hint="eastAsia"/>
              </w:rPr>
              <w:t xml:space="preserve">副作用或依从性不足</w:t>
            </w:r>
          </w:p>
        </w:tc>
        <w:tc>
          <w:tcPr/>
          <w:p>
            <w:pPr>
              <w:pStyle w:val="Compact"/>
              <w:jc w:val="center"/>
            </w:pPr>
            <w:r>
              <w:t xml:space="preserve">8.8–9.5%</w:t>
            </w:r>
          </w:p>
        </w:tc>
        <w:tc>
          <w:tcPr/>
          <w:p>
            <w:pPr>
              <w:pStyle w:val="Compact"/>
              <w:jc w:val="center"/>
            </w:pPr>
            <w:r>
              <w:rPr>
                <w:rFonts w:hint="eastAsia"/>
              </w:rPr>
              <w:t xml:space="preserve">不确定</w:t>
            </w:r>
          </w:p>
        </w:tc>
        <w:tc>
          <w:tcPr/>
          <w:p>
            <w:pPr>
              <w:pStyle w:val="Compact"/>
              <w:jc w:val="center"/>
            </w:pPr>
            <w:r>
              <w:rPr>
                <w:rFonts w:hint="eastAsia"/>
              </w:rPr>
              <w:t xml:space="preserve">高</w:t>
            </w:r>
          </w:p>
        </w:tc>
        <w:tc>
          <w:tcPr/>
          <w:p>
            <w:pPr>
              <w:pStyle w:val="Compact"/>
              <w:jc w:val="center"/>
            </w:pPr>
            <w:r>
              <w:t xml:space="preserve">$75–$900</w:t>
            </w:r>
          </w:p>
        </w:tc>
      </w:tr>
      <w:tr>
        <w:tc>
          <w:tcPr/>
          <w:p>
            <w:pPr>
              <w:pStyle w:val="Compact"/>
              <w:jc w:val="left"/>
            </w:pPr>
            <w:r>
              <w:rPr>
                <w:rFonts w:hint="eastAsia"/>
              </w:rPr>
              <w:t xml:space="preserve">保险中断</w:t>
            </w:r>
          </w:p>
        </w:tc>
        <w:tc>
          <w:tcPr/>
          <w:p>
            <w:pPr>
              <w:pStyle w:val="Compact"/>
              <w:jc w:val="center"/>
            </w:pPr>
            <w:r>
              <w:t xml:space="preserve">8.6–9.4%</w:t>
            </w:r>
          </w:p>
        </w:tc>
        <w:tc>
          <w:tcPr/>
          <w:p>
            <w:pPr>
              <w:pStyle w:val="Compact"/>
              <w:jc w:val="center"/>
            </w:pPr>
            <w:r>
              <w:rPr>
                <w:rFonts w:hint="eastAsia"/>
              </w:rPr>
              <w:t xml:space="preserve">取决于备用方案</w:t>
            </w:r>
          </w:p>
        </w:tc>
        <w:tc>
          <w:tcPr/>
          <w:p>
            <w:pPr>
              <w:pStyle w:val="Compact"/>
              <w:jc w:val="center"/>
            </w:pPr>
            <w:r>
              <w:rPr>
                <w:rFonts w:hint="eastAsia"/>
              </w:rPr>
              <w:t xml:space="preserve">高</w:t>
            </w:r>
          </w:p>
        </w:tc>
        <w:tc>
          <w:tcPr/>
          <w:p>
            <w:pPr>
              <w:pStyle w:val="Compact"/>
              <w:jc w:val="center"/>
            </w:pPr>
            <w:r>
              <w:t xml:space="preserve">$100–$1,200</w:t>
            </w:r>
          </w:p>
        </w:tc>
      </w:tr>
      <w:tr>
        <w:tc>
          <w:tcPr/>
          <w:p>
            <w:pPr>
              <w:pStyle w:val="Compact"/>
              <w:jc w:val="left"/>
            </w:pPr>
            <w:r>
              <w:rPr>
                <w:rFonts w:hint="eastAsia"/>
              </w:rPr>
              <w:t xml:space="preserve">日常习惯改善而无需高成本治疗</w:t>
            </w:r>
          </w:p>
        </w:tc>
        <w:tc>
          <w:tcPr/>
          <w:p>
            <w:pPr>
              <w:pStyle w:val="Compact"/>
              <w:jc w:val="center"/>
            </w:pPr>
            <w:r>
              <w:t xml:space="preserve">7.9–8.5%</w:t>
            </w:r>
          </w:p>
        </w:tc>
        <w:tc>
          <w:tcPr/>
          <w:p>
            <w:pPr>
              <w:pStyle w:val="Compact"/>
              <w:jc w:val="center"/>
            </w:pPr>
            <w:r>
              <w:rPr>
                <w:rFonts w:hint="eastAsia"/>
              </w:rPr>
              <w:t xml:space="preserve">低</w:t>
            </w:r>
          </w:p>
        </w:tc>
        <w:tc>
          <w:tcPr/>
          <w:p>
            <w:pPr>
              <w:pStyle w:val="Compact"/>
              <w:jc w:val="center"/>
            </w:pPr>
            <w:r>
              <w:rPr>
                <w:rFonts w:hint="eastAsia"/>
              </w:rPr>
              <w:t xml:space="preserve">中等</w:t>
            </w:r>
          </w:p>
        </w:tc>
        <w:tc>
          <w:tcPr/>
          <w:p>
            <w:pPr>
              <w:pStyle w:val="Compact"/>
              <w:jc w:val="center"/>
            </w:pPr>
            <w:r>
              <w:t xml:space="preserve">$45–$400</w:t>
            </w:r>
          </w:p>
        </w:tc>
      </w:tr>
    </w:tbl>
    <w:p>
      <w:pPr>
        <w:pStyle w:val="BodyText"/>
      </w:pPr>
      <w:r>
        <w:rPr>
          <w:rFonts w:hint="eastAsia"/>
        </w:rPr>
        <w:t xml:space="preserve">这些区间是规划性估算，而非临床预测。它们综合了关于生物学反应、药物获取、进餐模式、活动情况、依从性以及测量质量等方面的假设。同一个观测结果可能有多种解释。A1c的下降可能反映的是药物作用、行为的临时改变、夜班减少，或者这三者兼而有之。一个令人失望的结果，可能意味着治疗无效——也可能意味着该治疗从未被持续执行过。</w:t>
      </w:r>
    </w:p>
    <w:bookmarkEnd w:id="20"/>
    <w:bookmarkEnd w:id="21"/>
    <w:bookmarkStart w:id="22" w:name="患者返回之前"/>
    <w:p>
      <w:pPr>
        <w:pStyle w:val="Heading1"/>
      </w:pPr>
      <w:r>
        <w:rPr>
          <w:rFonts w:hint="eastAsia"/>
        </w:rPr>
        <w:t xml:space="preserve">患者返回之前</w:t>
      </w:r>
    </w:p>
    <w:p>
      <w:pPr>
        <w:pStyle w:val="FirstParagraph"/>
      </w:pPr>
      <w:r>
        <w:rPr>
          <w:rFonts w:hint="eastAsia"/>
        </w:rPr>
        <w:t xml:space="preserve">在里德返回会议室之前，团队还有二十分钟时间。帕克需要提出一个方案，决定要收集哪些信息，确定诊所进行干预的频率，并以里德能够理解和运用的方式解释各种权衡取舍。她还需要确定在九十天随访之前，什么情况将触发方案调整：反复出现的低血糖读数、持续偏高的血糖、副作用、漏服药物、无力支付费用，或仅仅是里德自己判断该方案不适合他的生活。</w:t>
      </w:r>
    </w:p>
    <w:p>
      <w:pPr>
        <w:pStyle w:val="BodyText"/>
      </w:pPr>
      <w:r>
        <w:rPr>
          <w:rFonts w:hint="eastAsia"/>
        </w:rPr>
        <w:t xml:space="preserve">看着监测仪的图表，帕克不禁思考：最重要的选择究竟在于药物、监测技术、里德的日常作息、随访强度，还是这些要素被引入的先后顺序。这个案例并不缺少可能采取的行动。它所缺少的是一种把握——即每一项行动将如何与一位其生理状态、日程安排、资源状况和意愿都可能在下一次实验室结果出来之前发生变化的患者相互作用。</w:t>
      </w:r>
    </w:p>
    <w:bookmarkEnd w:id="22"/>
    <w:bookmarkStart w:id="23" w:name="讨论问题"/>
    <w:p>
      <w:pPr>
        <w:pStyle w:val="Heading1"/>
      </w:pPr>
      <w:r>
        <w:rPr>
          <w:rFonts w:hint="eastAsia"/>
        </w:rPr>
        <w:t xml:space="preserve">讨论问题</w:t>
      </w:r>
    </w:p>
    <w:p>
      <w:pPr>
        <w:numPr>
          <w:ilvl w:val="0"/>
          <w:numId w:val="1001"/>
        </w:numPr>
      </w:pPr>
      <w:r>
        <w:rPr>
          <w:rFonts w:hint="eastAsia"/>
        </w:rPr>
        <w:t xml:space="preserve">帕克和湖畔团队面临的核心问题是什么？哪些已报告的数字最具信息价值，哪些又可能掩盖了重要的变化？</w:t>
      </w:r>
    </w:p>
    <w:p>
      <w:pPr>
        <w:numPr>
          <w:ilvl w:val="0"/>
          <w:numId w:val="1001"/>
        </w:numPr>
      </w:pPr>
      <w:r>
        <w:rPr>
          <w:rFonts w:hint="eastAsia"/>
        </w:rPr>
        <w:t xml:space="preserve">应如何在里德当前的高血糖或低血糖风险，与可能需要多年才会显现的并发症风险之间取得平衡？</w:t>
      </w:r>
    </w:p>
    <w:p>
      <w:pPr>
        <w:numPr>
          <w:ilvl w:val="0"/>
          <w:numId w:val="1001"/>
        </w:numPr>
      </w:pPr>
      <w:r>
        <w:rPr>
          <w:rFonts w:hint="eastAsia"/>
        </w:rPr>
        <w:t xml:space="preserve">在选择治疗方案之前，哪些额外信息最有价值？团队应如何获取这些信息？</w:t>
      </w:r>
    </w:p>
    <w:p>
      <w:pPr>
        <w:numPr>
          <w:ilvl w:val="0"/>
          <w:numId w:val="1001"/>
        </w:numPr>
      </w:pPr>
      <w:r>
        <w:rPr>
          <w:rFonts w:hint="eastAsia"/>
        </w:rPr>
        <w:t xml:space="preserve">团队应立即强化治疗、简化治疗方案，还是先收集更多观测数据？</w:t>
      </w:r>
    </w:p>
    <w:p>
      <w:pPr>
        <w:numPr>
          <w:ilvl w:val="0"/>
          <w:numId w:val="1001"/>
        </w:numPr>
      </w:pPr>
      <w:r>
        <w:rPr>
          <w:rFonts w:hint="eastAsia"/>
        </w:rPr>
        <w:t xml:space="preserve">可负担性和保险的不确定性应如何影响一个在临床上可能颇具吸引力的方案？</w:t>
      </w:r>
    </w:p>
    <w:p>
      <w:pPr>
        <w:numPr>
          <w:ilvl w:val="0"/>
          <w:numId w:val="1001"/>
        </w:numPr>
      </w:pPr>
      <w:r>
        <w:rPr>
          <w:rFonts w:hint="eastAsia"/>
        </w:rPr>
        <w:t xml:space="preserve">方案的哪些部分应由临床医生决定，哪些选择应主要留给里德自己？</w:t>
      </w:r>
    </w:p>
    <w:p>
      <w:pPr>
        <w:numPr>
          <w:ilvl w:val="0"/>
          <w:numId w:val="1001"/>
        </w:numPr>
      </w:pPr>
      <w:r>
        <w:rPr>
          <w:rFonts w:hint="eastAsia"/>
        </w:rPr>
        <w:t xml:space="preserve">如果里德只执行了方案的部分内容，湖畔应如何应对？</w:t>
      </w:r>
    </w:p>
    <w:p>
      <w:pPr>
        <w:numPr>
          <w:ilvl w:val="0"/>
          <w:numId w:val="1001"/>
        </w:numPr>
      </w:pPr>
      <w:r>
        <w:rPr>
          <w:rFonts w:hint="eastAsia"/>
        </w:rPr>
        <w:t xml:space="preserve">在九十天复查之前，哪些情况应触发治疗方案的调整？</w:t>
      </w:r>
    </w:p>
    <w:p>
      <w:pPr>
        <w:numPr>
          <w:ilvl w:val="0"/>
          <w:numId w:val="1001"/>
        </w:numPr>
      </w:pPr>
      <w:r>
        <w:rPr>
          <w:rFonts w:hint="eastAsia"/>
        </w:rPr>
        <w:t xml:space="preserve">诊所应如何在里德和其他患者之间分配有限的药剂师、教育者和护理经理资源？</w:t>
      </w:r>
    </w:p>
    <w:p>
      <w:pPr>
        <w:numPr>
          <w:ilvl w:val="0"/>
          <w:numId w:val="1001"/>
        </w:numPr>
      </w:pPr>
      <w:r>
        <w:rPr>
          <w:rFonts w:hint="eastAsia"/>
        </w:rPr>
        <w:t xml:space="preserve">如果血糖控制、低血糖风险、成本、治疗负担和可持续性各自指向不同的方向，那么九十天后什么样的结果才算是成功？</w:t>
      </w:r>
    </w:p>
    <w:bookmarkEnd w:id="23"/>
    <w:bookmarkStart w:id="29"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识别并描述决策者的职责。这应界定问题的范围。</w:t>
      </w:r>
    </w:p>
    <w:p>
      <w:pPr>
        <w:numPr>
          <w:ilvl w:val="0"/>
          <w:numId w:val="1002"/>
        </w:numPr>
      </w:pPr>
      <w:r>
        <w:rPr>
          <w:rFonts w:hint="eastAsia"/>
        </w:rPr>
        <w:t xml:space="preserve">使用</w:t>
      </w:r>
      <w:hyperlink r:id="rId24">
        <w:r>
          <w:rPr>
            <w:rStyle w:val="Hyperlink"/>
            <w:rFonts w:hint="eastAsia"/>
          </w:rPr>
          <w:t xml:space="preserve">指标金字塔工具</w:t>
        </w:r>
      </w:hyperlink>
      <w:r>
        <w:rPr>
          <w:rFonts w:hint="eastAsia"/>
        </w:rPr>
        <w:t xml:space="preserve">来识别并排列不同绩效指标的优先级。点击承载该指标的椭圆形，以标明该指标是应被最大化的指标（绿色）、应被最小化的指标（红色）、作为下限的目标（浅绿色）、作为上限的目标（浅红色），还是一个目标值（紫色）。</w:t>
      </w:r>
    </w:p>
    <w:p>
      <w:pPr>
        <w:numPr>
          <w:ilvl w:val="0"/>
          <w:numId w:val="1002"/>
        </w:numPr>
      </w:pPr>
      <w:r>
        <w:rPr>
          <w:rFonts w:hint="eastAsia"/>
        </w:rPr>
        <w:t xml:space="preserve">使用</w:t>
      </w:r>
      <w:hyperlink r:id="rId25">
        <w:r>
          <w:rPr>
            <w:rStyle w:val="Hyperlink"/>
            <w:rFonts w:hint="eastAsia"/>
          </w:rPr>
          <w:t xml:space="preserve">决策优先级工具</w:t>
        </w:r>
      </w:hyperlink>
      <w:r>
        <w:rPr>
          <w:rFonts w:hint="eastAsia"/>
        </w:rPr>
        <w:t xml:space="preserve">，首先列出不同类型的决策（可参考</w:t>
      </w:r>
      <w:hyperlink r:id="rId26">
        <w:r>
          <w:rPr>
            <w:rStyle w:val="Hyperlink"/>
            <w:rFonts w:hint="eastAsia"/>
          </w:rPr>
          <w:t xml:space="preserve">决策类型</w:t>
        </w:r>
      </w:hyperlink>
      <w:r>
        <w:rPr>
          <w:rFonts w:hint="eastAsia"/>
        </w:rPr>
        <w:t xml:space="preserve">作为指导）。这些决策随后将填充到右侧矩阵的各行中，而各列则是根据上方金字塔中的优先级从左到右排列的绩效指标。点击每个单元格，以标明该决策对每个指标的影响程度是高（红色）、中（橙色）、低（黄色）还是无影响（白色）。</w:t>
      </w:r>
    </w:p>
    <w:p>
      <w:pPr>
        <w:numPr>
          <w:ilvl w:val="0"/>
          <w:numId w:val="1002"/>
        </w:numPr>
      </w:pPr>
      <w:r>
        <w:rPr>
          <w:rFonts w:hint="eastAsia"/>
        </w:rPr>
        <w:t xml:space="preserve">你可以抓住每行最左侧的把手（三条横杠）将其上下移动。对各行进行排序，使对最重要指标影响最大的决策排在上方。左上角的单元格应集中最多的红色和橙色。此时，请识别出你的研究中应给予最多关注的决策。如果没有任何决策对最重要的指标具有中等或高等程度的影响，请重新审视你的决策清单。</w:t>
      </w:r>
    </w:p>
    <w:p>
      <w:pPr>
        <w:numPr>
          <w:ilvl w:val="0"/>
          <w:numId w:val="1002"/>
        </w:numPr>
      </w:pPr>
      <w:r>
        <w:rPr>
          <w:rFonts w:hint="eastAsia"/>
        </w:rPr>
        <w:t xml:space="preserve">使用</w:t>
      </w:r>
      <w:hyperlink r:id="rId27">
        <w:r>
          <w:rPr>
            <w:rStyle w:val="Hyperlink"/>
            <w:rFonts w:hint="eastAsia"/>
          </w:rPr>
          <w:t xml:space="preserve">不确定性优先级工具</w:t>
        </w:r>
      </w:hyperlink>
      <w:r>
        <w:rPr>
          <w:rFonts w:hint="eastAsia"/>
        </w:rPr>
        <w:t xml:space="preserve">，重复上述过程来列出并排列不确定性的优先级。可参考</w:t>
      </w:r>
      <w:hyperlink r:id="rId28">
        <w:r>
          <w:rPr>
            <w:rStyle w:val="Hyperlink"/>
            <w:rFonts w:hint="eastAsia"/>
          </w:rPr>
          <w:t xml:space="preserve">不确定性类别</w:t>
        </w:r>
      </w:hyperlink>
      <w:r>
        <w:rPr>
          <w:rFonts w:hint="eastAsia"/>
        </w:rPr>
        <w:t xml:space="preserve">以帮助你识别这些不确定性。</w:t>
      </w:r>
    </w:p>
    <w:p>
      <w:pPr>
        <w:numPr>
          <w:ilvl w:val="0"/>
          <w:numId w:val="1002"/>
        </w:numPr>
      </w:pPr>
      <w:r>
        <w:rPr>
          <w:rFonts w:hint="eastAsia"/>
        </w:rPr>
        <w:t xml:space="preserve">区分那些可以通过平均表现来评估的不确定性，以及那些属于风险事件的不确定性，这一点十分重要：</w:t>
      </w:r>
    </w:p>
    <w:p>
      <w:pPr>
        <w:numPr>
          <w:ilvl w:val="1"/>
          <w:numId w:val="1003"/>
        </w:numPr>
      </w:pPr>
      <w:r>
        <w:rPr>
          <w:rFonts w:hint="eastAsia"/>
        </w:rPr>
        <w:t xml:space="preserve">哪些不确定性来源可以通过长期的平均表现来体现？</w:t>
      </w:r>
    </w:p>
    <w:p>
      <w:pPr>
        <w:numPr>
          <w:ilvl w:val="1"/>
          <w:numId w:val="1003"/>
        </w:numPr>
      </w:pPr>
      <w:r>
        <w:rPr>
          <w:rFonts w:hint="eastAsia"/>
        </w:rPr>
        <w:t xml:space="preserve">哪些不确定性来源代表了无法通过平均值恰当反映的风险形式？</w:t>
      </w:r>
    </w:p>
    <w:p>
      <w:pPr>
        <w:numPr>
          <w:ilvl w:val="0"/>
          <w:numId w:val="1002"/>
        </w:numPr>
      </w:pPr>
      <w:r>
        <w:rPr>
          <w:rFonts w:hint="eastAsia"/>
        </w:rPr>
        <w:t xml:space="preserve">选择一个对最重要指标似乎具有最高影响的单一决策。</w:t>
      </w:r>
    </w:p>
    <w:p>
      <w:pPr>
        <w:numPr>
          <w:ilvl w:val="1"/>
          <w:numId w:val="1004"/>
        </w:numPr>
      </w:pPr>
      <w:r>
        <w:rPr>
          <w:rFonts w:hint="eastAsia"/>
        </w:rPr>
        <w:t xml:space="preserve">你认为你会采用什么方法来做出这一决策？</w:t>
      </w:r>
    </w:p>
    <w:p>
      <w:pPr>
        <w:numPr>
          <w:ilvl w:val="1"/>
          <w:numId w:val="1004"/>
        </w:numPr>
      </w:pPr>
      <w:r>
        <w:rPr>
          <w:rFonts w:hint="eastAsia"/>
        </w:rPr>
        <w:t xml:space="preserve">做出这一决策似乎需要哪些数据，包括计算该决策具有高或中等影响的任何绩效指标所需的数据。</w:t>
      </w:r>
    </w:p>
    <w:p>
      <w:pPr>
        <w:numPr>
          <w:ilvl w:val="0"/>
          <w:numId w:val="1002"/>
        </w:numPr>
      </w:pPr>
      <w:r>
        <w:rPr>
          <w:rFonts w:hint="eastAsia"/>
        </w:rPr>
        <w:t xml:space="preserve">针对你在第(7)题中确定的同一决策，识别出实施该决策需要与之合作的人员、部门、团体或组织。</w:t>
      </w:r>
    </w:p>
    <w:bookmarkEnd w:id="29"/>
    <w:bookmarkStart w:id="30" w:name="来源说明"/>
    <w:p>
      <w:pPr>
        <w:pStyle w:val="Heading1"/>
      </w:pPr>
      <w:r>
        <w:rPr>
          <w:rFonts w:hint="eastAsia"/>
        </w:rPr>
        <w:t xml:space="preserve">来源说明</w:t>
      </w:r>
    </w:p>
    <w:p>
      <w:pPr>
        <w:pStyle w:val="FirstParagraph"/>
      </w:pPr>
      <w:r>
        <w:rPr>
          <w:rFonts w:hint="eastAsia"/>
        </w:rPr>
        <w:t xml:space="preserve">本案例的概念基础来自沃伦·B·鲍威尔（Warren</w:t>
      </w:r>
      <w:r>
        <w:t xml:space="preserve"> B. </w:t>
      </w:r>
      <w:r>
        <w:rPr>
          <w:rFonts w:hint="eastAsia"/>
        </w:rPr>
        <w:t xml:space="preserve">Powell）所著《架起决策问题之桥，第一卷：问题的界定》（</w:t>
      </w:r>
      <w:r>
        <w:rPr>
          <w:i/>
          <w:iCs/>
        </w:rPr>
        <w:t xml:space="preserve">Bridging Decision Problems, Volume I: Framing the Problem</w:t>
      </w:r>
      <w:r>
        <w:rPr>
          <w:rFonts w:hint="eastAsia"/>
        </w:rPr>
        <w:t xml:space="preserve">）第2章中”管理2型糖尿病”一节。本案例在叙述和附表中嵌入了该节所述的临床指标、治疗选择、患者行为和未知反应，但并未将其单独标注为分析类别。</w:t>
      </w:r>
    </w:p>
    <w:p>
      <w:pPr>
        <w:pStyle w:val="BodyText"/>
      </w:pPr>
      <w:r>
        <w:rPr>
          <w:rFonts w:hint="eastAsia"/>
        </w:rPr>
        <w:t xml:space="preserve">用于构建背景的公开数据包括：美国疾病控制与预防中心（Centers</w:t>
      </w:r>
      <w:r>
        <w:t xml:space="preserve"> for Disease Control and </w:t>
      </w:r>
      <w:r>
        <w:rPr>
          <w:rFonts w:hint="eastAsia"/>
        </w:rPr>
        <w:t xml:space="preserve">Prevention）《国家糖尿病统计报告》（</w:t>
      </w:r>
      <w:r>
        <w:rPr>
          <w:i/>
          <w:iCs/>
        </w:rPr>
        <w:t xml:space="preserve">National Diabetes Statistics Report</w:t>
      </w:r>
      <w:r>
        <w:rPr>
          <w:rFonts w:hint="eastAsia"/>
        </w:rPr>
        <w:t xml:space="preserve">，2026年1月更新版），该报告估计2023年美国有4010万糖尿病患者，另有1.152亿成人处于糖尿病前期；CDC的《糖尿病基础知识》（</w:t>
      </w:r>
      <w:r>
        <w:rPr>
          <w:i/>
          <w:iCs/>
        </w:rPr>
        <w:t xml:space="preserve">Diabetes Basics</w:t>
      </w:r>
      <w:r>
        <w:rPr>
          <w:rFonts w:hint="eastAsia"/>
        </w:rPr>
        <w:t xml:space="preserve">）指出，2型糖尿病约占确诊病例的90%–95%；以及美国国立糖尿病、消化和肾脏疾病研究所（National</w:t>
      </w:r>
      <w:r>
        <w:t xml:space="preserve"> Institute of Diabetes and Digestive and Kidney </w:t>
      </w:r>
      <w:r>
        <w:rPr>
          <w:rFonts w:hint="eastAsia"/>
        </w:rPr>
        <w:t xml:space="preserve">Diseases）的估算，将2022年确诊糖尿病的成本定为$412.9</w:t>
      </w:r>
      <w:r>
        <w:t xml:space="preserve"> </w:t>
      </w:r>
      <w:r>
        <w:rPr>
          <w:rFonts w:hint="eastAsia"/>
        </w:rPr>
        <w:t xml:space="preserve">billion。CDC还报告称，糖尿病相关的医疗成本是非糖尿病患者的两倍多。案例中出现的所有患者、诊所、治疗、保险及财务数据均为虚构，不用于指导医疗实践。</w:t>
      </w:r>
    </w:p>
    <w:bookmarkEnd w:id="30"/>
    <w:bookmarkStart w:id="33" w:name="chatgpt说明"/>
    <w:p>
      <w:pPr>
        <w:pStyle w:val="Heading1"/>
      </w:pPr>
      <w:r>
        <w:rPr>
          <w:rFonts w:hint="eastAsia"/>
        </w:rPr>
        <w:t xml:space="preserve">ChatGPT说明</w:t>
      </w:r>
    </w:p>
    <w:bookmarkStart w:id="31" w:name="提示词"/>
    <w:p>
      <w:pPr>
        <w:pStyle w:val="Heading2"/>
      </w:pPr>
      <w:r>
        <w:rPr>
          <w:rFonts w:hint="eastAsia"/>
        </w:rPr>
        <w:t xml:space="preserve">提示词</w:t>
      </w:r>
    </w:p>
    <w:p>
      <w:pPr>
        <w:pStyle w:val="FirstParagraph"/>
      </w:pPr>
      <w:r>
        <w:rPr>
          <w:rFonts w:hint="eastAsia"/>
        </w:rPr>
        <w:t xml:space="preserve">请根据</w:t>
      </w:r>
      <w:r>
        <w:t xml:space="preserve"> https://warrenpowell.org/bridging-vol1/chapter-2/#managing-type-2-diabetes </w:t>
      </w:r>
      <w:r>
        <w:rPr>
          <w:rFonts w:hint="eastAsia"/>
        </w:rPr>
        <w:t xml:space="preserve">该章节中的材料，撰写一篇4-6页的案例研究。请基于该章节中的指标、决策和不确定性构建一个情境，但不要明确指出这些要素。请用数据来引出你的案例问题。</w:t>
      </w:r>
    </w:p>
    <w:bookmarkEnd w:id="31"/>
    <w:bookmarkStart w:id="32" w:name="摘要"/>
    <w:p>
      <w:pPr>
        <w:pStyle w:val="Heading2"/>
      </w:pPr>
      <w:r>
        <w:rPr>
          <w:rFonts w:hint="eastAsia"/>
        </w:rPr>
        <w:t xml:space="preserve">摘要</w:t>
      </w:r>
    </w:p>
    <w:p>
      <w:pPr>
        <w:pStyle w:val="FirstParagraph"/>
      </w:pPr>
      <w:r>
        <w:rPr>
          <w:rFonts w:hint="eastAsia"/>
        </w:rPr>
        <w:t xml:space="preserve">该案例讲述了一名医生、一个护理团队和一名患者共同面对一个尚未解决的2型糖尿病治疗问题，涉及药物反应、血糖监测、饮食与运动、依从性、治疗成本、保险覆盖、人员配置能力，以及短期血糖波动与长期并发症之间的张力。</w:t>
      </w:r>
    </w:p>
    <w:p>
      <w:pPr>
        <w:pStyle w:val="BodyText"/>
      </w:pPr>
      <w:r>
        <w:rPr>
          <w:rFonts w:hint="eastAsia"/>
        </w:rPr>
        <w:t xml:space="preserve">该情境的构建参考了当前联邦估算数据：2023年美国有4010万人患有糖尿病，2型糖尿病约占确诊病例的90%–95%，且2022年美国确诊糖尿病的估计成本为$412.9</w:t>
      </w:r>
      <w:r>
        <w:t xml:space="preserve"> billion。</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2026-09-11T17:14:32Z</dcterms:created>
  <dcterms:modified xsi:type="dcterms:W3CDTF">2026-09-11T17:14:32Z</dcterms:modified>
</cp:coreProperties>
</file>

<file path=docProps/custom.xml><?xml version="1.0" encoding="utf-8"?>
<Properties xmlns="http://schemas.openxmlformats.org/officeDocument/2006/custom-properties" xmlns:vt="http://schemas.openxmlformats.org/officeDocument/2006/docPropsVTypes"/>
</file>