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子午线竞选团队"/>
    <w:p>
      <w:pPr>
        <w:pStyle w:val="Heading1"/>
      </w:pPr>
      <w:r>
        <w:rPr>
          <w:rFonts w:hint="eastAsia"/>
        </w:rPr>
        <w:t xml:space="preserve">子午线竞选团队</w:t>
      </w:r>
    </w:p>
    <w:bookmarkEnd w:id="9"/>
    <w:bookmarkStart w:id="10" w:name="九十三张选举人票的地图"/>
    <w:p>
      <w:pPr>
        <w:pStyle w:val="Heading1"/>
      </w:pPr>
      <w:r>
        <w:rPr>
          <w:rFonts w:hint="eastAsia"/>
        </w:rPr>
        <w:t xml:space="preserve">九十三张选举人票的地图</w:t>
      </w:r>
    </w:p>
    <w:p>
      <w:pPr>
        <w:pStyle w:val="FirstParagraph"/>
      </w:pPr>
      <w:r>
        <w:rPr>
          <w:rFonts w:hint="eastAsia"/>
        </w:rPr>
        <w:t xml:space="preserve">一个关于在不断变化的选情格局中分配资金、候选人时间、信息与外勤能力的总统大选案例</w:t>
      </w:r>
    </w:p>
    <w:p>
      <w:pPr>
        <w:pStyle w:val="BodyText"/>
      </w:pPr>
      <w:r>
        <w:rPr>
          <w:rFonts w:hint="eastAsia"/>
        </w:rPr>
        <w:t xml:space="preserve">本案例为虚构内容，仅供教学讨论之用。候选人、政党、工作人员、事件、民调结果及内部财务数据均为案例虚构创作。公开的选举与竞选筹款统计数据见资料来源说明。</w:t>
      </w:r>
    </w:p>
    <w:bookmarkEnd w:id="10"/>
    <w:bookmarkStart w:id="12" w:name="距大选日还有十一周"/>
    <w:p>
      <w:pPr>
        <w:pStyle w:val="Heading1"/>
      </w:pPr>
      <w:r>
        <w:rPr>
          <w:rFonts w:hint="eastAsia"/>
        </w:rPr>
        <w:t xml:space="preserve">距大选日还有十一周</w:t>
      </w:r>
    </w:p>
    <w:p>
      <w:pPr>
        <w:pStyle w:val="FirstParagraph"/>
      </w:pPr>
      <w:r>
        <w:rPr>
          <w:rFonts w:hint="eastAsia"/>
        </w:rPr>
        <w:t xml:space="preserve">八月的一个周一清晨6点15分，竞选经理玛雅·陈站在子午线竞选团队总部一面墙壁大小的选举地图前。距选民选出下一任总统还有十一周。地图显示，226张选举人票被评为对乔丹·子午线州长安全或有利，219张对坎梅伦·里德参议员安全或有利，另有93张分布在七个双方都无法有把握地宣称获胜的州。获胜需要270张。</w:t>
      </w:r>
    </w:p>
    <w:p>
      <w:pPr>
        <w:pStyle w:val="BodyText"/>
      </w:pPr>
      <w:r>
        <w:rPr>
          <w:rFonts w:hint="eastAsia"/>
        </w:rPr>
        <w:t xml:space="preserve">竞选团队有足够的资金保持竞争力，但不足以追求每一个机会。子午线竞选团队委员会持有1.38亿美元现金。财务人员预计在选举日之前还能再筹得5,200万美元，但这一预测取决于捐赠者对各类信息、辩论、新闻事件以及竞选团队全国民调地位的反应。现有的薪资、差旅、党代会义务、法律费用以及广告预留已经承诺支出9,600万美元。各州负责人正在争取再获得8,400万美元，用于外勤办公室、组织者、数据服务、民调、选民联络以及选举日行动。</w:t>
      </w:r>
    </w:p>
    <w:p>
      <w:pPr>
        <w:pStyle w:val="BodyText"/>
      </w:pPr>
      <w:r>
        <w:rPr>
          <w:rFonts w:hint="eastAsia"/>
        </w:rPr>
        <w:t xml:space="preserve">陈被要求在四十八小时内提交一份最终的资源计划。候选人希望在所有七个争议州进行竞选活动。广告团队希望在价格上涨前预订电视和流媒体广告位。外勤主管认为，延迟招聘会浪费已经报名的志愿者所带来的优势。民调主管希望在竞选团队内部估计数据在三周内两次大幅波动之后，能有更大的样本量和更频繁的调查。财务主管则警告称，竞选团队不能花费仅仅是希望筹到的钱。</w:t>
      </w:r>
    </w:p>
    <w:bookmarkStart w:id="11" w:name="图-1.-争议选举人票地图"/>
    <w:p>
      <w:pPr>
        <w:pStyle w:val="Heading2"/>
      </w:pPr>
      <w:r>
        <w:rPr>
          <w:rFonts w:hint="eastAsia"/>
        </w:rPr>
        <w:t xml:space="preserve">图</w:t>
      </w:r>
      <w:r>
        <w:t xml:space="preserve"> 1. </w:t>
      </w:r>
      <w:r>
        <w:rPr>
          <w:rFonts w:hint="eastAsia"/>
        </w:rPr>
        <w:t xml:space="preserve">争议选举人票地图</w:t>
      </w:r>
    </w:p>
    <w:tbl>
      <w:tblPr>
        <w:tblStyle w:val="Table"/>
        <w:tblW w:type="pct" w:w="4903"/>
        <w:tblLayout w:type="fixed"/>
        <w:tblLook w:firstRow="1" w:lastRow="0" w:firstColumn="0" w:lastColumn="0" w:noHBand="0" w:noVBand="0" w:val="0020"/>
      </w:tblPr>
      <w:tblGrid>
        <w:gridCol w:w="1153"/>
        <w:gridCol w:w="1384"/>
        <w:gridCol w:w="1230"/>
        <w:gridCol w:w="922"/>
        <w:gridCol w:w="1537"/>
        <w:gridCol w:w="1537"/>
      </w:tblGrid>
      <w:tr>
        <w:trPr>
          <w:tblHeader w:val="on"/>
        </w:trPr>
        <w:tc>
          <w:tcPr/>
          <w:p>
            <w:pPr>
              <w:pStyle w:val="Compact"/>
            </w:pPr>
            <w:r>
              <w:rPr>
                <w:rFonts w:hint="eastAsia"/>
              </w:rPr>
              <w:t xml:space="preserve">州</w:t>
            </w:r>
            <w:r>
              <w:t xml:space="preserve"> </w:t>
            </w:r>
            <w:r>
              <w:rPr>
                <w:rFonts w:hint="eastAsia"/>
              </w:rPr>
              <w:t xml:space="preserve">选</w:t>
            </w:r>
          </w:p>
        </w:tc>
        <w:tc>
          <w:tcPr/>
          <w:p>
            <w:pPr>
              <w:pStyle w:val="Compact"/>
            </w:pPr>
            <w:r>
              <w:rPr>
                <w:rFonts w:hint="eastAsia"/>
              </w:rPr>
              <w:t xml:space="preserve">举人票</w:t>
            </w:r>
            <w:r>
              <w:t xml:space="preserve"> </w:t>
            </w:r>
            <w:r>
              <w:rPr>
                <w:rFonts w:hint="eastAsia"/>
              </w:rPr>
              <w:t xml:space="preserve">子午线民调</w:t>
            </w:r>
          </w:p>
        </w:tc>
        <w:tc>
          <w:tcPr/>
          <w:p>
            <w:pPr>
              <w:pStyle w:val="Compact"/>
              <w:jc w:val="right"/>
            </w:pPr>
            <w:r>
              <w:rPr>
                <w:rFonts w:hint="eastAsia"/>
              </w:rPr>
              <w:t xml:space="preserve">里德民调</w:t>
            </w:r>
          </w:p>
        </w:tc>
        <w:tc>
          <w:tcPr/>
          <w:p>
            <w:pPr>
              <w:pStyle w:val="Compact"/>
              <w:jc w:val="right"/>
            </w:pPr>
            <w:r>
              <w:rPr>
                <w:rFonts w:hint="eastAsia"/>
              </w:rPr>
              <w:t xml:space="preserve">未决定/其</w:t>
            </w:r>
          </w:p>
        </w:tc>
        <w:tc>
          <w:tcPr/>
          <w:p>
            <w:pPr>
              <w:pStyle w:val="Compact"/>
            </w:pPr>
            <w:r>
              <w:rPr>
                <w:rFonts w:hint="eastAsia"/>
              </w:rPr>
              <w:t xml:space="preserve">他</w:t>
            </w:r>
            <w:r>
              <w:t xml:space="preserve"> </w:t>
            </w:r>
            <w:r>
              <w:rPr>
                <w:rFonts w:hint="eastAsia"/>
              </w:rPr>
              <w:t xml:space="preserve">预计投票人</w:t>
            </w:r>
          </w:p>
        </w:tc>
        <w:tc>
          <w:tcPr/>
          <w:p>
            <w:pPr>
              <w:pStyle w:val="Compact"/>
              <w:jc w:val="left"/>
            </w:pPr>
            <w:r>
              <w:rPr>
                <w:rFonts w:hint="eastAsia"/>
              </w:rPr>
              <w:t xml:space="preserve">数</w:t>
            </w:r>
          </w:p>
        </w:tc>
      </w:tr>
      <w:tr>
        <w:tc>
          <w:tcPr/>
          <w:p>
            <w:pPr>
              <w:pStyle w:val="Compact"/>
            </w:pPr>
            <w:r>
              <w:rPr>
                <w:rFonts w:hint="eastAsia"/>
              </w:rPr>
              <w:t xml:space="preserve">北湖</w:t>
            </w:r>
            <w:r>
              <w:t xml:space="preserve"> 1</w:t>
            </w:r>
          </w:p>
        </w:tc>
        <w:tc>
          <w:tcPr/>
          <w:p>
            <w:pPr>
              <w:pStyle w:val="Compact"/>
            </w:pPr>
            <w:r>
              <w:t xml:space="preserve">9 4</w:t>
            </w:r>
          </w:p>
        </w:tc>
        <w:tc>
          <w:tcPr/>
          <w:p>
            <w:pPr>
              <w:pStyle w:val="Compact"/>
              <w:jc w:val="right"/>
            </w:pPr>
            <w:r>
              <w:t xml:space="preserve">7.8% 4</w:t>
            </w:r>
          </w:p>
        </w:tc>
        <w:tc>
          <w:tcPr/>
          <w:p>
            <w:pPr>
              <w:pStyle w:val="Compact"/>
              <w:jc w:val="right"/>
            </w:pPr>
            <w:r>
              <w:t xml:space="preserve">8.6% 3</w:t>
            </w:r>
          </w:p>
        </w:tc>
        <w:tc>
          <w:tcPr/>
          <w:p>
            <w:pPr>
              <w:pStyle w:val="Compact"/>
            </w:pPr>
            <w:r>
              <w:t xml:space="preserve">.6% 6</w:t>
            </w:r>
          </w:p>
        </w:tc>
        <w:tc>
          <w:tcPr/>
          <w:p>
            <w:pPr>
              <w:pStyle w:val="Compact"/>
              <w:jc w:val="left"/>
            </w:pPr>
            <w:r>
              <w:rPr>
                <w:rFonts w:hint="eastAsia"/>
              </w:rPr>
              <w:t xml:space="preserve">90万</w:t>
            </w:r>
          </w:p>
        </w:tc>
      </w:tr>
      <w:tr>
        <w:tc>
          <w:tcPr/>
          <w:p>
            <w:pPr>
              <w:pStyle w:val="Compact"/>
            </w:pPr>
            <w:r>
              <w:rPr>
                <w:rFonts w:hint="eastAsia"/>
              </w:rPr>
              <w:t xml:space="preserve">大平原</w:t>
            </w:r>
            <w:r>
              <w:t xml:space="preserve"> 1</w:t>
            </w:r>
          </w:p>
        </w:tc>
        <w:tc>
          <w:tcPr/>
          <w:p>
            <w:pPr>
              <w:pStyle w:val="Compact"/>
            </w:pPr>
            <w:r>
              <w:t xml:space="preserve">6 4</w:t>
            </w:r>
          </w:p>
        </w:tc>
        <w:tc>
          <w:tcPr/>
          <w:p>
            <w:pPr>
              <w:pStyle w:val="Compact"/>
              <w:jc w:val="right"/>
            </w:pPr>
            <w:r>
              <w:t xml:space="preserve">8.7% 4</w:t>
            </w:r>
          </w:p>
        </w:tc>
        <w:tc>
          <w:tcPr/>
          <w:p>
            <w:pPr>
              <w:pStyle w:val="Compact"/>
              <w:jc w:val="right"/>
            </w:pPr>
            <w:r>
              <w:t xml:space="preserve">7.9% 3</w:t>
            </w:r>
          </w:p>
        </w:tc>
        <w:tc>
          <w:tcPr/>
          <w:p>
            <w:pPr>
              <w:pStyle w:val="Compact"/>
            </w:pPr>
            <w:r>
              <w:t xml:space="preserve">.4% 5</w:t>
            </w:r>
          </w:p>
        </w:tc>
        <w:tc>
          <w:tcPr/>
          <w:p>
            <w:pPr>
              <w:pStyle w:val="Compact"/>
              <w:jc w:val="left"/>
            </w:pPr>
            <w:r>
              <w:rPr>
                <w:rFonts w:hint="eastAsia"/>
              </w:rPr>
              <w:t xml:space="preserve">50万</w:t>
            </w:r>
          </w:p>
        </w:tc>
      </w:tr>
      <w:tr>
        <w:tc>
          <w:tcPr/>
          <w:p>
            <w:pPr>
              <w:pStyle w:val="Compact"/>
            </w:pPr>
            <w:r>
              <w:rPr>
                <w:rFonts w:hint="eastAsia"/>
              </w:rPr>
              <w:t xml:space="preserve">皮德蒙特</w:t>
            </w:r>
            <w:r>
              <w:t xml:space="preserve"> 1</w:t>
            </w:r>
          </w:p>
        </w:tc>
        <w:tc>
          <w:tcPr/>
          <w:p>
            <w:pPr>
              <w:pStyle w:val="Compact"/>
            </w:pPr>
            <w:r>
              <w:t xml:space="preserve">6 4</w:t>
            </w:r>
          </w:p>
        </w:tc>
        <w:tc>
          <w:tcPr/>
          <w:p>
            <w:pPr>
              <w:pStyle w:val="Compact"/>
              <w:jc w:val="right"/>
            </w:pPr>
            <w:r>
              <w:t xml:space="preserve">7.2% 4</w:t>
            </w:r>
          </w:p>
        </w:tc>
        <w:tc>
          <w:tcPr/>
          <w:p>
            <w:pPr>
              <w:pStyle w:val="Compact"/>
              <w:jc w:val="right"/>
            </w:pPr>
            <w:r>
              <w:t xml:space="preserve">9.1% 3</w:t>
            </w:r>
          </w:p>
        </w:tc>
        <w:tc>
          <w:tcPr/>
          <w:p>
            <w:pPr>
              <w:pStyle w:val="Compact"/>
            </w:pPr>
            <w:r>
              <w:t xml:space="preserve">.7% 5</w:t>
            </w:r>
          </w:p>
        </w:tc>
        <w:tc>
          <w:tcPr/>
          <w:p>
            <w:pPr>
              <w:pStyle w:val="Compact"/>
              <w:jc w:val="left"/>
            </w:pPr>
            <w:r>
              <w:rPr>
                <w:rFonts w:hint="eastAsia"/>
              </w:rPr>
              <w:t xml:space="preserve">80万</w:t>
            </w:r>
          </w:p>
        </w:tc>
      </w:tr>
      <w:tr>
        <w:tc>
          <w:tcPr/>
          <w:p>
            <w:pPr>
              <w:pStyle w:val="Compact"/>
            </w:pPr>
            <w:r>
              <w:rPr>
                <w:rFonts w:hint="eastAsia"/>
              </w:rPr>
              <w:t xml:space="preserve">中原</w:t>
            </w:r>
            <w:r>
              <w:t xml:space="preserve"> 1</w:t>
            </w:r>
          </w:p>
        </w:tc>
        <w:tc>
          <w:tcPr/>
          <w:p>
            <w:pPr>
              <w:pStyle w:val="Compact"/>
            </w:pPr>
            <w:r>
              <w:t xml:space="preserve">5 4</w:t>
            </w:r>
          </w:p>
        </w:tc>
        <w:tc>
          <w:tcPr/>
          <w:p>
            <w:pPr>
              <w:pStyle w:val="Compact"/>
              <w:jc w:val="right"/>
            </w:pPr>
            <w:r>
              <w:t xml:space="preserve">8.9% 4</w:t>
            </w:r>
          </w:p>
        </w:tc>
        <w:tc>
          <w:tcPr/>
          <w:p>
            <w:pPr>
              <w:pStyle w:val="Compact"/>
              <w:jc w:val="right"/>
            </w:pPr>
            <w:r>
              <w:t xml:space="preserve">8.5% 2</w:t>
            </w:r>
          </w:p>
        </w:tc>
        <w:tc>
          <w:tcPr/>
          <w:p>
            <w:pPr>
              <w:pStyle w:val="Compact"/>
            </w:pPr>
            <w:r>
              <w:t xml:space="preserve">.6% 5</w:t>
            </w:r>
          </w:p>
        </w:tc>
        <w:tc>
          <w:tcPr/>
          <w:p>
            <w:pPr>
              <w:pStyle w:val="Compact"/>
              <w:jc w:val="left"/>
            </w:pPr>
            <w:r>
              <w:rPr>
                <w:rFonts w:hint="eastAsia"/>
              </w:rPr>
              <w:t xml:space="preserve">70万</w:t>
            </w:r>
          </w:p>
        </w:tc>
      </w:tr>
      <w:tr>
        <w:tc>
          <w:tcPr/>
          <w:p>
            <w:pPr>
              <w:pStyle w:val="Compact"/>
            </w:pPr>
            <w:r>
              <w:rPr>
                <w:rFonts w:hint="eastAsia"/>
              </w:rPr>
              <w:t xml:space="preserve">索诺拉</w:t>
            </w:r>
            <w:r>
              <w:t xml:space="preserve"> 1</w:t>
            </w:r>
          </w:p>
        </w:tc>
        <w:tc>
          <w:tcPr/>
          <w:p>
            <w:pPr>
              <w:pStyle w:val="Compact"/>
            </w:pPr>
            <w:r>
              <w:t xml:space="preserve">1 4</w:t>
            </w:r>
          </w:p>
        </w:tc>
        <w:tc>
          <w:tcPr/>
          <w:p>
            <w:pPr>
              <w:pStyle w:val="Compact"/>
              <w:jc w:val="right"/>
            </w:pPr>
            <w:r>
              <w:t xml:space="preserve">6.8% 4</w:t>
            </w:r>
          </w:p>
        </w:tc>
        <w:tc>
          <w:tcPr/>
          <w:p>
            <w:pPr>
              <w:pStyle w:val="Compact"/>
              <w:jc w:val="right"/>
            </w:pPr>
            <w:r>
              <w:t xml:space="preserve">9.6% 3</w:t>
            </w:r>
          </w:p>
        </w:tc>
        <w:tc>
          <w:tcPr/>
          <w:p>
            <w:pPr>
              <w:pStyle w:val="Compact"/>
            </w:pPr>
            <w:r>
              <w:t xml:space="preserve">.6% 3</w:t>
            </w:r>
          </w:p>
        </w:tc>
        <w:tc>
          <w:tcPr/>
          <w:p>
            <w:pPr>
              <w:pStyle w:val="Compact"/>
              <w:jc w:val="left"/>
            </w:pPr>
            <w:r>
              <w:rPr>
                <w:rFonts w:hint="eastAsia"/>
              </w:rPr>
              <w:t xml:space="preserve">50万</w:t>
            </w:r>
          </w:p>
        </w:tc>
      </w:tr>
      <w:tr>
        <w:tc>
          <w:tcPr/>
          <w:p>
            <w:pPr>
              <w:pStyle w:val="Compact"/>
            </w:pPr>
            <w:r>
              <w:rPr>
                <w:rFonts w:hint="eastAsia"/>
              </w:rPr>
              <w:t xml:space="preserve">湖地</w:t>
            </w:r>
            <w:r>
              <w:t xml:space="preserve"> 1</w:t>
            </w:r>
          </w:p>
        </w:tc>
        <w:tc>
          <w:tcPr/>
          <w:p>
            <w:pPr>
              <w:pStyle w:val="Compact"/>
            </w:pPr>
            <w:r>
              <w:t xml:space="preserve">0 4</w:t>
            </w:r>
          </w:p>
        </w:tc>
        <w:tc>
          <w:tcPr/>
          <w:p>
            <w:pPr>
              <w:pStyle w:val="Compact"/>
              <w:jc w:val="right"/>
            </w:pPr>
            <w:r>
              <w:t xml:space="preserve">9.3% 4</w:t>
            </w:r>
          </w:p>
        </w:tc>
        <w:tc>
          <w:tcPr/>
          <w:p>
            <w:pPr>
              <w:pStyle w:val="Compact"/>
              <w:jc w:val="right"/>
            </w:pPr>
            <w:r>
              <w:t xml:space="preserve">8.8% 1</w:t>
            </w:r>
          </w:p>
        </w:tc>
        <w:tc>
          <w:tcPr/>
          <w:p>
            <w:pPr>
              <w:pStyle w:val="Compact"/>
            </w:pPr>
            <w:r>
              <w:t xml:space="preserve">.9% 3</w:t>
            </w:r>
          </w:p>
        </w:tc>
        <w:tc>
          <w:tcPr/>
          <w:p>
            <w:pPr>
              <w:pStyle w:val="Compact"/>
              <w:jc w:val="left"/>
            </w:pPr>
            <w:r>
              <w:rPr>
                <w:rFonts w:hint="eastAsia"/>
              </w:rPr>
              <w:t xml:space="preserve">40万</w:t>
            </w:r>
          </w:p>
        </w:tc>
      </w:tr>
      <w:tr>
        <w:tc>
          <w:tcPr/>
          <w:p>
            <w:pPr>
              <w:pStyle w:val="Compact"/>
            </w:pPr>
            <w:r>
              <w:rPr>
                <w:rFonts w:hint="eastAsia"/>
              </w:rPr>
              <w:t xml:space="preserve">银盆地</w:t>
            </w:r>
            <w:r>
              <w:t xml:space="preserve"> 6</w:t>
            </w:r>
          </w:p>
        </w:tc>
        <w:tc>
          <w:tcPr/>
          <w:p>
            <w:pPr>
              <w:pStyle w:val="Compact"/>
            </w:pPr>
            <w:r>
              <w:t xml:space="preserve">4</w:t>
            </w:r>
          </w:p>
        </w:tc>
        <w:tc>
          <w:tcPr/>
          <w:p>
            <w:pPr>
              <w:pStyle w:val="Compact"/>
              <w:jc w:val="right"/>
            </w:pPr>
            <w:r>
              <w:t xml:space="preserve">7.6% 4</w:t>
            </w:r>
          </w:p>
        </w:tc>
        <w:tc>
          <w:tcPr/>
          <w:p>
            <w:pPr>
              <w:pStyle w:val="Compact"/>
              <w:jc w:val="right"/>
            </w:pPr>
            <w:r>
              <w:t xml:space="preserve">8.9% 3</w:t>
            </w:r>
          </w:p>
        </w:tc>
        <w:tc>
          <w:tcPr/>
          <w:p>
            <w:pPr>
              <w:pStyle w:val="Compact"/>
            </w:pPr>
            <w:r>
              <w:t xml:space="preserve">.5% 1</w:t>
            </w:r>
          </w:p>
        </w:tc>
        <w:tc>
          <w:tcPr/>
          <w:p>
            <w:pPr>
              <w:pStyle w:val="Compact"/>
              <w:jc w:val="left"/>
            </w:pPr>
            <w:r>
              <w:rPr>
                <w:rFonts w:hint="eastAsia"/>
              </w:rPr>
              <w:t xml:space="preserve">50万</w:t>
            </w:r>
          </w:p>
        </w:tc>
      </w:tr>
    </w:tbl>
    <w:p>
      <w:pPr>
        <w:pStyle w:val="BodyText"/>
      </w:pPr>
      <w:r>
        <w:rPr>
          <w:rFonts w:hint="eastAsia"/>
        </w:rPr>
        <w:t xml:space="preserve">注：内部民调估计数据为虚构。由于四舍五入，百分比之和可能不等于100%。</w:t>
      </w:r>
    </w:p>
    <w:bookmarkEnd w:id="11"/>
    <w:bookmarkEnd w:id="12"/>
    <w:bookmarkStart w:id="13" w:name="一场按州逐一决定的全国大选"/>
    <w:p>
      <w:pPr>
        <w:pStyle w:val="Heading1"/>
      </w:pPr>
      <w:r>
        <w:rPr>
          <w:rFonts w:hint="eastAsia"/>
        </w:rPr>
        <w:t xml:space="preserve">一场按州逐一决定的全国大选</w:t>
      </w:r>
    </w:p>
    <w:p>
      <w:pPr>
        <w:pStyle w:val="FirstParagraph"/>
      </w:pPr>
      <w:r>
        <w:rPr>
          <w:rFonts w:hint="eastAsia"/>
        </w:rPr>
        <w:t xml:space="preserve">普选票塑造了竞选团队的公众叙事，但真正决定胜负的是选举人团制度。近期历史印证了各州微弱差距的重要性。2020年，亚利桑那州、佐治亚州和威斯康星州三州合计不到43,000票的差距，就决定了这三州的归属，进而影响了大选获胜者。2024年，七个最受关注的摇摆州共拥有93张选举人票。其中六个州的胜负差距约为一到三个百分点，而亚利桑那州的差距更大。全国范围内一个百分点的变化，可能因投票率、候选人吸引力和地方议题的不同，导致各州出现截然不同的结果。</w:t>
      </w:r>
    </w:p>
    <w:p>
      <w:pPr>
        <w:pStyle w:val="BodyText"/>
      </w:pPr>
      <w:r>
        <w:rPr>
          <w:rFonts w:hint="eastAsia"/>
        </w:rPr>
        <w:t xml:space="preserve">选民群体本身庞大且异质。美国人口普查局估计，2024年有1.74亿达到投票年龄的公民进行了登记，1.54亿人参与了投票，投票率为65.3%。投票方式差异显著：约40%的选民在选举日当天亲自投票，31%的选民提前亲自投票，29%的选民通过邮寄投票。投票率也因年龄、教育程度、地理位置及其他特征而有所不同。对陈而言，这意味着说服、登记、提前投票动员、邮寄选票支持以及选举日行动，不能被当作单一的活动来处理。</w:t>
      </w:r>
    </w:p>
    <w:p>
      <w:pPr>
        <w:pStyle w:val="BodyText"/>
      </w:pPr>
      <w:r>
        <w:rPr>
          <w:rFonts w:hint="eastAsia"/>
        </w:rPr>
        <w:t xml:space="preserve">子午线的支持联盟汇集了受过大学教育的郊区选民、年轻选民、工会家庭以及不断增长的大都市社区。里德在农村选民、年长且未受过大学教育的选民，以及集中在小城镇的若干群体中领先。两个联盟内部都并非铁板一块。子午线在住房成本议题上在年轻选民中民调良好，但在经济信心方面表现不佳。里德在边境安全和通货膨胀议题上领先，但在郊区女性中的支持率不佳。竞选团队的研究团队认为，未决定选民群体中既包括真正可能被说服的选民，也包括不太可能投票的人。</w:t>
      </w:r>
    </w:p>
    <w:bookmarkEnd w:id="13"/>
    <w:bookmarkStart w:id="15" w:name="日程安排本身也是一种资源"/>
    <w:p>
      <w:pPr>
        <w:pStyle w:val="Heading1"/>
      </w:pPr>
      <w:r>
        <w:rPr>
          <w:rFonts w:hint="eastAsia"/>
        </w:rPr>
        <w:t xml:space="preserve">日程安排本身也是一种资源</w:t>
      </w:r>
    </w:p>
    <w:p>
      <w:pPr>
        <w:pStyle w:val="FirstParagraph"/>
      </w:pPr>
      <w:r>
        <w:rPr>
          <w:rFonts w:hint="eastAsia"/>
        </w:rPr>
        <w:t xml:space="preserve">候选人能够出席的活动数量有限。安保、飞行时间、准备工作、媒体采访和筹款活动，将子午线每周的重大公开活动限制在大约十六场左右。一场集会可以带动地方新闻报道和志愿者热情，但其效果取决于出席人数和媒体报道情况。一场政策演讲可能在一小部分受众中改变认知，却在其他地方几乎不引人关注。一次全国性采访可以触及数百万人，却也意味着放弃对提问内容的掌控权。筹款活动能带来现金，但也会占用本可用于在争议州活动的时间。</w:t>
      </w:r>
    </w:p>
    <w:p>
      <w:pPr>
        <w:pStyle w:val="BodyText"/>
      </w:pPr>
      <w:r>
        <w:rPr>
          <w:rFonts w:hint="eastAsia"/>
        </w:rPr>
        <w:t xml:space="preserve">日程安排团队提出了三种不同的方案。第一种方案将差旅集中在北湖、中原和湖地，因为子午线在这些州本已接近获胜，且访问可以高效组合安排。第二种方案则侧重于皮德蒙特、大平原和索诺拉，理由是这些州拥有更大规模的未决定选民群体，从而有更大的空间来改变选情。第三种方案则预留近三分之一的日程，用于全国媒体、筹款以及应对尚无法预见的突发事件的快速响应。</w:t>
      </w:r>
    </w:p>
    <w:bookmarkStart w:id="14" w:name="图-2.-每周候选人时间使用方案"/>
    <w:p>
      <w:pPr>
        <w:pStyle w:val="Heading2"/>
      </w:pPr>
      <w:r>
        <w:rPr>
          <w:rFonts w:hint="eastAsia"/>
        </w:rPr>
        <w:t xml:space="preserve">图</w:t>
      </w:r>
      <w:r>
        <w:t xml:space="preserve"> 2. </w:t>
      </w:r>
      <w:r>
        <w:rPr>
          <w:rFonts w:hint="eastAsia"/>
        </w:rPr>
        <w:t xml:space="preserve">每周候选人时间使用方案</w:t>
      </w:r>
    </w:p>
    <w:tbl>
      <w:tblPr>
        <w:tblStyle w:val="Table"/>
        <w:tblW w:type="pct" w:w="4898"/>
        <w:tblLayout w:type="fixed"/>
        <w:tblLook w:firstRow="1" w:lastRow="0" w:firstColumn="0" w:lastColumn="0" w:noHBand="0" w:noVBand="0" w:val="0020"/>
      </w:tblPr>
      <w:tblGrid>
        <w:gridCol w:w="3313"/>
        <w:gridCol w:w="1535"/>
        <w:gridCol w:w="1373"/>
        <w:gridCol w:w="1535"/>
      </w:tblGrid>
      <w:tr>
        <w:trPr>
          <w:tblHeader w:val="on"/>
        </w:trPr>
        <w:tc>
          <w:tcPr/>
          <w:p>
            <w:pPr>
              <w:pStyle w:val="Compact"/>
              <w:jc w:val="left"/>
            </w:pPr>
            <w:r>
              <w:rPr>
                <w:rFonts w:hint="eastAsia"/>
              </w:rPr>
              <w:t xml:space="preserve">活动</w:t>
            </w:r>
          </w:p>
        </w:tc>
        <w:tc>
          <w:tcPr/>
          <w:p>
            <w:pPr>
              <w:pStyle w:val="Compact"/>
              <w:jc w:val="left"/>
            </w:pPr>
            <w:r>
              <w:rPr>
                <w:rFonts w:hint="eastAsia"/>
              </w:rPr>
              <w:t xml:space="preserve">守住优势</w:t>
            </w:r>
          </w:p>
        </w:tc>
        <w:tc>
          <w:tcPr/>
          <w:p>
            <w:pPr>
              <w:pStyle w:val="Compact"/>
              <w:jc w:val="center"/>
            </w:pPr>
            <w:r>
              <w:rPr>
                <w:rFonts w:hint="eastAsia"/>
              </w:rPr>
              <w:t xml:space="preserve">扩大版图</w:t>
            </w:r>
          </w:p>
        </w:tc>
        <w:tc>
          <w:tcPr/>
          <w:p>
            <w:pPr>
              <w:pStyle w:val="Compact"/>
              <w:jc w:val="center"/>
            </w:pPr>
            <w:r>
              <w:rPr>
                <w:rFonts w:hint="eastAsia"/>
              </w:rPr>
              <w:t xml:space="preserve">保留灵活性</w:t>
            </w:r>
          </w:p>
        </w:tc>
      </w:tr>
      <w:tr>
        <w:tc>
          <w:tcPr/>
          <w:p>
            <w:pPr>
              <w:pStyle w:val="Compact"/>
              <w:jc w:val="left"/>
            </w:pPr>
            <w:r>
              <w:rPr>
                <w:rFonts w:hint="eastAsia"/>
              </w:rPr>
              <w:t xml:space="preserve">摇摆州集会与市政厅活动</w:t>
            </w:r>
          </w:p>
        </w:tc>
        <w:tc>
          <w:tcPr/>
          <w:p>
            <w:pPr>
              <w:pStyle w:val="Compact"/>
              <w:jc w:val="left"/>
            </w:pPr>
            <w:r>
              <w:rPr>
                <w:rFonts w:hint="eastAsia"/>
              </w:rPr>
              <w:t xml:space="preserve">9场活动</w:t>
            </w:r>
          </w:p>
        </w:tc>
        <w:tc>
          <w:tcPr/>
          <w:p>
            <w:pPr>
              <w:pStyle w:val="Compact"/>
              <w:jc w:val="center"/>
            </w:pPr>
            <w:r>
              <w:rPr>
                <w:rFonts w:hint="eastAsia"/>
              </w:rPr>
              <w:t xml:space="preserve">10场活动</w:t>
            </w:r>
          </w:p>
        </w:tc>
        <w:tc>
          <w:tcPr/>
          <w:p>
            <w:pPr>
              <w:pStyle w:val="Compact"/>
              <w:jc w:val="center"/>
            </w:pPr>
            <w:r>
              <w:rPr>
                <w:rFonts w:hint="eastAsia"/>
              </w:rPr>
              <w:t xml:space="preserve">7场活动</w:t>
            </w:r>
          </w:p>
        </w:tc>
      </w:tr>
      <w:tr>
        <w:tc>
          <w:tcPr/>
          <w:p>
            <w:pPr>
              <w:pStyle w:val="Compact"/>
              <w:jc w:val="left"/>
            </w:pPr>
            <w:r>
              <w:rPr>
                <w:rFonts w:hint="eastAsia"/>
              </w:rPr>
              <w:t xml:space="preserve">政策演讲/特定选民群体活动</w:t>
            </w:r>
          </w:p>
        </w:tc>
        <w:tc>
          <w:tcPr/>
          <w:p>
            <w:pPr>
              <w:pStyle w:val="Compact"/>
              <w:jc w:val="left"/>
            </w:pPr>
            <w:r>
              <w:t xml:space="preserve">2</w:t>
            </w:r>
          </w:p>
        </w:tc>
        <w:tc>
          <w:tcPr/>
          <w:p>
            <w:pPr>
              <w:pStyle w:val="Compact"/>
              <w:jc w:val="center"/>
            </w:pPr>
            <w:r>
              <w:t xml:space="preserve">3</w:t>
            </w:r>
          </w:p>
        </w:tc>
        <w:tc>
          <w:tcPr/>
          <w:p>
            <w:pPr>
              <w:pStyle w:val="Compact"/>
              <w:jc w:val="center"/>
            </w:pPr>
            <w:r>
              <w:t xml:space="preserve">2</w:t>
            </w:r>
          </w:p>
        </w:tc>
      </w:tr>
      <w:tr>
        <w:tc>
          <w:tcPr/>
          <w:p>
            <w:pPr>
              <w:pStyle w:val="Compact"/>
              <w:jc w:val="left"/>
            </w:pPr>
            <w:r>
              <w:rPr>
                <w:rFonts w:hint="eastAsia"/>
              </w:rPr>
              <w:t xml:space="preserve">全国性采访与数字活动</w:t>
            </w:r>
          </w:p>
        </w:tc>
        <w:tc>
          <w:tcPr/>
          <w:p>
            <w:pPr>
              <w:pStyle w:val="Compact"/>
              <w:jc w:val="left"/>
            </w:pPr>
            <w:r>
              <w:t xml:space="preserve">1</w:t>
            </w:r>
          </w:p>
        </w:tc>
        <w:tc>
          <w:tcPr/>
          <w:p>
            <w:pPr>
              <w:pStyle w:val="Compact"/>
              <w:jc w:val="center"/>
            </w:pPr>
            <w:r>
              <w:t xml:space="preserve">1</w:t>
            </w:r>
          </w:p>
        </w:tc>
        <w:tc>
          <w:tcPr/>
          <w:p>
            <w:pPr>
              <w:pStyle w:val="Compact"/>
              <w:jc w:val="center"/>
            </w:pPr>
            <w:r>
              <w:t xml:space="preserve">3</w:t>
            </w:r>
          </w:p>
        </w:tc>
      </w:tr>
      <w:tr>
        <w:tc>
          <w:tcPr/>
          <w:p>
            <w:pPr>
              <w:pStyle w:val="Compact"/>
              <w:jc w:val="left"/>
            </w:pPr>
            <w:r>
              <w:rPr>
                <w:rFonts w:hint="eastAsia"/>
              </w:rPr>
              <w:t xml:space="preserve">筹款活动</w:t>
            </w:r>
          </w:p>
        </w:tc>
        <w:tc>
          <w:tcPr/>
          <w:p>
            <w:pPr>
              <w:pStyle w:val="Compact"/>
              <w:jc w:val="left"/>
            </w:pPr>
            <w:r>
              <w:t xml:space="preserve">3</w:t>
            </w:r>
          </w:p>
        </w:tc>
        <w:tc>
          <w:tcPr/>
          <w:p>
            <w:pPr>
              <w:pStyle w:val="Compact"/>
              <w:jc w:val="center"/>
            </w:pPr>
            <w:r>
              <w:t xml:space="preserve">1</w:t>
            </w:r>
          </w:p>
        </w:tc>
        <w:tc>
          <w:tcPr/>
          <w:p>
            <w:pPr>
              <w:pStyle w:val="Compact"/>
              <w:jc w:val="center"/>
            </w:pPr>
            <w:r>
              <w:t xml:space="preserve">2</w:t>
            </w:r>
          </w:p>
        </w:tc>
      </w:tr>
      <w:tr>
        <w:tc>
          <w:tcPr/>
          <w:p>
            <w:pPr>
              <w:pStyle w:val="Compact"/>
              <w:jc w:val="left"/>
            </w:pPr>
            <w:r>
              <w:rPr>
                <w:rFonts w:hint="eastAsia"/>
              </w:rPr>
              <w:t xml:space="preserve">未分配的快速响应能力</w:t>
            </w:r>
          </w:p>
        </w:tc>
        <w:tc>
          <w:tcPr/>
          <w:p>
            <w:pPr>
              <w:pStyle w:val="Compact"/>
              <w:jc w:val="left"/>
            </w:pPr>
            <w:r>
              <w:t xml:space="preserve">1</w:t>
            </w:r>
          </w:p>
        </w:tc>
        <w:tc>
          <w:tcPr/>
          <w:p>
            <w:pPr>
              <w:pStyle w:val="Compact"/>
              <w:jc w:val="center"/>
            </w:pPr>
            <w:r>
              <w:t xml:space="preserve">1</w:t>
            </w:r>
          </w:p>
        </w:tc>
        <w:tc>
          <w:tcPr/>
          <w:p>
            <w:pPr>
              <w:pStyle w:val="Compact"/>
              <w:jc w:val="center"/>
            </w:pPr>
            <w:r>
              <w:t xml:space="preserve">2</w:t>
            </w:r>
          </w:p>
        </w:tc>
      </w:tr>
    </w:tbl>
    <w:bookmarkEnd w:id="14"/>
    <w:bookmarkEnd w:id="15"/>
    <w:bookmarkStart w:id="17" w:name="资金信息与媒体"/>
    <w:p>
      <w:pPr>
        <w:pStyle w:val="Heading1"/>
      </w:pPr>
      <w:r>
        <w:rPr>
          <w:rFonts w:hint="eastAsia"/>
        </w:rPr>
        <w:t xml:space="preserve">资金、信息与媒体</w:t>
      </w:r>
    </w:p>
    <w:p>
      <w:pPr>
        <w:pStyle w:val="FirstParagraph"/>
      </w:pPr>
      <w:r>
        <w:rPr>
          <w:rFonts w:hint="eastAsia"/>
        </w:rPr>
        <w:t xml:space="preserve">传播团队将剩余的竞选周期划分为三个阶段：确立子午线的经济纲领、将子午线与里德形成对比、动员支持者。分歧在于时机和渠道的选择。电视仍能触及庞大受众，尤其是年长选民，但由于各竞选团队和外部团体都在争夺有限的广告位，价格正在上涨。流媒体视频可以实现更精准的地域和人群定向投放，尽管各平台间的效果测量并不一致。搜索广告能够触及主动寻求信息的选民，但需要与新闻、竞选对手及独立团体竞争。社交媒体能够产生快速反馈，但参与度未必能转化为观点或投票行为的改变。</w:t>
      </w:r>
    </w:p>
    <w:p>
      <w:pPr>
        <w:pStyle w:val="BodyText"/>
      </w:pPr>
      <w:r>
        <w:rPr>
          <w:rFonts w:hint="eastAsia"/>
        </w:rPr>
        <w:t xml:space="preserve">信息测试并未产生一个占绝对优势的主题。一则关于家庭生活成本的广告提升了子午线在经济同理心方面的评价，但对投票选择的改变作用不大。一则针对里德履历的对比广告提高了选民对对手的担忧，但也同时提高了两位候选人的不受欢迎程度。一则传记类广告提升了不熟悉子午线的选民对其的好感度，尽管这些选民参与投票的可能性明显偏低。一则关于堕胎权的信息打动了郊区女性选民，但存在挤占经济议题空间的风险。一项边境安全提案改善了一个薄弱议题的评价，却让部分核心支持者感到失望。</w:t>
      </w:r>
    </w:p>
    <w:p>
      <w:pPr>
        <w:pStyle w:val="BodyText"/>
      </w:pPr>
      <w:r>
        <w:rPr>
          <w:rFonts w:hint="eastAsia"/>
        </w:rPr>
        <w:t xml:space="preserve">筹款进一步使信息选择复杂化。一次成功的辩论呼吁在二十四小时内筹集到480万美元。随后一条警告称竞选团队”正在全面落后”的短信筹集到310万美元，但也引发了关于竞选团队疲软的新闻报道。信息传递不仅会影响选民观点，还会影响捐款、志愿者、媒体报道以及竞选对手。</w:t>
      </w:r>
    </w:p>
    <w:bookmarkStart w:id="16" w:name="图-3.-剩余媒体与选民联络预算方案"/>
    <w:p>
      <w:pPr>
        <w:pStyle w:val="Heading2"/>
      </w:pPr>
      <w:r>
        <w:rPr>
          <w:rFonts w:hint="eastAsia"/>
        </w:rPr>
        <w:t xml:space="preserve">图</w:t>
      </w:r>
      <w:r>
        <w:t xml:space="preserve"> 3. </w:t>
      </w:r>
      <w:r>
        <w:rPr>
          <w:rFonts w:hint="eastAsia"/>
        </w:rPr>
        <w:t xml:space="preserve">剩余媒体与选民联络预算方案</w:t>
      </w:r>
    </w:p>
    <w:tbl>
      <w:tblPr>
        <w:tblStyle w:val="Table"/>
        <w:tblW w:type="pct" w:w="4910"/>
        <w:tblLayout w:type="fixed"/>
        <w:tblLook w:firstRow="1" w:lastRow="0" w:firstColumn="0" w:lastColumn="0" w:noHBand="0" w:noVBand="0" w:val="0020"/>
      </w:tblPr>
      <w:tblGrid>
        <w:gridCol w:w="2711"/>
        <w:gridCol w:w="1070"/>
        <w:gridCol w:w="1212"/>
        <w:gridCol w:w="2782"/>
      </w:tblGrid>
      <w:tr>
        <w:trPr>
          <w:tblHeader w:val="on"/>
        </w:trPr>
        <w:tc>
          <w:tcPr/>
          <w:p>
            <w:pPr>
              <w:pStyle w:val="Compact"/>
              <w:jc w:val="left"/>
            </w:pPr>
            <w:r>
              <w:rPr>
                <w:rFonts w:hint="eastAsia"/>
              </w:rPr>
              <w:t xml:space="preserve">类别</w:t>
            </w:r>
          </w:p>
        </w:tc>
        <w:tc>
          <w:tcPr/>
          <w:p>
            <w:pPr>
              <w:pStyle w:val="Compact"/>
              <w:jc w:val="center"/>
            </w:pPr>
            <w:r>
              <w:rPr>
                <w:rFonts w:hint="eastAsia"/>
              </w:rPr>
              <w:t xml:space="preserve">最低方案</w:t>
            </w:r>
          </w:p>
        </w:tc>
        <w:tc>
          <w:tcPr/>
          <w:p>
            <w:pPr>
              <w:pStyle w:val="Compact"/>
              <w:jc w:val="center"/>
            </w:pPr>
            <w:r>
              <w:rPr>
                <w:rFonts w:hint="eastAsia"/>
              </w:rPr>
              <w:t xml:space="preserve">申请方案</w:t>
            </w:r>
          </w:p>
        </w:tc>
        <w:tc>
          <w:tcPr/>
          <w:p>
            <w:pPr>
              <w:pStyle w:val="Compact"/>
              <w:jc w:val="center"/>
            </w:pPr>
            <w:r>
              <w:rPr>
                <w:rFonts w:hint="eastAsia"/>
              </w:rPr>
              <w:t xml:space="preserve">主要用途</w:t>
            </w:r>
          </w:p>
        </w:tc>
      </w:tr>
      <w:tr>
        <w:tc>
          <w:tcPr/>
          <w:p>
            <w:pPr>
              <w:pStyle w:val="Compact"/>
              <w:jc w:val="left"/>
            </w:pPr>
            <w:r>
              <w:rPr>
                <w:rFonts w:hint="eastAsia"/>
              </w:rPr>
              <w:t xml:space="preserve">广播与有线电视</w:t>
            </w:r>
          </w:p>
        </w:tc>
        <w:tc>
          <w:tcPr/>
          <w:p>
            <w:pPr>
              <w:pStyle w:val="Compact"/>
              <w:jc w:val="center"/>
            </w:pPr>
            <w:r>
              <w:rPr>
                <w:rFonts w:hint="eastAsia"/>
              </w:rPr>
              <w:t xml:space="preserve">4,600万美元</w:t>
            </w:r>
          </w:p>
        </w:tc>
        <w:tc>
          <w:tcPr/>
          <w:p>
            <w:pPr>
              <w:pStyle w:val="Compact"/>
              <w:jc w:val="center"/>
            </w:pPr>
            <w:r>
              <w:rPr>
                <w:rFonts w:hint="eastAsia"/>
              </w:rPr>
              <w:t xml:space="preserve">7,200万美元</w:t>
            </w:r>
          </w:p>
        </w:tc>
        <w:tc>
          <w:tcPr/>
          <w:p>
            <w:pPr>
              <w:pStyle w:val="Compact"/>
              <w:jc w:val="center"/>
            </w:pPr>
            <w:r>
              <w:rPr>
                <w:rFonts w:hint="eastAsia"/>
              </w:rPr>
              <w:t xml:space="preserve">广泛说服与对比</w:t>
            </w:r>
          </w:p>
        </w:tc>
      </w:tr>
      <w:tr>
        <w:tc>
          <w:tcPr/>
          <w:p>
            <w:pPr>
              <w:pStyle w:val="Compact"/>
              <w:jc w:val="left"/>
            </w:pPr>
            <w:r>
              <w:rPr>
                <w:rFonts w:hint="eastAsia"/>
              </w:rPr>
              <w:t xml:space="preserve">流媒体视频</w:t>
            </w:r>
          </w:p>
        </w:tc>
        <w:tc>
          <w:tcPr/>
          <w:p>
            <w:pPr>
              <w:pStyle w:val="Compact"/>
              <w:jc w:val="center"/>
            </w:pPr>
            <w:r>
              <w:rPr>
                <w:rFonts w:hint="eastAsia"/>
              </w:rPr>
              <w:t xml:space="preserve">1,400万美元</w:t>
            </w:r>
          </w:p>
        </w:tc>
        <w:tc>
          <w:tcPr/>
          <w:p>
            <w:pPr>
              <w:pStyle w:val="Compact"/>
              <w:jc w:val="center"/>
            </w:pPr>
            <w:r>
              <w:rPr>
                <w:rFonts w:hint="eastAsia"/>
              </w:rPr>
              <w:t xml:space="preserve">2,600万美元</w:t>
            </w:r>
          </w:p>
        </w:tc>
        <w:tc>
          <w:tcPr/>
          <w:p>
            <w:pPr>
              <w:pStyle w:val="Compact"/>
              <w:jc w:val="center"/>
            </w:pPr>
            <w:r>
              <w:rPr>
                <w:rFonts w:hint="eastAsia"/>
              </w:rPr>
              <w:t xml:space="preserve">精准说服</w:t>
            </w:r>
          </w:p>
        </w:tc>
      </w:tr>
      <w:tr>
        <w:tc>
          <w:tcPr/>
          <w:p>
            <w:pPr>
              <w:pStyle w:val="Compact"/>
              <w:jc w:val="left"/>
            </w:pPr>
            <w:r>
              <w:rPr>
                <w:rFonts w:hint="eastAsia"/>
              </w:rPr>
              <w:t xml:space="preserve">搜索与社交媒体</w:t>
            </w:r>
          </w:p>
        </w:tc>
        <w:tc>
          <w:tcPr/>
          <w:p>
            <w:pPr>
              <w:pStyle w:val="Compact"/>
              <w:jc w:val="center"/>
            </w:pPr>
            <w:r>
              <w:rPr>
                <w:rFonts w:hint="eastAsia"/>
              </w:rPr>
              <w:t xml:space="preserve">1,100万美元</w:t>
            </w:r>
          </w:p>
        </w:tc>
        <w:tc>
          <w:tcPr/>
          <w:p>
            <w:pPr>
              <w:pStyle w:val="Compact"/>
              <w:jc w:val="center"/>
            </w:pPr>
            <w:r>
              <w:rPr>
                <w:rFonts w:hint="eastAsia"/>
              </w:rPr>
              <w:t xml:space="preserve">1,900万美元</w:t>
            </w:r>
          </w:p>
        </w:tc>
        <w:tc>
          <w:tcPr/>
          <w:p>
            <w:pPr>
              <w:pStyle w:val="Compact"/>
              <w:jc w:val="center"/>
            </w:pPr>
            <w:r>
              <w:rPr>
                <w:rFonts w:hint="eastAsia"/>
              </w:rPr>
              <w:t xml:space="preserve">信息传递、说服、筹款</w:t>
            </w:r>
          </w:p>
        </w:tc>
      </w:tr>
      <w:tr>
        <w:tc>
          <w:tcPr/>
          <w:p>
            <w:pPr>
              <w:pStyle w:val="Compact"/>
              <w:jc w:val="left"/>
            </w:pPr>
            <w:r>
              <w:rPr>
                <w:rFonts w:hint="eastAsia"/>
              </w:rPr>
              <w:t xml:space="preserve">直邮与印刷材料</w:t>
            </w:r>
          </w:p>
        </w:tc>
        <w:tc>
          <w:tcPr/>
          <w:p>
            <w:pPr>
              <w:pStyle w:val="Compact"/>
              <w:jc w:val="center"/>
            </w:pPr>
            <w:r>
              <w:rPr>
                <w:rFonts w:hint="eastAsia"/>
              </w:rPr>
              <w:t xml:space="preserve">700万美元</w:t>
            </w:r>
          </w:p>
        </w:tc>
        <w:tc>
          <w:tcPr/>
          <w:p>
            <w:pPr>
              <w:pStyle w:val="Compact"/>
              <w:jc w:val="center"/>
            </w:pPr>
            <w:r>
              <w:rPr>
                <w:rFonts w:hint="eastAsia"/>
              </w:rPr>
              <w:t xml:space="preserve">1,200万美元</w:t>
            </w:r>
          </w:p>
        </w:tc>
        <w:tc>
          <w:tcPr/>
          <w:p>
            <w:pPr>
              <w:pStyle w:val="Compact"/>
              <w:jc w:val="center"/>
            </w:pPr>
            <w:r>
              <w:rPr>
                <w:rFonts w:hint="eastAsia"/>
              </w:rPr>
              <w:t xml:space="preserve">精准说服与动员投票</w:t>
            </w:r>
          </w:p>
        </w:tc>
      </w:tr>
      <w:tr>
        <w:tc>
          <w:tcPr/>
          <w:p>
            <w:pPr>
              <w:pStyle w:val="Compact"/>
              <w:jc w:val="left"/>
            </w:pPr>
            <w:r>
              <w:rPr>
                <w:rFonts w:hint="eastAsia"/>
              </w:rPr>
              <w:t xml:space="preserve">外勤选民联络</w:t>
            </w:r>
          </w:p>
        </w:tc>
        <w:tc>
          <w:tcPr/>
          <w:p>
            <w:pPr>
              <w:pStyle w:val="Compact"/>
              <w:jc w:val="center"/>
            </w:pPr>
            <w:r>
              <w:rPr>
                <w:rFonts w:hint="eastAsia"/>
              </w:rPr>
              <w:t xml:space="preserve">2,200万美元</w:t>
            </w:r>
          </w:p>
        </w:tc>
        <w:tc>
          <w:tcPr/>
          <w:p>
            <w:pPr>
              <w:pStyle w:val="Compact"/>
              <w:jc w:val="center"/>
            </w:pPr>
            <w:r>
              <w:rPr>
                <w:rFonts w:hint="eastAsia"/>
              </w:rPr>
              <w:t xml:space="preserve">3,800万美元</w:t>
            </w:r>
          </w:p>
        </w:tc>
        <w:tc>
          <w:tcPr/>
          <w:p>
            <w:pPr>
              <w:pStyle w:val="Compact"/>
              <w:jc w:val="center"/>
            </w:pPr>
            <w:r>
              <w:rPr>
                <w:rFonts w:hint="eastAsia"/>
              </w:rPr>
              <w:t xml:space="preserve">登记、提前投票、动员投票</w:t>
            </w:r>
          </w:p>
        </w:tc>
      </w:tr>
      <w:tr>
        <w:tc>
          <w:tcPr/>
          <w:p>
            <w:pPr>
              <w:pStyle w:val="Compact"/>
              <w:jc w:val="left"/>
            </w:pPr>
            <w:r>
              <w:rPr>
                <w:rFonts w:hint="eastAsia"/>
              </w:rPr>
              <w:t xml:space="preserve">民调、分析与实验</w:t>
            </w:r>
          </w:p>
        </w:tc>
        <w:tc>
          <w:tcPr/>
          <w:p>
            <w:pPr>
              <w:pStyle w:val="Compact"/>
              <w:jc w:val="center"/>
            </w:pPr>
            <w:r>
              <w:rPr>
                <w:rFonts w:hint="eastAsia"/>
              </w:rPr>
              <w:t xml:space="preserve">800万美元</w:t>
            </w:r>
          </w:p>
        </w:tc>
        <w:tc>
          <w:tcPr/>
          <w:p>
            <w:pPr>
              <w:pStyle w:val="Compact"/>
              <w:jc w:val="center"/>
            </w:pPr>
            <w:r>
              <w:rPr>
                <w:rFonts w:hint="eastAsia"/>
              </w:rPr>
              <w:t xml:space="preserve">1,500万美元</w:t>
            </w:r>
          </w:p>
        </w:tc>
        <w:tc>
          <w:tcPr/>
          <w:p>
            <w:pPr>
              <w:pStyle w:val="Compact"/>
              <w:jc w:val="center"/>
            </w:pPr>
            <w:r>
              <w:rPr>
                <w:rFonts w:hint="eastAsia"/>
              </w:rPr>
              <w:t xml:space="preserve">测量与学习</w:t>
            </w:r>
          </w:p>
        </w:tc>
      </w:tr>
    </w:tbl>
    <w:bookmarkEnd w:id="16"/>
    <w:bookmarkEnd w:id="17"/>
    <w:bookmarkStart w:id="19" w:name="外勤组织"/>
    <w:p>
      <w:pPr>
        <w:pStyle w:val="Heading1"/>
      </w:pPr>
      <w:r>
        <w:rPr>
          <w:rFonts w:hint="eastAsia"/>
        </w:rPr>
        <w:t xml:space="preserve">外勤组织</w:t>
      </w:r>
    </w:p>
    <w:p>
      <w:pPr>
        <w:pStyle w:val="FirstParagraph"/>
      </w:pPr>
      <w:r>
        <w:rPr>
          <w:rFonts w:hint="eastAsia"/>
        </w:rPr>
        <w:t xml:space="preserve">外勤主管路易斯·奥尔特加将竞选团队视为一个能力建设的运作体系。办公室、组织者、志愿者领袖、拉票路线、电话银行、选票纠错团队以及法律支持，都必须在需要之前就组建到位。招募一名新组织者需要经过招募、培训、数据访问权限、监督和建立本地关系等环节。日后关闭办公室所节省的费用会比预期少得多，还可能损害士气。因此，奥尔特加希望在所有七个州都尽早做出承诺。</w:t>
      </w:r>
    </w:p>
    <w:p>
      <w:pPr>
        <w:pStyle w:val="BodyText"/>
      </w:pPr>
      <w:r>
        <w:rPr>
          <w:rFonts w:hint="eastAsia"/>
        </w:rPr>
        <w:t xml:space="preserve">组织力量最强的是北湖州，该竞选团队在那里拥有31个办公室、420名带薪工作人员，以及超过18,000名至少完成过一次值班的志愿者。索诺拉州则只有12个办公室、135名工作人员，分布在一片广阔得多的区域内。大平原州在两个大都市区拥有强大的政党组织，但在较小的工业县覆盖薄弱。银盆地州选举人票数量虽少，但其媒体市场相对便宜，人口也较为集中。皮德蒙特州拥有最大的潜在新选民群体，但登记规则和快速的人口增长使得选民名册的可靠性较低。</w:t>
      </w:r>
    </w:p>
    <w:bookmarkStart w:id="18" w:name="图-4.-摇摆州外勤能力"/>
    <w:p>
      <w:pPr>
        <w:pStyle w:val="Heading2"/>
      </w:pPr>
      <w:r>
        <w:rPr>
          <w:rFonts w:hint="eastAsia"/>
        </w:rPr>
        <w:t xml:space="preserve">图</w:t>
      </w:r>
      <w:r>
        <w:t xml:space="preserve"> 4. </w:t>
      </w:r>
      <w:r>
        <w:rPr>
          <w:rFonts w:hint="eastAsia"/>
        </w:rPr>
        <w:t xml:space="preserve">摇摆州外勤能力</w:t>
      </w:r>
    </w:p>
    <w:tbl>
      <w:tblPr>
        <w:tblStyle w:val="Table"/>
        <w:tblW w:type="pct" w:w="4877"/>
        <w:tblLayout w:type="fixed"/>
        <w:tblLook w:firstRow="1" w:lastRow="0" w:firstColumn="0" w:lastColumn="0" w:noHBand="0" w:noVBand="0" w:val="0020"/>
      </w:tblPr>
      <w:tblGrid>
        <w:gridCol w:w="1466"/>
        <w:gridCol w:w="977"/>
        <w:gridCol w:w="1271"/>
        <w:gridCol w:w="1955"/>
        <w:gridCol w:w="2053"/>
      </w:tblGrid>
      <w:tr>
        <w:trPr>
          <w:tblHeader w:val="on"/>
        </w:trPr>
        <w:tc>
          <w:tcPr/>
          <w:p>
            <w:pPr>
              <w:pStyle w:val="Compact"/>
            </w:pPr>
            <w:r>
              <w:rPr>
                <w:rFonts w:hint="eastAsia"/>
              </w:rPr>
              <w:t xml:space="preserve">州</w:t>
            </w:r>
            <w:r>
              <w:t xml:space="preserve"> </w:t>
            </w:r>
            <w:r>
              <w:rPr>
                <w:rFonts w:hint="eastAsia"/>
              </w:rPr>
              <w:t xml:space="preserve">办</w:t>
            </w:r>
          </w:p>
        </w:tc>
        <w:tc>
          <w:tcPr/>
          <w:p>
            <w:pPr>
              <w:pStyle w:val="Compact"/>
              <w:jc w:val="left"/>
            </w:pPr>
            <w:r>
              <w:rPr>
                <w:rFonts w:hint="eastAsia"/>
              </w:rPr>
              <w:t xml:space="preserve">公室数量</w:t>
            </w:r>
          </w:p>
        </w:tc>
        <w:tc>
          <w:tcPr/>
          <w:p>
            <w:pPr>
              <w:pStyle w:val="Compact"/>
              <w:jc w:val="right"/>
            </w:pPr>
            <w:r>
              <w:rPr>
                <w:rFonts w:hint="eastAsia"/>
              </w:rPr>
              <w:t xml:space="preserve">带薪工作人员</w:t>
            </w:r>
          </w:p>
        </w:tc>
        <w:tc>
          <w:tcPr/>
          <w:p>
            <w:pPr>
              <w:pStyle w:val="Compact"/>
              <w:jc w:val="center"/>
            </w:pPr>
            <w:r>
              <w:rPr>
                <w:rFonts w:hint="eastAsia"/>
              </w:rPr>
              <w:t xml:space="preserve">活跃志愿者数量</w:t>
            </w:r>
          </w:p>
        </w:tc>
        <w:tc>
          <w:tcPr/>
          <w:p>
            <w:pPr>
              <w:pStyle w:val="Compact"/>
              <w:jc w:val="center"/>
            </w:pPr>
            <w:r>
              <w:rPr>
                <w:rFonts w:hint="eastAsia"/>
              </w:rPr>
              <w:t xml:space="preserve">追加申请金额</w:t>
            </w:r>
          </w:p>
        </w:tc>
      </w:tr>
      <w:tr>
        <w:tc>
          <w:tcPr/>
          <w:p>
            <w:pPr>
              <w:pStyle w:val="Compact"/>
            </w:pPr>
            <w:r>
              <w:rPr>
                <w:rFonts w:hint="eastAsia"/>
              </w:rPr>
              <w:t xml:space="preserve">北湖</w:t>
            </w:r>
            <w:r>
              <w:t xml:space="preserve"> 3</w:t>
            </w:r>
          </w:p>
        </w:tc>
        <w:tc>
          <w:tcPr/>
          <w:p>
            <w:pPr>
              <w:pStyle w:val="Compact"/>
              <w:jc w:val="left"/>
            </w:pPr>
            <w:r>
              <w:t xml:space="preserve">1 4</w:t>
            </w:r>
          </w:p>
        </w:tc>
        <w:tc>
          <w:tcPr/>
          <w:p>
            <w:pPr>
              <w:pStyle w:val="Compact"/>
              <w:jc w:val="right"/>
            </w:pPr>
            <w:r>
              <w:t xml:space="preserve">20 1</w:t>
            </w:r>
          </w:p>
        </w:tc>
        <w:tc>
          <w:tcPr/>
          <w:p>
            <w:pPr>
              <w:pStyle w:val="Compact"/>
              <w:jc w:val="center"/>
            </w:pPr>
            <w:r>
              <w:t xml:space="preserve">8,200 8</w:t>
            </w:r>
          </w:p>
        </w:tc>
        <w:tc>
          <w:tcPr/>
          <w:p>
            <w:pPr>
              <w:pStyle w:val="Compact"/>
              <w:jc w:val="center"/>
            </w:pPr>
            <w:r>
              <w:rPr>
                <w:rFonts w:hint="eastAsia"/>
              </w:rPr>
              <w:t xml:space="preserve">50万美元</w:t>
            </w:r>
          </w:p>
        </w:tc>
      </w:tr>
      <w:tr>
        <w:tc>
          <w:tcPr/>
          <w:p>
            <w:pPr>
              <w:pStyle w:val="Compact"/>
            </w:pPr>
            <w:r>
              <w:rPr>
                <w:rFonts w:hint="eastAsia"/>
              </w:rPr>
              <w:t xml:space="preserve">大平原</w:t>
            </w:r>
            <w:r>
              <w:t xml:space="preserve"> 2</w:t>
            </w:r>
          </w:p>
        </w:tc>
        <w:tc>
          <w:tcPr/>
          <w:p>
            <w:pPr>
              <w:pStyle w:val="Compact"/>
              <w:jc w:val="left"/>
            </w:pPr>
            <w:r>
              <w:t xml:space="preserve">2 2</w:t>
            </w:r>
          </w:p>
        </w:tc>
        <w:tc>
          <w:tcPr/>
          <w:p>
            <w:pPr>
              <w:pStyle w:val="Compact"/>
              <w:jc w:val="right"/>
            </w:pPr>
            <w:r>
              <w:t xml:space="preserve">86 1</w:t>
            </w:r>
          </w:p>
        </w:tc>
        <w:tc>
          <w:tcPr/>
          <w:p>
            <w:pPr>
              <w:pStyle w:val="Compact"/>
              <w:jc w:val="center"/>
            </w:pPr>
            <w:r>
              <w:t xml:space="preserve">0,400 7</w:t>
            </w:r>
          </w:p>
        </w:tc>
        <w:tc>
          <w:tcPr/>
          <w:p>
            <w:pPr>
              <w:pStyle w:val="Compact"/>
              <w:jc w:val="center"/>
            </w:pPr>
            <w:r>
              <w:rPr>
                <w:rFonts w:hint="eastAsia"/>
              </w:rPr>
              <w:t xml:space="preserve">20万美元</w:t>
            </w:r>
          </w:p>
        </w:tc>
      </w:tr>
      <w:tr>
        <w:tc>
          <w:tcPr/>
          <w:p>
            <w:pPr>
              <w:pStyle w:val="Compact"/>
            </w:pPr>
            <w:r>
              <w:rPr>
                <w:rFonts w:hint="eastAsia"/>
              </w:rPr>
              <w:t xml:space="preserve">皮德蒙特</w:t>
            </w:r>
            <w:r>
              <w:t xml:space="preserve"> 2</w:t>
            </w:r>
          </w:p>
        </w:tc>
        <w:tc>
          <w:tcPr/>
          <w:p>
            <w:pPr>
              <w:pStyle w:val="Compact"/>
              <w:jc w:val="left"/>
            </w:pPr>
            <w:r>
              <w:t xml:space="preserve">0 3</w:t>
            </w:r>
          </w:p>
        </w:tc>
        <w:tc>
          <w:tcPr/>
          <w:p>
            <w:pPr>
              <w:pStyle w:val="Compact"/>
              <w:jc w:val="right"/>
            </w:pPr>
            <w:r>
              <w:t xml:space="preserve">05 9</w:t>
            </w:r>
          </w:p>
        </w:tc>
        <w:tc>
          <w:tcPr/>
          <w:p>
            <w:pPr>
              <w:pStyle w:val="Compact"/>
              <w:jc w:val="center"/>
            </w:pPr>
            <w:r>
              <w:t xml:space="preserve">,100 9</w:t>
            </w:r>
          </w:p>
        </w:tc>
        <w:tc>
          <w:tcPr/>
          <w:p>
            <w:pPr>
              <w:pStyle w:val="Compact"/>
              <w:jc w:val="center"/>
            </w:pPr>
            <w:r>
              <w:rPr>
                <w:rFonts w:hint="eastAsia"/>
              </w:rPr>
              <w:t xml:space="preserve">40万美元</w:t>
            </w:r>
          </w:p>
        </w:tc>
      </w:tr>
      <w:tr>
        <w:tc>
          <w:tcPr/>
          <w:p>
            <w:pPr>
              <w:pStyle w:val="Compact"/>
            </w:pPr>
            <w:r>
              <w:rPr>
                <w:rFonts w:hint="eastAsia"/>
              </w:rPr>
              <w:t xml:space="preserve">中原</w:t>
            </w:r>
            <w:r>
              <w:t xml:space="preserve"> 2</w:t>
            </w:r>
          </w:p>
        </w:tc>
        <w:tc>
          <w:tcPr/>
          <w:p>
            <w:pPr>
              <w:pStyle w:val="Compact"/>
              <w:jc w:val="left"/>
            </w:pPr>
            <w:r>
              <w:t xml:space="preserve">5 3</w:t>
            </w:r>
          </w:p>
        </w:tc>
        <w:tc>
          <w:tcPr/>
          <w:p>
            <w:pPr>
              <w:pStyle w:val="Compact"/>
              <w:jc w:val="right"/>
            </w:pPr>
            <w:r>
              <w:t xml:space="preserve">38 1</w:t>
            </w:r>
          </w:p>
        </w:tc>
        <w:tc>
          <w:tcPr/>
          <w:p>
            <w:pPr>
              <w:pStyle w:val="Compact"/>
              <w:jc w:val="center"/>
            </w:pPr>
            <w:r>
              <w:t xml:space="preserve">3,700 7</w:t>
            </w:r>
          </w:p>
        </w:tc>
        <w:tc>
          <w:tcPr/>
          <w:p>
            <w:pPr>
              <w:pStyle w:val="Compact"/>
              <w:jc w:val="center"/>
            </w:pPr>
            <w:r>
              <w:rPr>
                <w:rFonts w:hint="eastAsia"/>
              </w:rPr>
              <w:t xml:space="preserve">80万美元</w:t>
            </w:r>
          </w:p>
        </w:tc>
      </w:tr>
      <w:tr>
        <w:tc>
          <w:tcPr/>
          <w:p>
            <w:pPr>
              <w:pStyle w:val="Compact"/>
            </w:pPr>
            <w:r>
              <w:rPr>
                <w:rFonts w:hint="eastAsia"/>
              </w:rPr>
              <w:t xml:space="preserve">索诺拉</w:t>
            </w:r>
            <w:r>
              <w:t xml:space="preserve"> 1</w:t>
            </w:r>
          </w:p>
        </w:tc>
        <w:tc>
          <w:tcPr/>
          <w:p>
            <w:pPr>
              <w:pStyle w:val="Compact"/>
              <w:jc w:val="left"/>
            </w:pPr>
            <w:r>
              <w:t xml:space="preserve">2 1</w:t>
            </w:r>
          </w:p>
        </w:tc>
        <w:tc>
          <w:tcPr/>
          <w:p>
            <w:pPr>
              <w:pStyle w:val="Compact"/>
              <w:jc w:val="right"/>
            </w:pPr>
            <w:r>
              <w:t xml:space="preserve">35 5</w:t>
            </w:r>
          </w:p>
        </w:tc>
        <w:tc>
          <w:tcPr/>
          <w:p>
            <w:pPr>
              <w:pStyle w:val="Compact"/>
              <w:jc w:val="center"/>
            </w:pPr>
            <w:r>
              <w:t xml:space="preserve">,300 8</w:t>
            </w:r>
          </w:p>
        </w:tc>
        <w:tc>
          <w:tcPr/>
          <w:p>
            <w:pPr>
              <w:pStyle w:val="Compact"/>
              <w:jc w:val="center"/>
            </w:pPr>
            <w:r>
              <w:rPr>
                <w:rFonts w:hint="eastAsia"/>
              </w:rPr>
              <w:t xml:space="preserve">90万美元</w:t>
            </w:r>
          </w:p>
        </w:tc>
      </w:tr>
      <w:tr>
        <w:tc>
          <w:tcPr/>
          <w:p>
            <w:pPr>
              <w:pStyle w:val="Compact"/>
            </w:pPr>
            <w:r>
              <w:rPr>
                <w:rFonts w:hint="eastAsia"/>
              </w:rPr>
              <w:t xml:space="preserve">湖地</w:t>
            </w:r>
            <w:r>
              <w:t xml:space="preserve"> 1</w:t>
            </w:r>
          </w:p>
        </w:tc>
        <w:tc>
          <w:tcPr/>
          <w:p>
            <w:pPr>
              <w:pStyle w:val="Compact"/>
              <w:jc w:val="left"/>
            </w:pPr>
            <w:r>
              <w:t xml:space="preserve">8 2</w:t>
            </w:r>
          </w:p>
        </w:tc>
        <w:tc>
          <w:tcPr/>
          <w:p>
            <w:pPr>
              <w:pStyle w:val="Compact"/>
              <w:jc w:val="right"/>
            </w:pPr>
            <w:r>
              <w:t xml:space="preserve">24 8</w:t>
            </w:r>
          </w:p>
        </w:tc>
        <w:tc>
          <w:tcPr/>
          <w:p>
            <w:pPr>
              <w:pStyle w:val="Compact"/>
              <w:jc w:val="center"/>
            </w:pPr>
            <w:r>
              <w:t xml:space="preserve">,800 5</w:t>
            </w:r>
          </w:p>
        </w:tc>
        <w:tc>
          <w:tcPr/>
          <w:p>
            <w:pPr>
              <w:pStyle w:val="Compact"/>
              <w:jc w:val="center"/>
            </w:pPr>
            <w:r>
              <w:rPr>
                <w:rFonts w:hint="eastAsia"/>
              </w:rPr>
              <w:t xml:space="preserve">70万美元</w:t>
            </w:r>
          </w:p>
        </w:tc>
      </w:tr>
      <w:tr>
        <w:tc>
          <w:tcPr/>
          <w:p>
            <w:pPr>
              <w:pStyle w:val="Compact"/>
            </w:pPr>
            <w:r>
              <w:rPr>
                <w:rFonts w:hint="eastAsia"/>
              </w:rPr>
              <w:t xml:space="preserve">银盆地</w:t>
            </w:r>
            <w:r>
              <w:t xml:space="preserve"> 9</w:t>
            </w:r>
          </w:p>
        </w:tc>
        <w:tc>
          <w:tcPr/>
          <w:p>
            <w:pPr>
              <w:pStyle w:val="Compact"/>
              <w:jc w:val="left"/>
            </w:pPr>
            <w:r>
              <w:t xml:space="preserve">9</w:t>
            </w:r>
          </w:p>
        </w:tc>
        <w:tc>
          <w:tcPr/>
          <w:p>
            <w:pPr>
              <w:pStyle w:val="Compact"/>
              <w:jc w:val="right"/>
            </w:pPr>
            <w:r>
              <w:t xml:space="preserve">6 3</w:t>
            </w:r>
          </w:p>
        </w:tc>
        <w:tc>
          <w:tcPr/>
          <w:p>
            <w:pPr>
              <w:pStyle w:val="Compact"/>
              <w:jc w:val="center"/>
            </w:pPr>
            <w:r>
              <w:t xml:space="preserve">,900 3</w:t>
            </w:r>
          </w:p>
        </w:tc>
        <w:tc>
          <w:tcPr/>
          <w:p>
            <w:pPr>
              <w:pStyle w:val="Compact"/>
              <w:jc w:val="center"/>
            </w:pPr>
            <w:r>
              <w:rPr>
                <w:rFonts w:hint="eastAsia"/>
              </w:rPr>
              <w:t xml:space="preserve">40万美元</w:t>
            </w:r>
          </w:p>
        </w:tc>
      </w:tr>
    </w:tbl>
    <w:bookmarkEnd w:id="18"/>
    <w:bookmarkEnd w:id="19"/>
    <w:bookmarkStart w:id="21" w:name="民调究竟说明了什么"/>
    <w:p>
      <w:pPr>
        <w:pStyle w:val="Heading1"/>
      </w:pPr>
      <w:r>
        <w:rPr>
          <w:rFonts w:hint="eastAsia"/>
        </w:rPr>
        <w:t xml:space="preserve">民调究竟说明了什么？</w:t>
      </w:r>
    </w:p>
    <w:p>
      <w:pPr>
        <w:pStyle w:val="FirstParagraph"/>
      </w:pPr>
      <w:r>
        <w:rPr>
          <w:rFonts w:hint="eastAsia"/>
        </w:rPr>
        <w:t xml:space="preserve">民调主管普里娅·沙警告不要将图</w:t>
      </w:r>
      <w:r>
        <w:t xml:space="preserve"> 1 </w:t>
      </w:r>
      <w:r>
        <w:rPr>
          <w:rFonts w:hint="eastAsia"/>
        </w:rPr>
        <w:t xml:space="preserve">视为精确数据。每一项估计都综合了调查、投票率假设、无回应调整以及关于可能选民的判断。在若干州，仅改变可能选民模型，就会使差距变化幅度超过报告的抽样误差。受访者也可能改变主意，或最终没有投票。</w:t>
      </w:r>
    </w:p>
    <w:p>
      <w:pPr>
        <w:pStyle w:val="BodyText"/>
      </w:pPr>
      <w:r>
        <w:rPr>
          <w:rFonts w:hint="eastAsia"/>
        </w:rPr>
        <w:t xml:space="preserve">沙提议进行受控信息实验、访谈和快速调查，而不是再进行一轮完整的州级民调。各州负责人希望获得县一级的指导，而捐赠者和党内官员则期望得到概括性的数据。陈不禁思考，竞选团队究竟是在购买有助于改善决策的信息，还是在购买各部门可以用来为既有偏好辩护的数字。</w:t>
      </w:r>
    </w:p>
    <w:bookmarkStart w:id="20" w:name="图-5.-内部民调备选方案"/>
    <w:p>
      <w:pPr>
        <w:pStyle w:val="Heading2"/>
      </w:pPr>
      <w:r>
        <w:rPr>
          <w:rFonts w:hint="eastAsia"/>
        </w:rPr>
        <w:t xml:space="preserve">图</w:t>
      </w:r>
      <w:r>
        <w:t xml:space="preserve"> 5. </w:t>
      </w:r>
      <w:r>
        <w:rPr>
          <w:rFonts w:hint="eastAsia"/>
        </w:rPr>
        <w:t xml:space="preserve">内部民调备选方案</w:t>
      </w:r>
    </w:p>
    <w:tbl>
      <w:tblPr>
        <w:tblStyle w:val="Table"/>
        <w:tblW w:type="pct" w:w="4919"/>
        <w:tblLayout w:type="fixed"/>
        <w:tblLook w:firstRow="1" w:lastRow="0" w:firstColumn="0" w:lastColumn="0" w:noHBand="0" w:noVBand="0" w:val="0020"/>
      </w:tblPr>
      <w:tblGrid>
        <w:gridCol w:w="2768"/>
        <w:gridCol w:w="1030"/>
        <w:gridCol w:w="1674"/>
        <w:gridCol w:w="2318"/>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成本</w:t>
            </w:r>
          </w:p>
        </w:tc>
        <w:tc>
          <w:tcPr/>
          <w:p>
            <w:pPr>
              <w:pStyle w:val="Compact"/>
              <w:jc w:val="center"/>
            </w:pPr>
            <w:r>
              <w:rPr>
                <w:rFonts w:hint="eastAsia"/>
              </w:rPr>
              <w:t xml:space="preserve">时间安排</w:t>
            </w:r>
          </w:p>
        </w:tc>
        <w:tc>
          <w:tcPr/>
          <w:p>
            <w:pPr>
              <w:pStyle w:val="Compact"/>
              <w:jc w:val="center"/>
            </w:pPr>
            <w:r>
              <w:rPr>
                <w:rFonts w:hint="eastAsia"/>
              </w:rPr>
              <w:t xml:space="preserve">可能澄清的内容</w:t>
            </w:r>
          </w:p>
        </w:tc>
      </w:tr>
      <w:tr>
        <w:tc>
          <w:tcPr/>
          <w:p>
            <w:pPr>
              <w:pStyle w:val="Compact"/>
              <w:jc w:val="left"/>
            </w:pPr>
            <w:r>
              <w:rPr>
                <w:rFonts w:hint="eastAsia"/>
              </w:rPr>
              <w:t xml:space="preserve">全面摇摆州民调，每月两次</w:t>
            </w:r>
          </w:p>
        </w:tc>
        <w:tc>
          <w:tcPr/>
          <w:p>
            <w:pPr>
              <w:pStyle w:val="Compact"/>
              <w:jc w:val="center"/>
            </w:pPr>
            <w:r>
              <w:rPr>
                <w:rFonts w:hint="eastAsia"/>
              </w:rPr>
              <w:t xml:space="preserve">680万美元</w:t>
            </w:r>
          </w:p>
        </w:tc>
        <w:tc>
          <w:tcPr/>
          <w:p>
            <w:pPr>
              <w:pStyle w:val="Compact"/>
              <w:jc w:val="center"/>
            </w:pPr>
            <w:r>
              <w:rPr>
                <w:rFonts w:hint="eastAsia"/>
              </w:rPr>
              <w:t xml:space="preserve">5-7天出结果</w:t>
            </w:r>
          </w:p>
        </w:tc>
        <w:tc>
          <w:tcPr/>
          <w:p>
            <w:pPr>
              <w:pStyle w:val="Compact"/>
              <w:jc w:val="center"/>
            </w:pPr>
            <w:r>
              <w:rPr>
                <w:rFonts w:hint="eastAsia"/>
              </w:rPr>
              <w:t xml:space="preserve">各州差距及主要人群细分</w:t>
            </w:r>
          </w:p>
        </w:tc>
      </w:tr>
      <w:tr>
        <w:tc>
          <w:tcPr/>
          <w:p>
            <w:pPr>
              <w:pStyle w:val="Compact"/>
              <w:jc w:val="left"/>
            </w:pPr>
            <w:r>
              <w:rPr>
                <w:rFonts w:hint="eastAsia"/>
              </w:rPr>
              <w:t xml:space="preserve">多州每日跟踪民调</w:t>
            </w:r>
          </w:p>
        </w:tc>
        <w:tc>
          <w:tcPr/>
          <w:p>
            <w:pPr>
              <w:pStyle w:val="Compact"/>
              <w:jc w:val="center"/>
            </w:pPr>
            <w:r>
              <w:rPr>
                <w:rFonts w:hint="eastAsia"/>
              </w:rPr>
              <w:t xml:space="preserve">490万美元</w:t>
            </w:r>
          </w:p>
        </w:tc>
        <w:tc>
          <w:tcPr/>
          <w:p>
            <w:pPr>
              <w:pStyle w:val="Compact"/>
              <w:jc w:val="center"/>
            </w:pPr>
            <w:r>
              <w:rPr>
                <w:rFonts w:hint="eastAsia"/>
              </w:rPr>
              <w:t xml:space="preserve">滚动式3天估计</w:t>
            </w:r>
          </w:p>
        </w:tc>
        <w:tc>
          <w:tcPr/>
          <w:p>
            <w:pPr>
              <w:pStyle w:val="Compact"/>
              <w:jc w:val="center"/>
            </w:pPr>
            <w:r>
              <w:rPr>
                <w:rFonts w:hint="eastAsia"/>
              </w:rPr>
              <w:t xml:space="preserve">变化的方向与速度</w:t>
            </w:r>
          </w:p>
        </w:tc>
      </w:tr>
      <w:tr>
        <w:tc>
          <w:tcPr/>
          <w:p>
            <w:pPr>
              <w:pStyle w:val="Compact"/>
              <w:jc w:val="left"/>
            </w:pPr>
            <w:r>
              <w:rPr>
                <w:rFonts w:hint="eastAsia"/>
              </w:rPr>
              <w:t xml:space="preserve">信息实验与访谈</w:t>
            </w:r>
          </w:p>
        </w:tc>
        <w:tc>
          <w:tcPr/>
          <w:p>
            <w:pPr>
              <w:pStyle w:val="Compact"/>
              <w:jc w:val="center"/>
            </w:pPr>
            <w:r>
              <w:rPr>
                <w:rFonts w:hint="eastAsia"/>
              </w:rPr>
              <w:t xml:space="preserve">320万美元</w:t>
            </w:r>
          </w:p>
        </w:tc>
        <w:tc>
          <w:tcPr/>
          <w:p>
            <w:pPr>
              <w:pStyle w:val="Compact"/>
              <w:jc w:val="center"/>
            </w:pPr>
            <w:r>
              <w:rPr>
                <w:rFonts w:hint="eastAsia"/>
              </w:rPr>
              <w:t xml:space="preserve">2-10天</w:t>
            </w:r>
          </w:p>
        </w:tc>
        <w:tc>
          <w:tcPr/>
          <w:p>
            <w:pPr>
              <w:pStyle w:val="Compact"/>
              <w:jc w:val="center"/>
            </w:pPr>
            <w:r>
              <w:rPr>
                <w:rFonts w:hint="eastAsia"/>
              </w:rPr>
              <w:t xml:space="preserve">对主题与措辞的反应</w:t>
            </w:r>
          </w:p>
        </w:tc>
      </w:tr>
      <w:tr>
        <w:tc>
          <w:tcPr/>
          <w:p>
            <w:pPr>
              <w:pStyle w:val="Compact"/>
              <w:jc w:val="left"/>
            </w:pPr>
            <w:r>
              <w:rPr>
                <w:rFonts w:hint="eastAsia"/>
              </w:rPr>
              <w:t xml:space="preserve">县级选民名册建模更新</w:t>
            </w:r>
          </w:p>
        </w:tc>
        <w:tc>
          <w:tcPr/>
          <w:p>
            <w:pPr>
              <w:pStyle w:val="Compact"/>
              <w:jc w:val="center"/>
            </w:pPr>
            <w:r>
              <w:rPr>
                <w:rFonts w:hint="eastAsia"/>
              </w:rPr>
              <w:t xml:space="preserve">260万美元</w:t>
            </w:r>
          </w:p>
        </w:tc>
        <w:tc>
          <w:tcPr/>
          <w:p>
            <w:pPr>
              <w:pStyle w:val="Compact"/>
              <w:jc w:val="center"/>
            </w:pPr>
            <w:r>
              <w:rPr>
                <w:rFonts w:hint="eastAsia"/>
              </w:rPr>
              <w:t xml:space="preserve">3周</w:t>
            </w:r>
          </w:p>
        </w:tc>
        <w:tc>
          <w:tcPr/>
          <w:p>
            <w:pPr>
              <w:pStyle w:val="Compact"/>
              <w:jc w:val="center"/>
            </w:pPr>
            <w:r>
              <w:rPr>
                <w:rFonts w:hint="eastAsia"/>
              </w:rPr>
              <w:t xml:space="preserve">地理定向与投票率</w:t>
            </w:r>
          </w:p>
        </w:tc>
      </w:tr>
      <w:tr>
        <w:tc>
          <w:tcPr/>
          <w:p>
            <w:pPr>
              <w:pStyle w:val="Compact"/>
              <w:jc w:val="left"/>
            </w:pPr>
            <w:r>
              <w:rPr>
                <w:rFonts w:hint="eastAsia"/>
              </w:rPr>
              <w:t xml:space="preserve">最低限度合规与基准民调</w:t>
            </w:r>
          </w:p>
        </w:tc>
        <w:tc>
          <w:tcPr/>
          <w:p>
            <w:pPr>
              <w:pStyle w:val="Compact"/>
              <w:jc w:val="center"/>
            </w:pPr>
            <w:r>
              <w:rPr>
                <w:rFonts w:hint="eastAsia"/>
              </w:rPr>
              <w:t xml:space="preserve">110万美元</w:t>
            </w:r>
          </w:p>
        </w:tc>
        <w:tc>
          <w:tcPr/>
          <w:p>
            <w:pPr>
              <w:pStyle w:val="Compact"/>
              <w:jc w:val="center"/>
            </w:pPr>
            <w:r>
              <w:rPr>
                <w:rFonts w:hint="eastAsia"/>
              </w:rPr>
              <w:t xml:space="preserve">按需进行</w:t>
            </w:r>
          </w:p>
        </w:tc>
        <w:tc>
          <w:tcPr/>
          <w:p>
            <w:pPr>
              <w:pStyle w:val="Compact"/>
              <w:jc w:val="center"/>
            </w:pPr>
            <w:r>
              <w:rPr>
                <w:rFonts w:hint="eastAsia"/>
              </w:rPr>
              <w:t xml:space="preserve">基本竞选监测</w:t>
            </w:r>
          </w:p>
        </w:tc>
      </w:tr>
    </w:tbl>
    <w:bookmarkEnd w:id="20"/>
    <w:bookmarkEnd w:id="21"/>
    <w:bookmarkStart w:id="22" w:name="竞选团队无法安排的事件"/>
    <w:p>
      <w:pPr>
        <w:pStyle w:val="Heading1"/>
      </w:pPr>
      <w:r>
        <w:rPr>
          <w:rFonts w:hint="eastAsia"/>
        </w:rPr>
        <w:t xml:space="preserve">竞选团队无法安排的事件</w:t>
      </w:r>
    </w:p>
    <w:p>
      <w:pPr>
        <w:pStyle w:val="FirstParagraph"/>
      </w:pPr>
      <w:r>
        <w:rPr>
          <w:rFonts w:hint="eastAsia"/>
        </w:rPr>
        <w:t xml:space="preserve">该计划将在一个竞选团队无法掌控的环境中运行。一份经济报告、一场国际危机、一次自然灾害、一项法院裁决、候选人的失误、信息泄露、健康问题或对手的广告，都可能在数小时内转移公众关注焦点。外部团体可以在不与竞选团队协调的情况下进行支出，既可能强化子午线的信息，也可能迫使团队去防守一个原本被视为安全的州。</w:t>
      </w:r>
    </w:p>
    <w:p>
      <w:pPr>
        <w:pStyle w:val="BodyText"/>
      </w:pPr>
      <w:r>
        <w:rPr>
          <w:rFonts w:hint="eastAsia"/>
        </w:rPr>
        <w:t xml:space="preserve">财务预测同样充满不确定性。小额捐款对各类事件反应迅速，但捐赠者疲劳感已经上升。大额筹款则依赖数量有限的几场活动。外部团体可以重塑媒体环境。在2023-2024周期中，联邦政治委员会合计处理的资金达数十亿美元；子午线竞选团队只是这一庞大体系中的一个参与者。</w:t>
      </w:r>
    </w:p>
    <w:bookmarkEnd w:id="22"/>
    <w:bookmarkStart w:id="24" w:name="一个实为一系列决策的决策"/>
    <w:p>
      <w:pPr>
        <w:pStyle w:val="Heading1"/>
      </w:pPr>
      <w:r>
        <w:rPr>
          <w:rFonts w:hint="eastAsia"/>
        </w:rPr>
        <w:t xml:space="preserve">一个实为一系列决策的决策</w:t>
      </w:r>
    </w:p>
    <w:p>
      <w:pPr>
        <w:pStyle w:val="FirstParagraph"/>
      </w:pPr>
      <w:r>
        <w:rPr>
          <w:rFonts w:hint="eastAsia"/>
        </w:rPr>
        <w:t xml:space="preserve">陈的团队提出了四套方案：集中于北湖、中原和湖地；在所有七个州全面投入；着重外勤组织和提前投票；或为最后一个月保留大量储备资金。每套方案都隐含着对哪些选票可以被改变、以及未来事件将有多重要的不同判断。</w:t>
      </w:r>
    </w:p>
    <w:p>
      <w:pPr>
        <w:pStyle w:val="BodyText"/>
      </w:pPr>
      <w:r>
        <w:rPr>
          <w:rFonts w:hint="eastAsia"/>
        </w:rPr>
        <w:t xml:space="preserve">早上7点40分，陈得知一个反对派团体已在北湖预订了1,800万美元的电视广告时段，周末的捐款比预测低22%，而候选人希望在索诺拉举行一场重要演讲。这些要求单独来看都合情合理；但合在一起，就超出了竞选团队的承受能力。</w:t>
      </w:r>
    </w:p>
    <w:bookmarkStart w:id="23" w:name="图-6.-四种资源策略"/>
    <w:p>
      <w:pPr>
        <w:pStyle w:val="Heading2"/>
      </w:pPr>
      <w:r>
        <w:rPr>
          <w:rFonts w:hint="eastAsia"/>
        </w:rPr>
        <w:t xml:space="preserve">图</w:t>
      </w:r>
      <w:r>
        <w:t xml:space="preserve"> 6. </w:t>
      </w:r>
      <w:r>
        <w:rPr>
          <w:rFonts w:hint="eastAsia"/>
        </w:rPr>
        <w:t xml:space="preserve">四种资源策略</w:t>
      </w:r>
    </w:p>
    <w:tbl>
      <w:tblPr>
        <w:tblStyle w:val="Table"/>
        <w:tblW w:type="pct" w:w="4923"/>
        <w:tblLayout w:type="fixed"/>
        <w:tblLook w:firstRow="1" w:lastRow="0" w:firstColumn="0" w:lastColumn="0" w:noHBand="0" w:noVBand="0" w:val="0020"/>
      </w:tblPr>
      <w:tblGrid>
        <w:gridCol w:w="1340"/>
        <w:gridCol w:w="1401"/>
        <w:gridCol w:w="1705"/>
        <w:gridCol w:w="3350"/>
      </w:tblGrid>
      <w:tr>
        <w:trPr>
          <w:tblHeader w:val="on"/>
        </w:trPr>
        <w:tc>
          <w:tcPr/>
          <w:p>
            <w:pPr>
              <w:pStyle w:val="Compact"/>
              <w:jc w:val="left"/>
            </w:pPr>
            <w:r>
              <w:rPr>
                <w:rFonts w:hint="eastAsia"/>
              </w:rPr>
              <w:t xml:space="preserve">策略</w:t>
            </w:r>
          </w:p>
        </w:tc>
        <w:tc>
          <w:tcPr/>
          <w:p>
            <w:pPr>
              <w:pStyle w:val="Compact"/>
              <w:jc w:val="left"/>
            </w:pPr>
            <w:r>
              <w:rPr>
                <w:rFonts w:hint="eastAsia"/>
              </w:rPr>
              <w:t xml:space="preserve">即时投入承诺</w:t>
            </w:r>
          </w:p>
        </w:tc>
        <w:tc>
          <w:tcPr/>
          <w:p>
            <w:pPr>
              <w:pStyle w:val="Compact"/>
              <w:jc w:val="left"/>
            </w:pPr>
            <w:r>
              <w:rPr>
                <w:rFonts w:hint="eastAsia"/>
              </w:rPr>
              <w:t xml:space="preserve">为最后一个月保留的现金</w:t>
            </w:r>
          </w:p>
        </w:tc>
        <w:tc>
          <w:tcPr/>
          <w:p>
            <w:pPr>
              <w:pStyle w:val="Compact"/>
              <w:jc w:val="center"/>
            </w:pPr>
            <w:r>
              <w:rPr>
                <w:rFonts w:hint="eastAsia"/>
              </w:rPr>
              <w:t xml:space="preserve">核心前提</w:t>
            </w:r>
          </w:p>
        </w:tc>
      </w:tr>
      <w:tr>
        <w:tc>
          <w:tcPr/>
          <w:p>
            <w:pPr>
              <w:pStyle w:val="Compact"/>
              <w:jc w:val="left"/>
            </w:pPr>
            <w:r>
              <w:rPr>
                <w:rFonts w:hint="eastAsia"/>
              </w:rPr>
              <w:t xml:space="preserve">最短路径</w:t>
            </w:r>
          </w:p>
        </w:tc>
        <w:tc>
          <w:tcPr/>
          <w:p>
            <w:pPr>
              <w:pStyle w:val="Compact"/>
              <w:jc w:val="left"/>
            </w:pPr>
            <w:r>
              <w:rPr>
                <w:rFonts w:hint="eastAsia"/>
              </w:rPr>
              <w:t xml:space="preserve">1.51亿美元</w:t>
            </w:r>
          </w:p>
        </w:tc>
        <w:tc>
          <w:tcPr/>
          <w:p>
            <w:pPr>
              <w:pStyle w:val="Compact"/>
              <w:jc w:val="left"/>
            </w:pPr>
            <w:r>
              <w:rPr>
                <w:rFonts w:hint="eastAsia"/>
              </w:rPr>
              <w:t xml:space="preserve">3,900万美元</w:t>
            </w:r>
          </w:p>
        </w:tc>
        <w:tc>
          <w:tcPr/>
          <w:p>
            <w:pPr>
              <w:pStyle w:val="Compact"/>
              <w:jc w:val="center"/>
            </w:pPr>
            <w:r>
              <w:rPr>
                <w:rFonts w:hint="eastAsia"/>
              </w:rPr>
              <w:t xml:space="preserve">保护通往270票最可行的路径</w:t>
            </w:r>
          </w:p>
        </w:tc>
      </w:tr>
      <w:tr>
        <w:tc>
          <w:tcPr/>
          <w:p>
            <w:pPr>
              <w:pStyle w:val="Compact"/>
              <w:jc w:val="left"/>
            </w:pPr>
            <w:r>
              <w:rPr>
                <w:rFonts w:hint="eastAsia"/>
              </w:rPr>
              <w:t xml:space="preserve">七州全面竞争</w:t>
            </w:r>
          </w:p>
        </w:tc>
        <w:tc>
          <w:tcPr/>
          <w:p>
            <w:pPr>
              <w:pStyle w:val="Compact"/>
              <w:jc w:val="left"/>
            </w:pPr>
            <w:r>
              <w:rPr>
                <w:rFonts w:hint="eastAsia"/>
              </w:rPr>
              <w:t xml:space="preserve">1.78亿美元</w:t>
            </w:r>
          </w:p>
        </w:tc>
        <w:tc>
          <w:tcPr/>
          <w:p>
            <w:pPr>
              <w:pStyle w:val="Compact"/>
              <w:jc w:val="left"/>
            </w:pPr>
            <w:r>
              <w:rPr>
                <w:rFonts w:hint="eastAsia"/>
              </w:rPr>
              <w:t xml:space="preserve">1,200万美元</w:t>
            </w:r>
          </w:p>
        </w:tc>
        <w:tc>
          <w:tcPr/>
          <w:p>
            <w:pPr>
              <w:pStyle w:val="Compact"/>
              <w:jc w:val="center"/>
            </w:pPr>
            <w:r>
              <w:rPr>
                <w:rFonts w:hint="eastAsia"/>
              </w:rPr>
              <w:t xml:space="preserve">保持每个摇摆州都具有充分竞争力</w:t>
            </w:r>
          </w:p>
        </w:tc>
      </w:tr>
      <w:tr>
        <w:tc>
          <w:tcPr/>
          <w:p>
            <w:pPr>
              <w:pStyle w:val="Compact"/>
              <w:jc w:val="left"/>
            </w:pPr>
            <w:r>
              <w:rPr>
                <w:rFonts w:hint="eastAsia"/>
              </w:rPr>
              <w:t xml:space="preserve">组织优先</w:t>
            </w:r>
          </w:p>
        </w:tc>
        <w:tc>
          <w:tcPr/>
          <w:p>
            <w:pPr>
              <w:pStyle w:val="Compact"/>
              <w:jc w:val="left"/>
            </w:pPr>
            <w:r>
              <w:rPr>
                <w:rFonts w:hint="eastAsia"/>
              </w:rPr>
              <w:t xml:space="preserve">1.59亿美元</w:t>
            </w:r>
          </w:p>
        </w:tc>
        <w:tc>
          <w:tcPr/>
          <w:p>
            <w:pPr>
              <w:pStyle w:val="Compact"/>
              <w:jc w:val="left"/>
            </w:pPr>
            <w:r>
              <w:rPr>
                <w:rFonts w:hint="eastAsia"/>
              </w:rPr>
              <w:t xml:space="preserve">3,100万美元</w:t>
            </w:r>
          </w:p>
        </w:tc>
        <w:tc>
          <w:tcPr/>
          <w:p>
            <w:pPr>
              <w:pStyle w:val="Compact"/>
              <w:jc w:val="center"/>
            </w:pPr>
            <w:r>
              <w:rPr>
                <w:rFonts w:hint="eastAsia"/>
              </w:rPr>
              <w:t xml:space="preserve">外勤能力与提前投票将是决定性因素</w:t>
            </w:r>
          </w:p>
        </w:tc>
      </w:tr>
      <w:tr>
        <w:tc>
          <w:tcPr/>
          <w:p>
            <w:pPr>
              <w:pStyle w:val="Compact"/>
              <w:jc w:val="left"/>
            </w:pPr>
            <w:r>
              <w:rPr>
                <w:rFonts w:hint="eastAsia"/>
              </w:rPr>
              <w:t xml:space="preserve">灵活储备</w:t>
            </w:r>
          </w:p>
        </w:tc>
        <w:tc>
          <w:tcPr/>
          <w:p>
            <w:pPr>
              <w:pStyle w:val="Compact"/>
              <w:jc w:val="left"/>
            </w:pPr>
            <w:r>
              <w:rPr>
                <w:rFonts w:hint="eastAsia"/>
              </w:rPr>
              <w:t xml:space="preserve">1.32亿美元</w:t>
            </w:r>
          </w:p>
        </w:tc>
        <w:tc>
          <w:tcPr/>
          <w:p>
            <w:pPr>
              <w:pStyle w:val="Compact"/>
              <w:jc w:val="left"/>
            </w:pPr>
            <w:r>
              <w:rPr>
                <w:rFonts w:hint="eastAsia"/>
              </w:rPr>
              <w:t xml:space="preserve">5,800万美元</w:t>
            </w:r>
          </w:p>
        </w:tc>
        <w:tc>
          <w:tcPr/>
          <w:p>
            <w:pPr>
              <w:pStyle w:val="Compact"/>
              <w:jc w:val="center"/>
            </w:pPr>
            <w:r>
              <w:rPr>
                <w:rFonts w:hint="eastAsia"/>
              </w:rPr>
              <w:t xml:space="preserve">未来的事件和信息将改变优先事项</w:t>
            </w:r>
          </w:p>
        </w:tc>
      </w:tr>
    </w:tbl>
    <w:bookmarkEnd w:id="23"/>
    <w:bookmarkEnd w:id="24"/>
    <w:bookmarkStart w:id="25" w:name="讨论问题"/>
    <w:p>
      <w:pPr>
        <w:pStyle w:val="Heading1"/>
      </w:pPr>
      <w:r>
        <w:rPr>
          <w:rFonts w:hint="eastAsia"/>
        </w:rPr>
        <w:t xml:space="preserve">讨论问题</w:t>
      </w:r>
    </w:p>
    <w:p>
      <w:pPr>
        <w:numPr>
          <w:ilvl w:val="0"/>
          <w:numId w:val="1001"/>
        </w:numPr>
      </w:pPr>
      <w:r>
        <w:rPr>
          <w:rFonts w:hint="eastAsia"/>
        </w:rPr>
        <w:t xml:space="preserve">玛雅·陈面临的核心问题是什么？为什么它比仅仅选择民调差距最小的州更为复杂？</w:t>
      </w:r>
    </w:p>
    <w:p>
      <w:pPr>
        <w:numPr>
          <w:ilvl w:val="0"/>
          <w:numId w:val="1001"/>
        </w:numPr>
      </w:pPr>
      <w:r>
        <w:rPr>
          <w:rFonts w:hint="eastAsia"/>
        </w:rPr>
        <w:t xml:space="preserve">竞选团队应如何评估那些在选举人票数、民调差距、投票率、媒体成本和组织能力方面各不相同的州？</w:t>
      </w:r>
    </w:p>
    <w:p>
      <w:pPr>
        <w:numPr>
          <w:ilvl w:val="0"/>
          <w:numId w:val="1001"/>
        </w:numPr>
      </w:pPr>
      <w:r>
        <w:rPr>
          <w:rFonts w:hint="eastAsia"/>
        </w:rPr>
        <w:t xml:space="preserve">应立即投入多少资金，又应为最后一个月保留多少可用资金？</w:t>
      </w:r>
    </w:p>
    <w:p>
      <w:pPr>
        <w:numPr>
          <w:ilvl w:val="0"/>
          <w:numId w:val="1001"/>
        </w:numPr>
      </w:pPr>
      <w:r>
        <w:rPr>
          <w:rFonts w:hint="eastAsia"/>
        </w:rPr>
        <w:t xml:space="preserve">候选人的差旅时间应如何在说服、动员投票、筹款、全国媒体和快速响应之间分配？</w:t>
      </w:r>
    </w:p>
    <w:p>
      <w:pPr>
        <w:numPr>
          <w:ilvl w:val="0"/>
          <w:numId w:val="1001"/>
        </w:numPr>
      </w:pPr>
      <w:r>
        <w:rPr>
          <w:rFonts w:hint="eastAsia"/>
        </w:rPr>
        <w:t xml:space="preserve">哪些广告和选民联络渠道应优先考虑？什么样的证据可以支持在这些渠道之间调配资金？</w:t>
      </w:r>
    </w:p>
    <w:p>
      <w:pPr>
        <w:numPr>
          <w:ilvl w:val="0"/>
          <w:numId w:val="1001"/>
        </w:numPr>
      </w:pPr>
      <w:r>
        <w:rPr>
          <w:rFonts w:hint="eastAsia"/>
        </w:rPr>
        <w:t xml:space="preserve">竞选团队在接下来的三周内应收集哪些信息？哪些拟议的民调或研究活动看起来最有价值？</w:t>
      </w:r>
    </w:p>
    <w:p>
      <w:pPr>
        <w:numPr>
          <w:ilvl w:val="0"/>
          <w:numId w:val="1001"/>
        </w:numPr>
      </w:pPr>
      <w:r>
        <w:rPr>
          <w:rFonts w:hint="eastAsia"/>
        </w:rPr>
        <w:t xml:space="preserve">竞选团队应如何区分选民态度的真实变化，与民调噪声或投票率假设变化所造成的差异？</w:t>
      </w:r>
    </w:p>
    <w:p>
      <w:pPr>
        <w:numPr>
          <w:ilvl w:val="0"/>
          <w:numId w:val="1001"/>
        </w:numPr>
      </w:pPr>
      <w:r>
        <w:rPr>
          <w:rFonts w:hint="eastAsia"/>
        </w:rPr>
        <w:t xml:space="preserve">竞选团队应集中力量走一条通往270票的狭窄路径，还是在所有七个争议州都维持可信的行动？</w:t>
      </w:r>
    </w:p>
    <w:p>
      <w:pPr>
        <w:numPr>
          <w:ilvl w:val="0"/>
          <w:numId w:val="1001"/>
        </w:numPr>
      </w:pPr>
      <w:r>
        <w:rPr>
          <w:rFonts w:hint="eastAsia"/>
        </w:rPr>
        <w:t xml:space="preserve">哪些指标应触发某一州行动的扩大、缩减或关闭？</w:t>
      </w:r>
    </w:p>
    <w:p>
      <w:pPr>
        <w:numPr>
          <w:ilvl w:val="0"/>
          <w:numId w:val="1001"/>
        </w:numPr>
      </w:pPr>
      <w:r>
        <w:rPr>
          <w:rFonts w:hint="eastAsia"/>
        </w:rPr>
        <w:t xml:space="preserve">竞选团队应如何为重大新闻事件、对手支出、候选人健康问题、虚假信息或选举管理方面的干扰做好准备？</w:t>
      </w:r>
    </w:p>
    <w:bookmarkEnd w:id="25"/>
    <w:bookmarkStart w:id="31"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识别并描述决策者的职责范围。这将界定该问题的研究范围。</w:t>
      </w:r>
    </w:p>
    <w:p>
      <w:pPr>
        <w:numPr>
          <w:ilvl w:val="0"/>
          <w:numId w:val="1002"/>
        </w:numPr>
      </w:pPr>
      <w:r>
        <w:rPr>
          <w:rFonts w:hint="eastAsia"/>
        </w:rPr>
        <w:t xml:space="preserve">使用</w:t>
      </w:r>
      <w:hyperlink r:id="rId26">
        <w:r>
          <w:rPr>
            <w:rStyle w:val="Hyperlink"/>
            <w:rFonts w:hint="eastAsia"/>
          </w:rPr>
          <w:t xml:space="preserve">指标金字塔工具</w:t>
        </w:r>
      </w:hyperlink>
      <w:r>
        <w:rPr>
          <w:rFonts w:hint="eastAsia"/>
        </w:rPr>
        <w:t xml:space="preserve">来识别并对不同的绩效指标进行优先级排序。点击承载该指标的椭圆，以标明它是需要最大化的指标（绿色）、需要最小化的指标（红色）、作为下限的目标（浅绿色）、作为上限的目标（浅红色），还是一个目标值（紫色）。</w:t>
      </w:r>
    </w:p>
    <w:p>
      <w:pPr>
        <w:numPr>
          <w:ilvl w:val="0"/>
          <w:numId w:val="1002"/>
        </w:numPr>
      </w:pPr>
      <w:r>
        <w:rPr>
          <w:rFonts w:hint="eastAsia"/>
        </w:rPr>
        <w:t xml:space="preserve">使用</w:t>
      </w:r>
      <w:hyperlink r:id="rId27">
        <w:r>
          <w:rPr>
            <w:rStyle w:val="Hyperlink"/>
            <w:rFonts w:hint="eastAsia"/>
          </w:rPr>
          <w:t xml:space="preserve">决策优先级排序工具</w:t>
        </w:r>
      </w:hyperlink>
      <w:r>
        <w:rPr>
          <w:rFonts w:hint="eastAsia"/>
        </w:rPr>
        <w:t xml:space="preserve">，首先列出不同类型的决策（可参考</w:t>
      </w:r>
      <w:hyperlink r:id="rId28">
        <w:r>
          <w:rPr>
            <w:rStyle w:val="Hyperlink"/>
            <w:rFonts w:hint="eastAsia"/>
          </w:rPr>
          <w:t xml:space="preserve">决策类型</w:t>
        </w:r>
      </w:hyperlink>
      <w:r>
        <w:rPr>
          <w:rFonts w:hint="eastAsia"/>
        </w:rPr>
        <w:t xml:space="preserve">作为指导）。这些决策随后将填充右侧矩阵的各行，而各列则是按照上方金字塔中的优先级从左到右排序的绩效指标。点击每个单元格，以标明该决策对每项指标的影响程度是高（红色）、中（橙色）、低（黄色）还是无影响（白色）。</w:t>
      </w:r>
    </w:p>
    <w:p>
      <w:pPr>
        <w:numPr>
          <w:ilvl w:val="0"/>
          <w:numId w:val="1002"/>
        </w:numPr>
      </w:pPr>
      <w:r>
        <w:rPr>
          <w:rFonts w:hint="eastAsia"/>
        </w:rPr>
        <w:t xml:space="preserve">你可以抓住每行最左侧的把手（三条横杠）将其上移或下移。对各行进行排序，使得对最重要指标影响最大的决策排在最上方。左上角的单元格应集中了最多的红色和橙色单元格。此时，请识别出在你的研究中应给予最多关注的决策。如果你没有任何决策对最重要的指标具有中等或高等影响，请重新审视你所列出的决策清单。</w:t>
      </w:r>
    </w:p>
    <w:p>
      <w:pPr>
        <w:numPr>
          <w:ilvl w:val="0"/>
          <w:numId w:val="1002"/>
        </w:numPr>
      </w:pPr>
      <w:r>
        <w:rPr>
          <w:rFonts w:hint="eastAsia"/>
        </w:rPr>
        <w:t xml:space="preserve">重复上述过程，使用</w:t>
      </w:r>
      <w:hyperlink r:id="rId29">
        <w:r>
          <w:rPr>
            <w:rStyle w:val="Hyperlink"/>
            <w:rFonts w:hint="eastAsia"/>
          </w:rPr>
          <w:t xml:space="preserve">不确定性优先级排序工具</w:t>
        </w:r>
      </w:hyperlink>
      <w:r>
        <w:rPr>
          <w:rFonts w:hint="eastAsia"/>
        </w:rPr>
        <w:t xml:space="preserve">列出并对不确定性因素进行优先级排序。可参考</w:t>
      </w:r>
      <w:hyperlink r:id="rId30">
        <w:r>
          <w:rPr>
            <w:rStyle w:val="Hyperlink"/>
            <w:rFonts w:hint="eastAsia"/>
          </w:rPr>
          <w:t xml:space="preserve">不确定性类别</w:t>
        </w:r>
      </w:hyperlink>
      <w:r>
        <w:rPr>
          <w:rFonts w:hint="eastAsia"/>
        </w:rPr>
        <w:t xml:space="preserve">来帮助你识别这些不确定性因素。</w:t>
      </w:r>
    </w:p>
    <w:p>
      <w:pPr>
        <w:numPr>
          <w:ilvl w:val="0"/>
          <w:numId w:val="1002"/>
        </w:numPr>
      </w:pPr>
      <w:r>
        <w:rPr>
          <w:rFonts w:hint="eastAsia"/>
        </w:rPr>
        <w:t xml:space="preserve">区分那些可以通过平均表现来评估的不确定性，与那些属于风险事件形式的不确定性，这一点十分重要：</w:t>
      </w:r>
    </w:p>
    <w:p>
      <w:pPr>
        <w:numPr>
          <w:ilvl w:val="1"/>
          <w:numId w:val="1003"/>
        </w:numPr>
      </w:pPr>
      <w:r>
        <w:rPr>
          <w:rFonts w:hint="eastAsia"/>
        </w:rPr>
        <w:t xml:space="preserve">哪些不确定性来源可以通过一段时间内的平均表现来捕捉？</w:t>
      </w:r>
    </w:p>
    <w:p>
      <w:pPr>
        <w:numPr>
          <w:ilvl w:val="1"/>
          <w:numId w:val="1003"/>
        </w:numPr>
      </w:pPr>
      <w:r>
        <w:rPr>
          <w:rFonts w:hint="eastAsia"/>
        </w:rPr>
        <w:t xml:space="preserve">哪些不确定性来源代表了无法通过平均值恰当捕捉的风险形式？</w:t>
      </w:r>
    </w:p>
    <w:p>
      <w:pPr>
        <w:numPr>
          <w:ilvl w:val="0"/>
          <w:numId w:val="1002"/>
        </w:numPr>
      </w:pPr>
      <w:r>
        <w:rPr>
          <w:rFonts w:hint="eastAsia"/>
        </w:rPr>
        <w:t xml:space="preserve">选出对最重要指标影响似乎最大的单一决策。</w:t>
      </w:r>
    </w:p>
    <w:p>
      <w:pPr>
        <w:numPr>
          <w:ilvl w:val="1"/>
          <w:numId w:val="1004"/>
        </w:numPr>
      </w:pPr>
      <w:r>
        <w:rPr>
          <w:rFonts w:hint="eastAsia"/>
        </w:rPr>
        <w:t xml:space="preserve">你认为你会采用什么方法来做出这项决策？</w:t>
      </w:r>
    </w:p>
    <w:p>
      <w:pPr>
        <w:numPr>
          <w:ilvl w:val="1"/>
          <w:numId w:val="1004"/>
        </w:numPr>
      </w:pPr>
      <w:r>
        <w:rPr>
          <w:rFonts w:hint="eastAsia"/>
        </w:rPr>
        <w:t xml:space="preserve">做出这项决策看起来需要哪些数据，包括计算该决策具有高或中等影响的任何绩效指标所需的数据。</w:t>
      </w:r>
    </w:p>
    <w:p>
      <w:pPr>
        <w:numPr>
          <w:ilvl w:val="0"/>
          <w:numId w:val="1002"/>
        </w:numPr>
      </w:pPr>
      <w:r>
        <w:rPr>
          <w:rFonts w:hint="eastAsia"/>
        </w:rPr>
        <w:t xml:space="preserve">针对你在第(7)题中确定的同一项决策，识别出你在实施该决策时需要与之合作的人员、部门、团体或组织。</w:t>
      </w:r>
    </w:p>
    <w:bookmarkEnd w:id="31"/>
    <w:bookmarkStart w:id="32" w:name="资料来源说明"/>
    <w:p>
      <w:pPr>
        <w:pStyle w:val="Heading1"/>
      </w:pPr>
      <w:r>
        <w:rPr>
          <w:rFonts w:hint="eastAsia"/>
        </w:rPr>
        <w:t xml:space="preserve">资料来源说明</w:t>
      </w:r>
    </w:p>
    <w:p>
      <w:pPr>
        <w:pStyle w:val="FirstParagraph"/>
      </w:pPr>
      <w:r>
        <w:rPr>
          <w:rFonts w:hint="eastAsia"/>
        </w:rPr>
        <w:t xml:space="preserve">案例中的竞选团队、候选人、政党、工作人员、民调估计、财务预测及各图表均为虚构内容。其概念基础来自沃伦·B·鲍威尔（Warren</w:t>
      </w:r>
      <w:r>
        <w:t xml:space="preserve"> B. </w:t>
      </w:r>
      <w:r>
        <w:rPr>
          <w:rFonts w:hint="eastAsia"/>
        </w:rPr>
        <w:t xml:space="preserve">Powell）所著《架接决策问题》（Bridging</w:t>
      </w:r>
      <w:r>
        <w:t xml:space="preserve"> Decision </w:t>
      </w:r>
      <w:r>
        <w:rPr>
          <w:rFonts w:hint="eastAsia"/>
        </w:rPr>
        <w:t xml:space="preserve">Problems）第一卷第2章中”运作一场总统大选”一节。该节将总统竞选描述为一个受预算约束的运作性问题，涉及候选人与工作人员的部署、信息收集、信息传播、广告投放、外勤办公室、民调、捐款、支出、好感度变化、民调偏差、新闻事件、对手攻击、外部支出以及候选人健康状况等因素。</w:t>
      </w:r>
    </w:p>
    <w:p>
      <w:pPr>
        <w:pStyle w:val="BodyText"/>
      </w:pPr>
      <w:r>
        <w:rPr>
          <w:rFonts w:hint="eastAsia"/>
        </w:rPr>
        <w:t xml:space="preserve">公开背景资料：美国人口普查局报告称，在2024年总统大选中，有1.74亿达到投票年龄的公民进行了登记，1.54亿人参与投票，投票率为65.3%；其中39.6%的选民在选举日当天亲自投票，30.7%的选民提前亲自投票，29.0%的选民通过邮寄投票。联邦选举委员会（Federal</w:t>
      </w:r>
      <w:r>
        <w:t xml:space="preserve"> Election </w:t>
      </w:r>
      <w:r>
        <w:rPr>
          <w:rFonts w:hint="eastAsia"/>
        </w:rPr>
        <w:t xml:space="preserve">Commission）报告的2024年官方结果为选举人票312票对226票，总统候选人共获得155,238,302张选票。联邦选举委员会的汇总数据还显示，在2023-2024周期中，联邦候选人、政党及政治委员会合计处理的资金高达数十亿美元。资料来源：美国人口普查局，</w:t>
      </w:r>
      <w:r>
        <w:rPr>
          <w:rFonts w:hint="eastAsia"/>
        </w:rPr>
        <w:t xml:space="preserve">“2024年总统大选投票与登记数据表现已发布”</w:t>
      </w:r>
      <w:r>
        <w:rPr>
          <w:rFonts w:hint="eastAsia"/>
        </w:rPr>
        <w:t xml:space="preserve">（2025年4月30日）；联邦选举委员会，</w:t>
      </w:r>
      <w:r>
        <w:rPr>
          <w:rFonts w:hint="eastAsia"/>
        </w:rPr>
        <w:t xml:space="preserve">“2024年总统大选正式结果”</w:t>
      </w:r>
      <w:r>
        <w:rPr>
          <w:rFonts w:hint="eastAsia"/>
        </w:rPr>
        <w:t xml:space="preserve">；以及联邦选举委员会，</w:t>
      </w:r>
      <w:r>
        <w:rPr>
          <w:rFonts w:hint="eastAsia"/>
        </w:rPr>
        <w:t xml:space="preserve">“2023-2024选举周期24个月竞选活动统计摘要”</w:t>
      </w:r>
      <w:r>
        <w:rPr>
          <w:rFonts w:hint="eastAsia"/>
        </w:rPr>
        <w:t xml:space="preserve">（2025年4月23日）。</w:t>
      </w:r>
    </w:p>
    <w:bookmarkEnd w:id="32"/>
    <w:bookmarkStart w:id="35" w:name="chatgpt-说明"/>
    <w:p>
      <w:pPr>
        <w:pStyle w:val="Heading1"/>
      </w:pPr>
      <w:r>
        <w:t xml:space="preserve">ChatGPT </w:t>
      </w:r>
      <w:r>
        <w:rPr>
          <w:rFonts w:hint="eastAsia"/>
        </w:rPr>
        <w:t xml:space="preserve">说明</w:t>
      </w:r>
    </w:p>
    <w:bookmarkStart w:id="33" w:name="提示词"/>
    <w:p>
      <w:pPr>
        <w:pStyle w:val="Heading2"/>
      </w:pPr>
      <w:r>
        <w:rPr>
          <w:rFonts w:hint="eastAsia"/>
        </w:rPr>
        <w:t xml:space="preserve">提示词</w:t>
      </w:r>
    </w:p>
    <w:p>
      <w:pPr>
        <w:pStyle w:val="FirstParagraph"/>
      </w:pPr>
      <w:r>
        <w:rPr>
          <w:rFonts w:hint="eastAsia"/>
        </w:rPr>
        <w:t xml:space="preserve">请基于</w:t>
      </w:r>
      <w:r>
        <w:t xml:space="preserve"> https://warrenpowell.org/bridging-vol1/chapter-2/#presidentialelection </w:t>
      </w:r>
      <w:r>
        <w:rPr>
          <w:rFonts w:hint="eastAsia"/>
        </w:rPr>
        <w:t xml:space="preserve">一节中的材料，撰写一篇4-6页的案例研究。请根据该节中涉及的指标、决策与不确定性构建一个情境，但不要明确点明这些概念本身。请用数据为你的案例问题提供依据。</w:t>
      </w:r>
    </w:p>
    <w:bookmarkEnd w:id="33"/>
    <w:bookmarkStart w:id="34" w:name="摘要"/>
    <w:p>
      <w:pPr>
        <w:pStyle w:val="Heading2"/>
      </w:pPr>
      <w:r>
        <w:rPr>
          <w:rFonts w:hint="eastAsia"/>
        </w:rPr>
        <w:t xml:space="preserve">摘要</w:t>
      </w:r>
    </w:p>
    <w:p>
      <w:pPr>
        <w:pStyle w:val="FirstParagraph"/>
      </w:pPr>
      <w:r>
        <w:rPr>
          <w:rFonts w:hint="eastAsia"/>
        </w:rPr>
        <w:t xml:space="preserve">该案例将一场虚构的总统竞选置于距大选日还有十一周的时间点上，93张选举人票分散在七个争议州之中。案例探讨了候选人差旅、广告、外勤办公室、民调、筹款、选民动员以及财务储备等方面相互竞争的需求，但并未指明某一种偏好策略。</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warrenpowell.org/decision-framing-tool/#decision-prioritization-tool" TargetMode="External" /><Relationship Type="http://schemas.openxmlformats.org/officeDocument/2006/relationships/hyperlink" Id="rId26" Target="https://warrenpowell.org/decision-framing-tool/#metrics-pyramid-tool" TargetMode="External" /><Relationship Type="http://schemas.openxmlformats.org/officeDocument/2006/relationships/hyperlink" Id="rId29" Target="https://warrenpowell.org/decision-framing-tool/#uncertainty-prioritization-tool" TargetMode="External" /><Relationship Type="http://schemas.openxmlformats.org/officeDocument/2006/relationships/hyperlink" Id="rId28" Target="https://warrenpowell.org/decisionsdecisions/#types-of-decision-settings" TargetMode="External" /><Relationship Type="http://schemas.openxmlformats.org/officeDocument/2006/relationships/hyperlink" Id="rId3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7" Target="https://warrenpowell.org/decision-framing-tool/#decision-prioritization-tool" TargetMode="External" /><Relationship Type="http://schemas.openxmlformats.org/officeDocument/2006/relationships/hyperlink" Id="rId26" Target="https://warrenpowell.org/decision-framing-tool/#metrics-pyramid-tool" TargetMode="External" /><Relationship Type="http://schemas.openxmlformats.org/officeDocument/2006/relationships/hyperlink" Id="rId29" Target="https://warrenpowell.org/decision-framing-tool/#uncertainty-prioritization-tool" TargetMode="External" /><Relationship Type="http://schemas.openxmlformats.org/officeDocument/2006/relationships/hyperlink" Id="rId28" Target="https://warrenpowell.org/decisionsdecisions/#types-of-decision-settings" TargetMode="External" /><Relationship Type="http://schemas.openxmlformats.org/officeDocument/2006/relationships/hyperlink" Id="rId3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2026-09-11T17:16:08Z</dcterms:created>
  <dcterms:modified xsi:type="dcterms:W3CDTF">2026-09-11T17:16:08Z</dcterms:modified>
</cp:coreProperties>
</file>

<file path=docProps/custom.xml><?xml version="1.0" encoding="utf-8"?>
<Properties xmlns="http://schemas.openxmlformats.org/officeDocument/2006/custom-properties" xmlns:vt="http://schemas.openxmlformats.org/officeDocument/2006/docPropsVTypes"/>
</file>