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诺斯桥工业系统公司</w:t>
      </w:r>
    </w:p>
    <w:p>
      <w:pPr>
        <w:pStyle w:val="BodyText"/>
      </w:pPr>
      <w:r>
        <w:rPr>
          <w:rFonts w:hint="eastAsia"/>
        </w:rPr>
        <w:t xml:space="preserve">九十天付款决策</w:t>
      </w:r>
    </w:p>
    <w:p>
      <w:pPr>
        <w:pStyle w:val="BodyText"/>
      </w:pPr>
      <w:r>
        <w:rPr>
          <w:rFonts w:hint="eastAsia"/>
        </w:rPr>
        <w:t xml:space="preserve">一个关于在不破坏关键供应商稳定的前提下保护流动性的供应链金融案例</w:t>
      </w:r>
    </w:p>
    <w:p>
      <w:pPr>
        <w:pStyle w:val="BodyText"/>
      </w:pPr>
      <w:r>
        <w:rPr>
          <w:rFonts w:hint="eastAsia"/>
        </w:rPr>
        <w:t xml:space="preserve">本案例为虚构内容，仅供教学讨论之用。名称、事件、组织及运营数据均属虚构，但行业背景参考了公开资料。</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诺斯桥拥有足够的现金来满足自身的近期义务，但不足以同时吸收关税驱动的库存采购、维持其信用评级，并加快向每一家声称承受压力的供应商付款。一项拟议的供应商融资计划或许能有所帮助，但它也会延长诺斯桥的付款期限，并对银行、保险公司和交易数据产生新的依赖。</w:t>
            </w:r>
          </w:p>
        </w:tc>
      </w:tr>
    </w:tbl>
    <w:p>
      <w:r>
        <w:pict>
          <v:rect style="width:0;height:1.5pt" o:hralign="center" o:hrstd="t" o:hr="t"/>
        </w:pict>
      </w:r>
    </w:p>
    <w:bookmarkStart w:id="10" w:name="订单充足现金周期却在收紧"/>
    <w:p>
      <w:pPr>
        <w:pStyle w:val="Heading1"/>
      </w:pPr>
      <w:r>
        <w:rPr>
          <w:rFonts w:hint="eastAsia"/>
        </w:rPr>
        <w:t xml:space="preserve">订单充足，现金周期却在收紧</w:t>
      </w:r>
    </w:p>
    <w:p>
      <w:pPr>
        <w:pStyle w:val="FirstParagraph"/>
      </w:pPr>
      <w:r>
        <w:rPr>
          <w:rFonts w:hint="eastAsia"/>
        </w:rPr>
        <w:t xml:space="preserve">2026年9月一个周二的清晨7:10，诺斯桥工业系统公司（Northbridge</w:t>
      </w:r>
      <w:r>
        <w:t xml:space="preserve"> Industrial </w:t>
      </w:r>
      <w:r>
        <w:rPr>
          <w:rFonts w:hint="eastAsia"/>
        </w:rPr>
        <w:t xml:space="preserve">Systems）首席财务官玛雅·陈（Maya</w:t>
      </w:r>
      <w:r>
        <w:t xml:space="preserve"> </w:t>
      </w:r>
      <w:r>
        <w:rPr>
          <w:rFonts w:hint="eastAsia"/>
        </w:rPr>
        <w:t xml:space="preserve">Chen）打开了一封来自AlloyWorks</w:t>
      </w:r>
      <w:r>
        <w:t xml:space="preserve"> </w:t>
      </w:r>
      <w:r>
        <w:rPr>
          <w:rFonts w:hint="eastAsia"/>
        </w:rPr>
        <w:t xml:space="preserve">Precision所有者的邮件，AlloyWorks是俄亥俄州一家家族经营的机械加工供应商。AlloyWorks为诺斯桥的工业冷却系统生产一种体积虽小但不可或缺的阀门壳体。这位供应商的信息很简短：除非诺斯桥能将付款周期从75天缩短至30天，否则AlloyWorks将不得不减产或寻求买家收购。</w:t>
      </w:r>
    </w:p>
    <w:p>
      <w:pPr>
        <w:pStyle w:val="BodyText"/>
      </w:pPr>
      <w:r>
        <w:rPr>
          <w:rFonts w:hint="eastAsia"/>
        </w:rPr>
        <w:t xml:space="preserve">诺斯桥为数据中心、食品加工厂、医院和先进制造工厂制造泵、控制装置和热管理组件。年收入已达到28亿美元，其订单积压量创下公司历史新高。然而现金转化情况却在恶化。客户要求延长付款期限，库存为防范运输中断而有所上升，新关税又推高了进口电机、电子控制器和特种金属的成本。公司仍保持盈利，但现金被消耗的速度快于盈利数据所暗示的程度。</w:t>
      </w:r>
    </w:p>
    <w:p>
      <w:pPr>
        <w:pStyle w:val="BodyText"/>
      </w:pPr>
      <w:r>
        <w:rPr>
          <w:rFonts w:hint="eastAsia"/>
        </w:rPr>
        <w:t xml:space="preserve">问题不仅限于一家供应商。采购部门已将47家供应商列为在运营上关键但财务上脆弱的供应商。它们合计仅占年度采购额的18%，却为诺斯桥63%的成品供应零部件。其中一些供应商无法获得低成本的银行信贷。另一些则使用利率浮动、附有个人担保的循环信贷额度，或依赖网络借贷机构。当诺斯桥去年将标准付款期限从60天延长至75天时，许多供应商未提出异议便接受了这一变化。而现在，采购经理们报告称出现了工具采购延迟、加班减少以及涨价要求。</w:t>
      </w:r>
    </w:p>
    <w:p>
      <w:pPr>
        <w:pStyle w:val="BodyText"/>
      </w:pPr>
      <w:r>
        <w:rPr>
          <w:rFonts w:hint="eastAsia"/>
        </w:rPr>
        <w:t xml:space="preserve">更广泛的市场也未能提供多少慰藉。美联储各储备银行2026年小企业调查报告显示，前一年中有60%的企业曾申请融资，通常是为了满足经营支出，而申请人中只有42%获得了其所寻求的全额资金。制造业企业也是最有可能报告受关税相关成本压力影响的群体之一。与此同时，供应链金融正在迅速扩张：2025年一项Secured</w:t>
      </w:r>
      <w:r>
        <w:t xml:space="preserve"> Finance </w:t>
      </w:r>
      <w:r>
        <w:rPr>
          <w:rFonts w:hint="eastAsia"/>
        </w:rPr>
        <w:t xml:space="preserve">Network的研究估计，美国大约12%的贸易应收账款是通过此类安排融资的，年度业务规模约为2.56万亿美元。</w:t>
      </w:r>
    </w:p>
    <w:bookmarkStart w:id="9" w:name="图-1.-诺斯桥营运资本状况"/>
    <w:p>
      <w:pPr>
        <w:pStyle w:val="Heading2"/>
      </w:pPr>
      <w:r>
        <w:rPr>
          <w:rFonts w:hint="eastAsia"/>
        </w:rPr>
        <w:t xml:space="preserve">图</w:t>
      </w:r>
      <w:r>
        <w:t xml:space="preserve"> 1. </w:t>
      </w:r>
      <w:r>
        <w:rPr>
          <w:rFonts w:hint="eastAsia"/>
        </w:rPr>
        <w:t xml:space="preserve">诺斯桥营运资本状况</w:t>
      </w:r>
    </w:p>
    <w:tbl>
      <w:tblPr>
        <w:tblStyle w:val="Table"/>
        <w:tblW w:type="pct" w:w="4872"/>
        <w:tblLayout w:type="fixed"/>
        <w:tblLook w:firstRow="1" w:lastRow="0" w:firstColumn="0" w:lastColumn="0" w:noHBand="0" w:noVBand="0" w:val="0020"/>
      </w:tblPr>
      <w:tblGrid>
        <w:gridCol w:w="2944"/>
        <w:gridCol w:w="1421"/>
        <w:gridCol w:w="1421"/>
        <w:gridCol w:w="1929"/>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2024财年</w:t>
            </w:r>
          </w:p>
        </w:tc>
        <w:tc>
          <w:tcPr/>
          <w:p>
            <w:pPr>
              <w:pStyle w:val="Compact"/>
              <w:jc w:val="center"/>
            </w:pPr>
            <w:r>
              <w:rPr>
                <w:rFonts w:hint="eastAsia"/>
              </w:rPr>
              <w:t xml:space="preserve">2025财年</w:t>
            </w:r>
          </w:p>
        </w:tc>
        <w:tc>
          <w:tcPr/>
          <w:p>
            <w:pPr>
              <w:pStyle w:val="Compact"/>
              <w:jc w:val="center"/>
            </w:pPr>
            <w:r>
              <w:rPr>
                <w:rFonts w:hint="eastAsia"/>
              </w:rPr>
              <w:t xml:space="preserve">当前预测</w:t>
            </w:r>
          </w:p>
        </w:tc>
      </w:tr>
      <w:tr>
        <w:tc>
          <w:tcPr/>
          <w:p>
            <w:pPr>
              <w:pStyle w:val="Compact"/>
              <w:jc w:val="left"/>
            </w:pPr>
            <w:r>
              <w:rPr>
                <w:rFonts w:hint="eastAsia"/>
              </w:rPr>
              <w:t xml:space="preserve">收入</w:t>
            </w:r>
          </w:p>
        </w:tc>
        <w:tc>
          <w:tcPr/>
          <w:p>
            <w:pPr>
              <w:pStyle w:val="Compact"/>
              <w:jc w:val="center"/>
            </w:pPr>
            <w:r>
              <w:rPr>
                <w:rFonts w:hint="eastAsia"/>
              </w:rPr>
              <w:t xml:space="preserve">28.2亿美元</w:t>
            </w:r>
          </w:p>
        </w:tc>
        <w:tc>
          <w:tcPr/>
          <w:p>
            <w:pPr>
              <w:pStyle w:val="Compact"/>
              <w:jc w:val="center"/>
            </w:pPr>
            <w:r>
              <w:rPr>
                <w:rFonts w:hint="eastAsia"/>
              </w:rPr>
              <w:t xml:space="preserve">26.1亿美元</w:t>
            </w:r>
          </w:p>
        </w:tc>
        <w:tc>
          <w:tcPr/>
          <w:p>
            <w:pPr>
              <w:pStyle w:val="Compact"/>
              <w:jc w:val="center"/>
            </w:pPr>
            <w:r>
              <w:rPr>
                <w:rFonts w:hint="eastAsia"/>
              </w:rPr>
              <w:t xml:space="preserve">28.0亿美元</w:t>
            </w:r>
          </w:p>
        </w:tc>
      </w:tr>
      <w:tr>
        <w:tc>
          <w:tcPr/>
          <w:p>
            <w:pPr>
              <w:pStyle w:val="Compact"/>
              <w:jc w:val="left"/>
            </w:pPr>
            <w:r>
              <w:rPr>
                <w:rFonts w:hint="eastAsia"/>
              </w:rPr>
              <w:t xml:space="preserve">EBITDA利润率</w:t>
            </w:r>
          </w:p>
        </w:tc>
        <w:tc>
          <w:tcPr/>
          <w:p>
            <w:pPr>
              <w:pStyle w:val="Compact"/>
              <w:jc w:val="center"/>
            </w:pPr>
            <w:r>
              <w:t xml:space="preserve">13.8%</w:t>
            </w:r>
          </w:p>
        </w:tc>
        <w:tc>
          <w:tcPr/>
          <w:p>
            <w:pPr>
              <w:pStyle w:val="Compact"/>
              <w:jc w:val="center"/>
            </w:pPr>
            <w:r>
              <w:t xml:space="preserve">13.2%</w:t>
            </w:r>
          </w:p>
        </w:tc>
        <w:tc>
          <w:tcPr/>
          <w:p>
            <w:pPr>
              <w:pStyle w:val="Compact"/>
              <w:jc w:val="center"/>
            </w:pPr>
            <w:r>
              <w:t xml:space="preserve">12.6%</w:t>
            </w:r>
          </w:p>
        </w:tc>
      </w:tr>
      <w:tr>
        <w:tc>
          <w:tcPr/>
          <w:p>
            <w:pPr>
              <w:pStyle w:val="Compact"/>
              <w:jc w:val="left"/>
            </w:pPr>
            <w:r>
              <w:rPr>
                <w:rFonts w:hint="eastAsia"/>
              </w:rPr>
              <w:t xml:space="preserve">应收账款周转天数</w:t>
            </w:r>
          </w:p>
        </w:tc>
        <w:tc>
          <w:tcPr/>
          <w:p>
            <w:pPr>
              <w:pStyle w:val="Compact"/>
              <w:jc w:val="center"/>
            </w:pPr>
            <w:r>
              <w:t xml:space="preserve">51</w:t>
            </w:r>
          </w:p>
        </w:tc>
        <w:tc>
          <w:tcPr/>
          <w:p>
            <w:pPr>
              <w:pStyle w:val="Compact"/>
              <w:jc w:val="center"/>
            </w:pPr>
            <w:r>
              <w:t xml:space="preserve">57</w:t>
            </w:r>
          </w:p>
        </w:tc>
        <w:tc>
          <w:tcPr/>
          <w:p>
            <w:pPr>
              <w:pStyle w:val="Compact"/>
              <w:jc w:val="center"/>
            </w:pPr>
            <w:r>
              <w:t xml:space="preserve">64</w:t>
            </w:r>
          </w:p>
        </w:tc>
      </w:tr>
      <w:tr>
        <w:tc>
          <w:tcPr/>
          <w:p>
            <w:pPr>
              <w:pStyle w:val="Compact"/>
              <w:jc w:val="left"/>
            </w:pPr>
            <w:r>
              <w:rPr>
                <w:rFonts w:hint="eastAsia"/>
              </w:rPr>
              <w:t xml:space="preserve">库存周转天数</w:t>
            </w:r>
          </w:p>
        </w:tc>
        <w:tc>
          <w:tcPr/>
          <w:p>
            <w:pPr>
              <w:pStyle w:val="Compact"/>
              <w:jc w:val="center"/>
            </w:pPr>
            <w:r>
              <w:t xml:space="preserve">72</w:t>
            </w:r>
          </w:p>
        </w:tc>
        <w:tc>
          <w:tcPr/>
          <w:p>
            <w:pPr>
              <w:pStyle w:val="Compact"/>
              <w:jc w:val="center"/>
            </w:pPr>
            <w:r>
              <w:t xml:space="preserve">84</w:t>
            </w:r>
          </w:p>
        </w:tc>
        <w:tc>
          <w:tcPr/>
          <w:p>
            <w:pPr>
              <w:pStyle w:val="Compact"/>
              <w:jc w:val="center"/>
            </w:pPr>
            <w:r>
              <w:t xml:space="preserve">96</w:t>
            </w:r>
          </w:p>
        </w:tc>
      </w:tr>
      <w:tr>
        <w:tc>
          <w:tcPr/>
          <w:p>
            <w:pPr>
              <w:pStyle w:val="Compact"/>
              <w:jc w:val="left"/>
            </w:pPr>
            <w:r>
              <w:rPr>
                <w:rFonts w:hint="eastAsia"/>
              </w:rPr>
              <w:t xml:space="preserve">应付账款周转天数</w:t>
            </w:r>
          </w:p>
        </w:tc>
        <w:tc>
          <w:tcPr/>
          <w:p>
            <w:pPr>
              <w:pStyle w:val="Compact"/>
              <w:jc w:val="center"/>
            </w:pPr>
            <w:r>
              <w:t xml:space="preserve">58</w:t>
            </w:r>
          </w:p>
        </w:tc>
        <w:tc>
          <w:tcPr/>
          <w:p>
            <w:pPr>
              <w:pStyle w:val="Compact"/>
              <w:jc w:val="center"/>
            </w:pPr>
            <w:r>
              <w:t xml:space="preserve">69</w:t>
            </w:r>
          </w:p>
        </w:tc>
        <w:tc>
          <w:tcPr/>
          <w:p>
            <w:pPr>
              <w:pStyle w:val="Compact"/>
              <w:jc w:val="center"/>
            </w:pPr>
            <w:r>
              <w:t xml:space="preserve">75</w:t>
            </w:r>
          </w:p>
        </w:tc>
      </w:tr>
      <w:tr>
        <w:tc>
          <w:tcPr/>
          <w:p>
            <w:pPr>
              <w:pStyle w:val="Compact"/>
              <w:jc w:val="left"/>
            </w:pPr>
            <w:r>
              <w:rPr>
                <w:rFonts w:hint="eastAsia"/>
              </w:rPr>
              <w:t xml:space="preserve">自由现金流</w:t>
            </w:r>
          </w:p>
        </w:tc>
        <w:tc>
          <w:tcPr/>
          <w:p>
            <w:pPr>
              <w:pStyle w:val="Compact"/>
              <w:jc w:val="center"/>
            </w:pPr>
            <w:r>
              <w:rPr>
                <w:rFonts w:hint="eastAsia"/>
              </w:rPr>
              <w:t xml:space="preserve">1.46亿美元</w:t>
            </w:r>
          </w:p>
        </w:tc>
        <w:tc>
          <w:tcPr/>
          <w:p>
            <w:pPr>
              <w:pStyle w:val="Compact"/>
              <w:jc w:val="center"/>
            </w:pPr>
            <w:r>
              <w:rPr>
                <w:rFonts w:hint="eastAsia"/>
              </w:rPr>
              <w:t xml:space="preserve">0.82亿美元</w:t>
            </w:r>
          </w:p>
        </w:tc>
        <w:tc>
          <w:tcPr/>
          <w:p>
            <w:pPr>
              <w:pStyle w:val="Compact"/>
              <w:jc w:val="center"/>
            </w:pPr>
            <w:r>
              <w:rPr>
                <w:rFonts w:hint="eastAsia"/>
              </w:rPr>
              <w:t xml:space="preserve">0.31亿美元</w:t>
            </w:r>
          </w:p>
        </w:tc>
      </w:tr>
      <w:tr>
        <w:tc>
          <w:tcPr/>
          <w:p>
            <w:pPr>
              <w:pStyle w:val="Compact"/>
              <w:jc w:val="left"/>
            </w:pPr>
            <w:r>
              <w:rPr>
                <w:rFonts w:hint="eastAsia"/>
              </w:rPr>
              <w:t xml:space="preserve">现金及现金等价物</w:t>
            </w:r>
          </w:p>
        </w:tc>
        <w:tc>
          <w:tcPr/>
          <w:p>
            <w:pPr>
              <w:pStyle w:val="Compact"/>
              <w:jc w:val="center"/>
            </w:pPr>
            <w:r>
              <w:rPr>
                <w:rFonts w:hint="eastAsia"/>
              </w:rPr>
              <w:t xml:space="preserve">2.38亿美元</w:t>
            </w:r>
          </w:p>
        </w:tc>
        <w:tc>
          <w:tcPr/>
          <w:p>
            <w:pPr>
              <w:pStyle w:val="Compact"/>
              <w:jc w:val="center"/>
            </w:pPr>
            <w:r>
              <w:rPr>
                <w:rFonts w:hint="eastAsia"/>
              </w:rPr>
              <w:t xml:space="preserve">2.01亿美元</w:t>
            </w:r>
          </w:p>
        </w:tc>
        <w:tc>
          <w:tcPr/>
          <w:p>
            <w:pPr>
              <w:pStyle w:val="Compact"/>
              <w:jc w:val="center"/>
            </w:pPr>
            <w:r>
              <w:rPr>
                <w:rFonts w:hint="eastAsia"/>
              </w:rPr>
              <w:t xml:space="preserve">1.67亿美元</w:t>
            </w:r>
          </w:p>
        </w:tc>
      </w:tr>
      <w:tr>
        <w:tc>
          <w:tcPr/>
          <w:p>
            <w:pPr>
              <w:pStyle w:val="Compact"/>
              <w:jc w:val="left"/>
            </w:pPr>
            <w:r>
              <w:rPr>
                <w:rFonts w:hint="eastAsia"/>
              </w:rPr>
              <w:t xml:space="preserve">可用循环信贷额度</w:t>
            </w:r>
          </w:p>
        </w:tc>
        <w:tc>
          <w:tcPr/>
          <w:p>
            <w:pPr>
              <w:pStyle w:val="Compact"/>
              <w:jc w:val="center"/>
            </w:pPr>
            <w:r>
              <w:rPr>
                <w:rFonts w:hint="eastAsia"/>
              </w:rPr>
              <w:t xml:space="preserve">4.20亿美元</w:t>
            </w:r>
          </w:p>
        </w:tc>
        <w:tc>
          <w:tcPr/>
          <w:p>
            <w:pPr>
              <w:pStyle w:val="Compact"/>
              <w:jc w:val="center"/>
            </w:pPr>
            <w:r>
              <w:rPr>
                <w:rFonts w:hint="eastAsia"/>
              </w:rPr>
              <w:t xml:space="preserve">3.35亿美元</w:t>
            </w:r>
          </w:p>
        </w:tc>
        <w:tc>
          <w:tcPr/>
          <w:p>
            <w:pPr>
              <w:pStyle w:val="Compact"/>
              <w:jc w:val="center"/>
            </w:pPr>
            <w:r>
              <w:rPr>
                <w:rFonts w:hint="eastAsia"/>
              </w:rPr>
              <w:t xml:space="preserve">2.80亿美元</w:t>
            </w:r>
          </w:p>
        </w:tc>
      </w:tr>
    </w:tbl>
    <w:bookmarkEnd w:id="9"/>
    <w:bookmarkEnd w:id="10"/>
    <w:bookmarkStart w:id="12" w:name="拟议方案"/>
    <w:p>
      <w:pPr>
        <w:pStyle w:val="Heading1"/>
      </w:pPr>
      <w:r>
        <w:rPr>
          <w:rFonts w:hint="eastAsia"/>
        </w:rPr>
        <w:t xml:space="preserve">拟议方案</w:t>
      </w:r>
    </w:p>
    <w:p>
      <w:pPr>
        <w:pStyle w:val="FirstParagraph"/>
      </w:pPr>
      <w:r>
        <w:rPr>
          <w:rFonts w:hint="eastAsia"/>
        </w:rPr>
        <w:t xml:space="preserve">诺斯桥的主办银行提出了一项由买方主导的供应商融资计划。在诺斯桥于其企业系统中批准发票后，符合条件的供应商可以向银行申请提前付款。银行将主要基于诺斯桥的信用质量，按折扣价向供应商付款；诺斯桥则在发票合同到期日向银行付款。参与该计划为自愿性质。</w:t>
      </w:r>
    </w:p>
    <w:p>
      <w:pPr>
        <w:pStyle w:val="BodyText"/>
      </w:pPr>
      <w:r>
        <w:rPr>
          <w:rFonts w:hint="eastAsia"/>
        </w:rPr>
        <w:t xml:space="preserve">银行认为该计划可以改善双方的合作关系。供应商可在数天内收到现金，而不必等待75天或90天。诺斯桥则可以在不迫使供应商按自身借款利率为延期付款融资的情况下，维持甚至延长其付款期限。自动化发票审批也可能减少纠纷并降低行政工作量。银行提议设定初始批准发票额度上限为3.5亿美元，并估计诺斯桥每年需支付的项目费用为240万美元，尚不包括参与供应商所支付的折扣。</w:t>
      </w:r>
    </w:p>
    <w:p>
      <w:pPr>
        <w:pStyle w:val="BodyText"/>
      </w:pPr>
      <w:r>
        <w:rPr>
          <w:rFonts w:hint="eastAsia"/>
        </w:rPr>
        <w:t xml:space="preserve">陈发现了若干复杂因素。银行只会接受通过了解你的客户（know-your-customer）、制裁、欺诈和信用审查的供应商。信用记录薄弱的小型供应商即使最需要帮助，也可能被排除在外。供应商可能将该计划解读为迫使其接受更长付款期限的压力。诺斯桥需要通过一个新平台提供发票和供应商数据，这会带来网络安全和实施方面的风险。会计准则要求对供应商融资义务进行额外披露，即便该计划仍归类于应付账款项下，分析师也可能将不断扩大的项目视为类债务性质。</w:t>
      </w:r>
    </w:p>
    <w:p>
      <w:pPr>
        <w:pStyle w:val="BodyText"/>
      </w:pPr>
      <w:r>
        <w:rPr>
          <w:rFonts w:hint="eastAsia"/>
        </w:rPr>
        <w:t xml:space="preserve">此外还存在一个由谁承担费用的问题。根据银行的提议，若供应商申请提前60天付款，其所支付的折扣相当于约6.4%的年化利率。对某些供应商而言，这远低于其现有的信贷成本。而对另一些供应商，尤其是较大的跨国供应商而言，这一利率并无吸引力。诺斯桥可以为特定供应商全额或部分补贴该折扣，但这样做会削弱营运资本方面的收益，并引发关于公平性的争议。</w:t>
      </w:r>
    </w:p>
    <w:bookmarkStart w:id="11" w:name="图-2.-供应商经济状况示例"/>
    <w:p>
      <w:pPr>
        <w:pStyle w:val="Heading2"/>
      </w:pPr>
      <w:r>
        <w:rPr>
          <w:rFonts w:hint="eastAsia"/>
        </w:rPr>
        <w:t xml:space="preserve">图</w:t>
      </w:r>
      <w:r>
        <w:t xml:space="preserve"> 2. </w:t>
      </w:r>
      <w:r>
        <w:rPr>
          <w:rFonts w:hint="eastAsia"/>
        </w:rPr>
        <w:t xml:space="preserve">供应商经济状况示例</w:t>
      </w:r>
    </w:p>
    <w:tbl>
      <w:tblPr>
        <w:tblStyle w:val="Table"/>
        <w:tblW w:type="pct" w:w="4936"/>
        <w:tblLayout w:type="fixed"/>
        <w:tblLook w:firstRow="1" w:lastRow="0" w:firstColumn="0" w:lastColumn="0" w:noHBand="0" w:noVBand="0" w:val="0020"/>
      </w:tblPr>
      <w:tblGrid>
        <w:gridCol w:w="1664"/>
        <w:gridCol w:w="1362"/>
        <w:gridCol w:w="908"/>
        <w:gridCol w:w="1261"/>
        <w:gridCol w:w="1311"/>
        <w:gridCol w:w="1311"/>
      </w:tblGrid>
      <w:tr>
        <w:trPr>
          <w:tblHeader w:val="on"/>
        </w:trPr>
        <w:tc>
          <w:tcPr/>
          <w:p>
            <w:pPr>
              <w:pStyle w:val="Compact"/>
              <w:jc w:val="left"/>
            </w:pPr>
            <w:r>
              <w:rPr>
                <w:rFonts w:hint="eastAsia"/>
              </w:rPr>
              <w:t xml:space="preserve">供应商群体</w:t>
            </w:r>
          </w:p>
        </w:tc>
        <w:tc>
          <w:tcPr/>
          <w:p>
            <w:pPr>
              <w:pStyle w:val="Compact"/>
              <w:jc w:val="center"/>
            </w:pPr>
            <w:r>
              <w:rPr>
                <w:rFonts w:hint="eastAsia"/>
              </w:rPr>
              <w:t xml:space="preserve">年对诺斯桥销售额</w:t>
            </w:r>
          </w:p>
        </w:tc>
        <w:tc>
          <w:tcPr/>
          <w:p>
            <w:pPr>
              <w:pStyle w:val="Compact"/>
              <w:jc w:val="left"/>
            </w:pPr>
            <w:r>
              <w:rPr>
                <w:rFonts w:hint="eastAsia"/>
              </w:rPr>
              <w:t xml:space="preserve">当前付款周期</w:t>
            </w:r>
          </w:p>
        </w:tc>
        <w:tc>
          <w:tcPr/>
          <w:p>
            <w:pPr>
              <w:pStyle w:val="Compact"/>
              <w:jc w:val="left"/>
            </w:pPr>
            <w:r>
              <w:rPr>
                <w:rFonts w:hint="eastAsia"/>
              </w:rPr>
              <w:t xml:space="preserve">典型借款成本</w:t>
            </w:r>
          </w:p>
        </w:tc>
        <w:tc>
          <w:tcPr/>
          <w:p>
            <w:pPr>
              <w:pStyle w:val="Compact"/>
              <w:jc w:val="center"/>
            </w:pPr>
            <w:r>
              <w:rPr>
                <w:rFonts w:hint="eastAsia"/>
              </w:rPr>
              <w:t xml:space="preserve">拟议提前付款成本</w:t>
            </w:r>
          </w:p>
        </w:tc>
        <w:tc>
          <w:tcPr/>
          <w:p>
            <w:pPr>
              <w:pStyle w:val="Compact"/>
              <w:jc w:val="center"/>
            </w:pPr>
            <w:r>
              <w:rPr>
                <w:rFonts w:hint="eastAsia"/>
              </w:rPr>
              <w:t xml:space="preserve">运营关键性</w:t>
            </w:r>
          </w:p>
        </w:tc>
      </w:tr>
      <w:tr>
        <w:tc>
          <w:tcPr/>
          <w:p>
            <w:pPr>
              <w:pStyle w:val="Compact"/>
              <w:jc w:val="left"/>
            </w:pPr>
            <w:r>
              <w:rPr>
                <w:rFonts w:hint="eastAsia"/>
              </w:rPr>
              <w:t xml:space="preserve">战略电子产品</w:t>
            </w:r>
          </w:p>
        </w:tc>
        <w:tc>
          <w:tcPr/>
          <w:p>
            <w:pPr>
              <w:pStyle w:val="Compact"/>
              <w:jc w:val="center"/>
            </w:pPr>
            <w:r>
              <w:rPr>
                <w:rFonts w:hint="eastAsia"/>
              </w:rPr>
              <w:t xml:space="preserve">3.10亿美元</w:t>
            </w:r>
          </w:p>
        </w:tc>
        <w:tc>
          <w:tcPr/>
          <w:p>
            <w:pPr>
              <w:pStyle w:val="Compact"/>
              <w:jc w:val="left"/>
            </w:pPr>
            <w:r>
              <w:rPr>
                <w:rFonts w:hint="eastAsia"/>
              </w:rPr>
              <w:t xml:space="preserve">75天</w:t>
            </w:r>
          </w:p>
        </w:tc>
        <w:tc>
          <w:tcPr/>
          <w:p>
            <w:pPr>
              <w:pStyle w:val="Compact"/>
              <w:jc w:val="left"/>
            </w:pPr>
            <w:r>
              <w:t xml:space="preserve">7%–9%</w:t>
            </w:r>
          </w:p>
        </w:tc>
        <w:tc>
          <w:tcPr/>
          <w:p>
            <w:pPr>
              <w:pStyle w:val="Compact"/>
              <w:jc w:val="center"/>
            </w:pPr>
            <w:r>
              <w:t xml:space="preserve">6.0%–6.8%</w:t>
            </w:r>
          </w:p>
        </w:tc>
        <w:tc>
          <w:tcPr/>
          <w:p>
            <w:pPr>
              <w:pStyle w:val="Compact"/>
              <w:jc w:val="center"/>
            </w:pPr>
            <w:r>
              <w:rPr>
                <w:rFonts w:hint="eastAsia"/>
              </w:rPr>
              <w:t xml:space="preserve">高</w:t>
            </w:r>
          </w:p>
        </w:tc>
      </w:tr>
      <w:tr>
        <w:tc>
          <w:tcPr/>
          <w:p>
            <w:pPr>
              <w:pStyle w:val="Compact"/>
              <w:jc w:val="left"/>
            </w:pPr>
            <w:r>
              <w:rPr>
                <w:rFonts w:hint="eastAsia"/>
              </w:rPr>
              <w:t xml:space="preserve">区域机械加工</w:t>
            </w:r>
          </w:p>
        </w:tc>
        <w:tc>
          <w:tcPr/>
          <w:p>
            <w:pPr>
              <w:pStyle w:val="Compact"/>
              <w:jc w:val="center"/>
            </w:pPr>
            <w:r>
              <w:rPr>
                <w:rFonts w:hint="eastAsia"/>
              </w:rPr>
              <w:t xml:space="preserve">1.85亿美元</w:t>
            </w:r>
          </w:p>
        </w:tc>
        <w:tc>
          <w:tcPr/>
          <w:p>
            <w:pPr>
              <w:pStyle w:val="Compact"/>
              <w:jc w:val="left"/>
            </w:pPr>
            <w:r>
              <w:rPr>
                <w:rFonts w:hint="eastAsia"/>
              </w:rPr>
              <w:t xml:space="preserve">75天</w:t>
            </w:r>
          </w:p>
        </w:tc>
        <w:tc>
          <w:tcPr/>
          <w:p>
            <w:pPr>
              <w:pStyle w:val="Compact"/>
              <w:jc w:val="left"/>
            </w:pPr>
            <w:r>
              <w:t xml:space="preserve">10%–15%</w:t>
            </w:r>
          </w:p>
        </w:tc>
        <w:tc>
          <w:tcPr/>
          <w:p>
            <w:pPr>
              <w:pStyle w:val="Compact"/>
              <w:jc w:val="center"/>
            </w:pPr>
            <w:r>
              <w:t xml:space="preserve">6.0%–6.8%</w:t>
            </w:r>
          </w:p>
        </w:tc>
        <w:tc>
          <w:tcPr/>
          <w:p>
            <w:pPr>
              <w:pStyle w:val="Compact"/>
              <w:jc w:val="center"/>
            </w:pPr>
            <w:r>
              <w:rPr>
                <w:rFonts w:hint="eastAsia"/>
              </w:rPr>
              <w:t xml:space="preserve">极高</w:t>
            </w:r>
          </w:p>
        </w:tc>
      </w:tr>
      <w:tr>
        <w:tc>
          <w:tcPr/>
          <w:p>
            <w:pPr>
              <w:pStyle w:val="Compact"/>
              <w:jc w:val="left"/>
            </w:pPr>
            <w:r>
              <w:rPr>
                <w:rFonts w:hint="eastAsia"/>
              </w:rPr>
              <w:t xml:space="preserve">包装及间接材料</w:t>
            </w:r>
          </w:p>
        </w:tc>
        <w:tc>
          <w:tcPr/>
          <w:p>
            <w:pPr>
              <w:pStyle w:val="Compact"/>
              <w:jc w:val="center"/>
            </w:pPr>
            <w:r>
              <w:rPr>
                <w:rFonts w:hint="eastAsia"/>
              </w:rPr>
              <w:t xml:space="preserve">0.92亿美元</w:t>
            </w:r>
          </w:p>
        </w:tc>
        <w:tc>
          <w:tcPr/>
          <w:p>
            <w:pPr>
              <w:pStyle w:val="Compact"/>
              <w:jc w:val="left"/>
            </w:pPr>
            <w:r>
              <w:rPr>
                <w:rFonts w:hint="eastAsia"/>
              </w:rPr>
              <w:t xml:space="preserve">60天</w:t>
            </w:r>
          </w:p>
        </w:tc>
        <w:tc>
          <w:tcPr/>
          <w:p>
            <w:pPr>
              <w:pStyle w:val="Compact"/>
              <w:jc w:val="left"/>
            </w:pPr>
            <w:r>
              <w:t xml:space="preserve">9%–18%</w:t>
            </w:r>
          </w:p>
        </w:tc>
        <w:tc>
          <w:tcPr/>
          <w:p>
            <w:pPr>
              <w:pStyle w:val="Compact"/>
              <w:jc w:val="center"/>
            </w:pPr>
            <w:r>
              <w:t xml:space="preserve">5.8%–6.5%</w:t>
            </w:r>
          </w:p>
        </w:tc>
        <w:tc>
          <w:tcPr/>
          <w:p>
            <w:pPr>
              <w:pStyle w:val="Compact"/>
              <w:jc w:val="center"/>
            </w:pPr>
            <w:r>
              <w:rPr>
                <w:rFonts w:hint="eastAsia"/>
              </w:rPr>
              <w:t xml:space="preserve">中等</w:t>
            </w:r>
          </w:p>
        </w:tc>
      </w:tr>
      <w:tr>
        <w:tc>
          <w:tcPr/>
          <w:p>
            <w:pPr>
              <w:pStyle w:val="Compact"/>
              <w:jc w:val="left"/>
            </w:pPr>
            <w:r>
              <w:rPr>
                <w:rFonts w:hint="eastAsia"/>
              </w:rPr>
              <w:t xml:space="preserve">全球电机</w:t>
            </w:r>
          </w:p>
        </w:tc>
        <w:tc>
          <w:tcPr/>
          <w:p>
            <w:pPr>
              <w:pStyle w:val="Compact"/>
              <w:jc w:val="center"/>
            </w:pPr>
            <w:r>
              <w:rPr>
                <w:rFonts w:hint="eastAsia"/>
              </w:rPr>
              <w:t xml:space="preserve">4.20亿美元</w:t>
            </w:r>
          </w:p>
        </w:tc>
        <w:tc>
          <w:tcPr/>
          <w:p>
            <w:pPr>
              <w:pStyle w:val="Compact"/>
              <w:jc w:val="left"/>
            </w:pPr>
            <w:r>
              <w:rPr>
                <w:rFonts w:hint="eastAsia"/>
              </w:rPr>
              <w:t xml:space="preserve">90天</w:t>
            </w:r>
          </w:p>
        </w:tc>
        <w:tc>
          <w:tcPr/>
          <w:p>
            <w:pPr>
              <w:pStyle w:val="Compact"/>
              <w:jc w:val="left"/>
            </w:pPr>
            <w:r>
              <w:t xml:space="preserve">4%–6%</w:t>
            </w:r>
          </w:p>
        </w:tc>
        <w:tc>
          <w:tcPr/>
          <w:p>
            <w:pPr>
              <w:pStyle w:val="Compact"/>
              <w:jc w:val="center"/>
            </w:pPr>
            <w:r>
              <w:t xml:space="preserve">6.2%–7.0%</w:t>
            </w:r>
          </w:p>
        </w:tc>
        <w:tc>
          <w:tcPr/>
          <w:p>
            <w:pPr>
              <w:pStyle w:val="Compact"/>
              <w:jc w:val="center"/>
            </w:pPr>
            <w:r>
              <w:rPr>
                <w:rFonts w:hint="eastAsia"/>
              </w:rPr>
              <w:t xml:space="preserve">高</w:t>
            </w:r>
          </w:p>
        </w:tc>
      </w:tr>
      <w:tr>
        <w:tc>
          <w:tcPr/>
          <w:p>
            <w:pPr>
              <w:pStyle w:val="Compact"/>
              <w:jc w:val="left"/>
            </w:pPr>
            <w:r>
              <w:rPr>
                <w:rFonts w:hint="eastAsia"/>
              </w:rPr>
              <w:t xml:space="preserve">少数族裔所有的小型供应商</w:t>
            </w:r>
          </w:p>
        </w:tc>
        <w:tc>
          <w:tcPr/>
          <w:p>
            <w:pPr>
              <w:pStyle w:val="Compact"/>
              <w:jc w:val="center"/>
            </w:pPr>
            <w:r>
              <w:rPr>
                <w:rFonts w:hint="eastAsia"/>
              </w:rPr>
              <w:t xml:space="preserve">0.76亿美元</w:t>
            </w:r>
          </w:p>
        </w:tc>
        <w:tc>
          <w:tcPr/>
          <w:p>
            <w:pPr>
              <w:pStyle w:val="Compact"/>
              <w:jc w:val="left"/>
            </w:pPr>
            <w:r>
              <w:rPr>
                <w:rFonts w:hint="eastAsia"/>
              </w:rPr>
              <w:t xml:space="preserve">60–75天</w:t>
            </w:r>
          </w:p>
        </w:tc>
        <w:tc>
          <w:tcPr/>
          <w:p>
            <w:pPr>
              <w:pStyle w:val="Compact"/>
              <w:jc w:val="left"/>
            </w:pPr>
            <w:r>
              <w:t xml:space="preserve">12%–24%</w:t>
            </w:r>
          </w:p>
        </w:tc>
        <w:tc>
          <w:tcPr/>
          <w:p>
            <w:pPr>
              <w:pStyle w:val="Compact"/>
              <w:jc w:val="center"/>
            </w:pPr>
            <w:r>
              <w:t xml:space="preserve">6.0%–7.2%</w:t>
            </w:r>
          </w:p>
        </w:tc>
        <w:tc>
          <w:tcPr/>
          <w:p>
            <w:pPr>
              <w:pStyle w:val="Compact"/>
              <w:jc w:val="center"/>
            </w:pPr>
            <w:r>
              <w:rPr>
                <w:rFonts w:hint="eastAsia"/>
              </w:rPr>
              <w:t xml:space="preserve">参差不齐</w:t>
            </w:r>
          </w:p>
        </w:tc>
      </w:tr>
    </w:tbl>
    <w:bookmarkEnd w:id="11"/>
    <w:bookmarkEnd w:id="12"/>
    <w:bookmarkStart w:id="14" w:name="现金并非唯一的风险敞口"/>
    <w:p>
      <w:pPr>
        <w:pStyle w:val="Heading1"/>
      </w:pPr>
      <w:r>
        <w:rPr>
          <w:rFonts w:hint="eastAsia"/>
        </w:rPr>
        <w:t xml:space="preserve">现金并非唯一的风险敞口</w:t>
      </w:r>
    </w:p>
    <w:p>
      <w:pPr>
        <w:pStyle w:val="FirstParagraph"/>
      </w:pPr>
      <w:r>
        <w:rPr>
          <w:rFonts w:hint="eastAsia"/>
        </w:rPr>
        <w:t xml:space="preserve">财务部将供应商融资提案视为一个更大规模的财务风险问题中的一个环节。诺斯桥以欧元、日元、墨西哥比索和美元采购零部件。公司持有的在途或存放于第三方仓库的库存约达4.1亿美元。对两家大型国际客户的销售已投保了不付款风险，但大多数国内应收账款并未投保。公司拥有海运货物保险、财产保险，以及针对一条亚洲采购走廊的有限政治风险保单。这些保险是由不同业务部门在不同时期逐步搭建起来的，没有人能够证明这一保险组合是否与公司当前的风险敞口相匹配。</w:t>
      </w:r>
    </w:p>
    <w:p>
      <w:pPr>
        <w:pStyle w:val="BodyText"/>
      </w:pPr>
      <w:r>
        <w:rPr>
          <w:rFonts w:hint="eastAsia"/>
        </w:rPr>
        <w:t xml:space="preserve">近期的关税变化改变了进口采购的现金状况。关税必须在货物入境时缴纳，往往比诺斯桥从客户处收取现金要早数周。采购部门可以将部分采购转移到墨西哥或国内供应商，但资格审核可能需要六到十八个月，并可能需要新的工具设备。在未来关税上调之前提前购买更多库存可以保护利润率和产能，但这会消耗现金，并提高存货过时的风险。</w:t>
      </w:r>
    </w:p>
    <w:p>
      <w:pPr>
        <w:pStyle w:val="BodyText"/>
      </w:pPr>
      <w:r>
        <w:rPr>
          <w:rFonts w:hint="eastAsia"/>
        </w:rPr>
        <w:t xml:space="preserve">货币对冲问题引发了另一场争论。财务部通常对未来六个月的预测外币采购对冲60%，对第七至第十二个月的采购对冲30%。采购部门现在希望提高对冲比例，因为汇率的突然波动可能放大关税上涨的影响。销售高管则反对，担心过度对冲可能恰好在需求疲软之际锁定较高成本。公司在欧洲的销售也形成了部分天然对冲，但这些收款的时间和金额并不确定。</w:t>
      </w:r>
    </w:p>
    <w:bookmarkStart w:id="13" w:name="图-3.-部分财务风险敞口"/>
    <w:p>
      <w:pPr>
        <w:pStyle w:val="Heading2"/>
      </w:pPr>
      <w:r>
        <w:rPr>
          <w:rFonts w:hint="eastAsia"/>
        </w:rPr>
        <w:t xml:space="preserve">图</w:t>
      </w:r>
      <w:r>
        <w:t xml:space="preserve"> 3. </w:t>
      </w:r>
      <w:r>
        <w:rPr>
          <w:rFonts w:hint="eastAsia"/>
        </w:rPr>
        <w:t xml:space="preserve">部分财务风险敞口</w:t>
      </w:r>
    </w:p>
    <w:tbl>
      <w:tblPr>
        <w:tblStyle w:val="Table"/>
        <w:tblW w:type="pct" w:w="4927"/>
        <w:tblLayout w:type="fixed"/>
        <w:tblLook w:firstRow="1" w:lastRow="0" w:firstColumn="0" w:lastColumn="0" w:noHBand="0" w:noVBand="0" w:val="0020"/>
      </w:tblPr>
      <w:tblGrid>
        <w:gridCol w:w="2601"/>
        <w:gridCol w:w="1098"/>
        <w:gridCol w:w="1676"/>
        <w:gridCol w:w="2428"/>
      </w:tblGrid>
      <w:tr>
        <w:trPr>
          <w:tblHeader w:val="on"/>
        </w:trPr>
        <w:tc>
          <w:tcPr/>
          <w:p>
            <w:pPr>
              <w:pStyle w:val="Compact"/>
              <w:jc w:val="left"/>
            </w:pPr>
            <w:r>
              <w:rPr>
                <w:rFonts w:hint="eastAsia"/>
              </w:rPr>
              <w:t xml:space="preserve">风险敞口</w:t>
            </w:r>
          </w:p>
        </w:tc>
        <w:tc>
          <w:tcPr/>
          <w:p>
            <w:pPr>
              <w:pStyle w:val="Compact"/>
              <w:jc w:val="left"/>
            </w:pPr>
            <w:r>
              <w:rPr>
                <w:rFonts w:hint="eastAsia"/>
              </w:rPr>
              <w:t xml:space="preserve">估计金额</w:t>
            </w:r>
          </w:p>
        </w:tc>
        <w:tc>
          <w:tcPr/>
          <w:p>
            <w:pPr>
              <w:pStyle w:val="Compact"/>
              <w:jc w:val="center"/>
            </w:pPr>
            <w:r>
              <w:rPr>
                <w:rFonts w:hint="eastAsia"/>
              </w:rPr>
              <w:t xml:space="preserve">当前防护措施</w:t>
            </w:r>
          </w:p>
        </w:tc>
        <w:tc>
          <w:tcPr/>
          <w:p>
            <w:pPr>
              <w:pStyle w:val="Compact"/>
              <w:jc w:val="center"/>
            </w:pPr>
            <w:r>
              <w:rPr>
                <w:rFonts w:hint="eastAsia"/>
              </w:rPr>
              <w:t xml:space="preserve">管理层关注点</w:t>
            </w:r>
          </w:p>
        </w:tc>
      </w:tr>
      <w:tr>
        <w:tc>
          <w:tcPr/>
          <w:p>
            <w:pPr>
              <w:pStyle w:val="Compact"/>
              <w:jc w:val="left"/>
            </w:pPr>
            <w:r>
              <w:rPr>
                <w:rFonts w:hint="eastAsia"/>
              </w:rPr>
              <w:t xml:space="preserve">已批准供应商发票</w:t>
            </w:r>
          </w:p>
        </w:tc>
        <w:tc>
          <w:tcPr/>
          <w:p>
            <w:pPr>
              <w:pStyle w:val="Compact"/>
              <w:jc w:val="left"/>
            </w:pPr>
            <w:r>
              <w:rPr>
                <w:rFonts w:hint="eastAsia"/>
              </w:rPr>
              <w:t xml:space="preserve">4.85亿美元</w:t>
            </w:r>
          </w:p>
        </w:tc>
        <w:tc>
          <w:tcPr/>
          <w:p>
            <w:pPr>
              <w:pStyle w:val="Compact"/>
              <w:jc w:val="center"/>
            </w:pPr>
            <w:r>
              <w:rPr>
                <w:rFonts w:hint="eastAsia"/>
              </w:rPr>
              <w:t xml:space="preserve">无专门项目</w:t>
            </w:r>
          </w:p>
        </w:tc>
        <w:tc>
          <w:tcPr/>
          <w:p>
            <w:pPr>
              <w:pStyle w:val="Compact"/>
              <w:jc w:val="center"/>
            </w:pPr>
            <w:r>
              <w:rPr>
                <w:rFonts w:hint="eastAsia"/>
              </w:rPr>
              <w:t xml:space="preserve">供应商流动性与付款时点</w:t>
            </w:r>
          </w:p>
        </w:tc>
      </w:tr>
      <w:tr>
        <w:tc>
          <w:tcPr/>
          <w:p>
            <w:pPr>
              <w:pStyle w:val="Compact"/>
              <w:jc w:val="left"/>
            </w:pPr>
            <w:r>
              <w:rPr>
                <w:rFonts w:hint="eastAsia"/>
              </w:rPr>
              <w:t xml:space="preserve">未来12个月外币采购</w:t>
            </w:r>
          </w:p>
        </w:tc>
        <w:tc>
          <w:tcPr/>
          <w:p>
            <w:pPr>
              <w:pStyle w:val="Compact"/>
              <w:jc w:val="left"/>
            </w:pPr>
            <w:r>
              <w:rPr>
                <w:rFonts w:hint="eastAsia"/>
              </w:rPr>
              <w:t xml:space="preserve">6.90亿美元</w:t>
            </w:r>
          </w:p>
        </w:tc>
        <w:tc>
          <w:tcPr/>
          <w:p>
            <w:pPr>
              <w:pStyle w:val="Compact"/>
              <w:jc w:val="center"/>
            </w:pPr>
            <w:r>
              <w:rPr>
                <w:rFonts w:hint="eastAsia"/>
              </w:rPr>
              <w:t xml:space="preserve">已对冲47%</w:t>
            </w:r>
          </w:p>
        </w:tc>
        <w:tc>
          <w:tcPr/>
          <w:p>
            <w:pPr>
              <w:pStyle w:val="Compact"/>
              <w:jc w:val="center"/>
            </w:pPr>
            <w:r>
              <w:rPr>
                <w:rFonts w:hint="eastAsia"/>
              </w:rPr>
              <w:t xml:space="preserve">汇率、预测误差、对冲成本</w:t>
            </w:r>
          </w:p>
        </w:tc>
      </w:tr>
      <w:tr>
        <w:tc>
          <w:tcPr/>
          <w:p>
            <w:pPr>
              <w:pStyle w:val="Compact"/>
              <w:jc w:val="left"/>
            </w:pPr>
            <w:r>
              <w:rPr>
                <w:rFonts w:hint="eastAsia"/>
              </w:rPr>
              <w:t xml:space="preserve">在途及第三方仓储库存</w:t>
            </w:r>
          </w:p>
        </w:tc>
        <w:tc>
          <w:tcPr/>
          <w:p>
            <w:pPr>
              <w:pStyle w:val="Compact"/>
              <w:jc w:val="left"/>
            </w:pPr>
            <w:r>
              <w:rPr>
                <w:rFonts w:hint="eastAsia"/>
              </w:rPr>
              <w:t xml:space="preserve">4.10亿美元</w:t>
            </w:r>
          </w:p>
        </w:tc>
        <w:tc>
          <w:tcPr/>
          <w:p>
            <w:pPr>
              <w:pStyle w:val="Compact"/>
              <w:jc w:val="center"/>
            </w:pPr>
            <w:r>
              <w:rPr>
                <w:rFonts w:hint="eastAsia"/>
              </w:rPr>
              <w:t xml:space="preserve">货运/财产保险</w:t>
            </w:r>
          </w:p>
        </w:tc>
        <w:tc>
          <w:tcPr/>
          <w:p>
            <w:pPr>
              <w:pStyle w:val="Compact"/>
              <w:jc w:val="center"/>
            </w:pPr>
            <w:r>
              <w:rPr>
                <w:rFonts w:hint="eastAsia"/>
              </w:rPr>
              <w:t xml:space="preserve">损失、延误、免赔额、保险覆盖缺口</w:t>
            </w:r>
          </w:p>
        </w:tc>
      </w:tr>
      <w:tr>
        <w:tc>
          <w:tcPr/>
          <w:p>
            <w:pPr>
              <w:pStyle w:val="Compact"/>
              <w:jc w:val="left"/>
            </w:pPr>
            <w:r>
              <w:rPr>
                <w:rFonts w:hint="eastAsia"/>
              </w:rPr>
              <w:t xml:space="preserve">应收账款</w:t>
            </w:r>
          </w:p>
        </w:tc>
        <w:tc>
          <w:tcPr/>
          <w:p>
            <w:pPr>
              <w:pStyle w:val="Compact"/>
              <w:jc w:val="left"/>
            </w:pPr>
            <w:r>
              <w:rPr>
                <w:rFonts w:hint="eastAsia"/>
              </w:rPr>
              <w:t xml:space="preserve">6.12亿美元</w:t>
            </w:r>
          </w:p>
        </w:tc>
        <w:tc>
          <w:tcPr/>
          <w:p>
            <w:pPr>
              <w:pStyle w:val="Compact"/>
              <w:jc w:val="center"/>
            </w:pPr>
            <w:r>
              <w:rPr>
                <w:rFonts w:hint="eastAsia"/>
              </w:rPr>
              <w:t xml:space="preserve">选择性信用保险</w:t>
            </w:r>
          </w:p>
        </w:tc>
        <w:tc>
          <w:tcPr/>
          <w:p>
            <w:pPr>
              <w:pStyle w:val="Compact"/>
              <w:jc w:val="center"/>
            </w:pPr>
            <w:r>
              <w:rPr>
                <w:rFonts w:hint="eastAsia"/>
              </w:rPr>
              <w:t xml:space="preserve">客户违约与延迟付款</w:t>
            </w:r>
          </w:p>
        </w:tc>
      </w:tr>
      <w:tr>
        <w:tc>
          <w:tcPr/>
          <w:p>
            <w:pPr>
              <w:pStyle w:val="Compact"/>
              <w:jc w:val="left"/>
            </w:pPr>
            <w:r>
              <w:rPr>
                <w:rFonts w:hint="eastAsia"/>
              </w:rPr>
              <w:t xml:space="preserve">未来12个月关税现金支出</w:t>
            </w:r>
          </w:p>
        </w:tc>
        <w:tc>
          <w:tcPr/>
          <w:p>
            <w:pPr>
              <w:pStyle w:val="Compact"/>
              <w:jc w:val="left"/>
            </w:pPr>
            <w:r>
              <w:rPr>
                <w:rFonts w:hint="eastAsia"/>
              </w:rPr>
              <w:t xml:space="preserve">0.96亿美元</w:t>
            </w:r>
          </w:p>
        </w:tc>
        <w:tc>
          <w:tcPr/>
          <w:p>
            <w:pPr>
              <w:pStyle w:val="Compact"/>
              <w:jc w:val="center"/>
            </w:pPr>
            <w:r>
              <w:rPr>
                <w:rFonts w:hint="eastAsia"/>
              </w:rPr>
              <w:t xml:space="preserve">无</w:t>
            </w:r>
          </w:p>
        </w:tc>
        <w:tc>
          <w:tcPr/>
          <w:p>
            <w:pPr>
              <w:pStyle w:val="Compact"/>
              <w:jc w:val="center"/>
            </w:pPr>
            <w:r>
              <w:rPr>
                <w:rFonts w:hint="eastAsia"/>
              </w:rPr>
              <w:t xml:space="preserve">时点、政策变化、产品定价</w:t>
            </w:r>
          </w:p>
        </w:tc>
      </w:tr>
    </w:tbl>
    <w:bookmarkEnd w:id="13"/>
    <w:bookmarkEnd w:id="14"/>
    <w:bookmarkStart w:id="16" w:name="不同部门不同的成功定义"/>
    <w:p>
      <w:pPr>
        <w:pStyle w:val="Heading1"/>
      </w:pPr>
      <w:r>
        <w:rPr>
          <w:rFonts w:hint="eastAsia"/>
        </w:rPr>
        <w:t xml:space="preserve">不同部门，不同的成功定义</w:t>
      </w:r>
    </w:p>
    <w:p>
      <w:pPr>
        <w:pStyle w:val="FirstParagraph"/>
      </w:pPr>
      <w:r>
        <w:rPr>
          <w:rFonts w:hint="eastAsia"/>
        </w:rPr>
        <w:t xml:space="preserve">采购部门倾向于快速实施。其负责人认为，一次供应商倒闭事件的成本可能超过多年的项目费用总和。例如，AlloyWorks一旦停产，可能会中断一条每周产生860万美元收入的产品线的生产。采购部门建议先纳入100家最大的供应商，待平台稳定后再向小型企业扩大适用范围。</w:t>
      </w:r>
    </w:p>
    <w:p>
      <w:pPr>
        <w:pStyle w:val="BodyText"/>
      </w:pPr>
      <w:r>
        <w:rPr>
          <w:rFonts w:hint="eastAsia"/>
        </w:rPr>
        <w:t xml:space="preserve">运营部门不认同这种以规模为标准的推行方式。一些最大的供应商拥有众多客户，且容易获得资金，而小型专业化企业才是造成最严重连续性风险的主体。运营部门希望建立一套脆弱性评分体系，综合财务健康状况、零部件独特性、库存覆盖率、资质审核所需时间以及面临风险的收入规模。它还希望诺斯桥维持一笔单独的应急基金，用于在关键供应商无法通过银行项目资格审核时，支付工具、原材料或临时预付款。</w:t>
      </w:r>
    </w:p>
    <w:p>
      <w:pPr>
        <w:pStyle w:val="BodyText"/>
      </w:pPr>
      <w:r>
        <w:rPr>
          <w:rFonts w:hint="eastAsia"/>
        </w:rPr>
        <w:t xml:space="preserve">财务部希望保护诺斯桥自身的流动性。公司正在规划一项2.4亿美元的工厂扩建，并已向董事会承诺净债务将保持在EBITDA的2.0倍以下。财务部建议将标准付款期限延长至90天，适用于所有符合提前付款资格的供应商，同时对无法参与该计划的脆弱供应商维持45天或60天的付款期限。这将最大化现金留存，但采购部门警告称，供应商可能将此视为借助银行来变相延长付款期限。</w:t>
      </w:r>
    </w:p>
    <w:p>
      <w:pPr>
        <w:pStyle w:val="BodyText"/>
      </w:pPr>
      <w:r>
        <w:rPr>
          <w:rFonts w:hint="eastAsia"/>
        </w:rPr>
        <w:t xml:space="preserve">可持续发展与供应商多元化团队提出了另一个担忧。纯粹以财务指标为筛选标准，可能会系统性地排除年轻、地处农村、少数族裔所有或新近成立的企业。这些供应商往往缺乏经审计的财务报表或较长的信用记录，即便其运营表现十分出色也是如此。因此，一项旨在稳定供应网络的项目，反而可能将最廉价的融资导向那些本已拥有最佳资金获取渠道的供应商。</w:t>
      </w:r>
    </w:p>
    <w:bookmarkStart w:id="15" w:name="图-4.-正在讨论的三种项目方案"/>
    <w:p>
      <w:pPr>
        <w:pStyle w:val="Heading2"/>
      </w:pPr>
      <w:r>
        <w:rPr>
          <w:rFonts w:hint="eastAsia"/>
        </w:rPr>
        <w:t xml:space="preserve">图</w:t>
      </w:r>
      <w:r>
        <w:t xml:space="preserve"> 4. </w:t>
      </w:r>
      <w:r>
        <w:rPr>
          <w:rFonts w:hint="eastAsia"/>
        </w:rPr>
        <w:t xml:space="preserve">正在讨论的三种项目方案</w:t>
      </w:r>
    </w:p>
    <w:tbl>
      <w:tblPr>
        <w:tblStyle w:val="Table"/>
        <w:tblW w:type="pct" w:w="4952"/>
        <w:tblLayout w:type="fixed"/>
        <w:tblLook w:firstRow="1" w:lastRow="0" w:firstColumn="0" w:lastColumn="0" w:noHBand="0" w:noVBand="0" w:val="0020"/>
      </w:tblPr>
      <w:tblGrid>
        <w:gridCol w:w="829"/>
        <w:gridCol w:w="1244"/>
        <w:gridCol w:w="1621"/>
        <w:gridCol w:w="1320"/>
        <w:gridCol w:w="1357"/>
        <w:gridCol w:w="1470"/>
      </w:tblGrid>
      <w:tr>
        <w:trPr>
          <w:tblHeader w:val="on"/>
        </w:trPr>
        <w:tc>
          <w:tcPr/>
          <w:p>
            <w:pPr>
              <w:pStyle w:val="Compact"/>
              <w:jc w:val="left"/>
            </w:pPr>
            <w:r>
              <w:rPr>
                <w:rFonts w:hint="eastAsia"/>
              </w:rPr>
              <w:t xml:space="preserve">方案</w:t>
            </w:r>
          </w:p>
        </w:tc>
        <w:tc>
          <w:tcPr/>
          <w:p>
            <w:pPr>
              <w:pStyle w:val="Compact"/>
              <w:jc w:val="center"/>
            </w:pPr>
            <w:r>
              <w:rPr>
                <w:rFonts w:hint="eastAsia"/>
              </w:rPr>
              <w:t xml:space="preserve">付款期限</w:t>
            </w:r>
          </w:p>
        </w:tc>
        <w:tc>
          <w:tcPr/>
          <w:p>
            <w:pPr>
              <w:pStyle w:val="Compact"/>
              <w:jc w:val="center"/>
            </w:pPr>
            <w:r>
              <w:rPr>
                <w:rFonts w:hint="eastAsia"/>
              </w:rPr>
              <w:t xml:space="preserve">提前付款资金来源</w:t>
            </w:r>
          </w:p>
        </w:tc>
        <w:tc>
          <w:tcPr/>
          <w:p>
            <w:pPr>
              <w:pStyle w:val="Compact"/>
              <w:jc w:val="center"/>
            </w:pPr>
            <w:r>
              <w:rPr>
                <w:rFonts w:hint="eastAsia"/>
              </w:rPr>
              <w:t xml:space="preserve">初始范围</w:t>
            </w:r>
          </w:p>
        </w:tc>
        <w:tc>
          <w:tcPr/>
          <w:p>
            <w:pPr>
              <w:pStyle w:val="Compact"/>
              <w:jc w:val="center"/>
            </w:pPr>
            <w:r>
              <w:rPr>
                <w:rFonts w:hint="eastAsia"/>
              </w:rPr>
              <w:t xml:space="preserve">首年估计现金收益</w:t>
            </w:r>
          </w:p>
        </w:tc>
        <w:tc>
          <w:tcPr/>
          <w:p>
            <w:pPr>
              <w:pStyle w:val="Compact"/>
              <w:jc w:val="center"/>
            </w:pPr>
            <w:r>
              <w:rPr>
                <w:rFonts w:hint="eastAsia"/>
              </w:rPr>
              <w:t xml:space="preserve">主要担忧</w:t>
            </w:r>
          </w:p>
        </w:tc>
      </w:tr>
      <w:tr>
        <w:tc>
          <w:tcPr/>
          <w:p>
            <w:pPr>
              <w:pStyle w:val="Compact"/>
              <w:jc w:val="left"/>
            </w:pPr>
            <w:r>
              <w:rPr>
                <w:rFonts w:hint="eastAsia"/>
              </w:rPr>
              <w:t xml:space="preserve">广泛延期方案</w:t>
            </w:r>
          </w:p>
        </w:tc>
        <w:tc>
          <w:tcPr/>
          <w:p>
            <w:pPr>
              <w:pStyle w:val="Compact"/>
              <w:jc w:val="center"/>
            </w:pPr>
            <w:r>
              <w:rPr>
                <w:rFonts w:hint="eastAsia"/>
              </w:rPr>
              <w:t xml:space="preserve">对符合条件的供应商为90天</w:t>
            </w:r>
          </w:p>
        </w:tc>
        <w:tc>
          <w:tcPr/>
          <w:p>
            <w:pPr>
              <w:pStyle w:val="Compact"/>
              <w:jc w:val="center"/>
            </w:pPr>
            <w:r>
              <w:rPr>
                <w:rFonts w:hint="eastAsia"/>
              </w:rPr>
              <w:t xml:space="preserve">由银行提供资金；供应商支付折扣</w:t>
            </w:r>
          </w:p>
        </w:tc>
        <w:tc>
          <w:tcPr/>
          <w:p>
            <w:pPr>
              <w:pStyle w:val="Compact"/>
              <w:jc w:val="center"/>
            </w:pPr>
            <w:r>
              <w:rPr>
                <w:rFonts w:hint="eastAsia"/>
              </w:rPr>
              <w:t xml:space="preserve">前250家供应商</w:t>
            </w:r>
          </w:p>
        </w:tc>
        <w:tc>
          <w:tcPr/>
          <w:p>
            <w:pPr>
              <w:pStyle w:val="Compact"/>
              <w:jc w:val="center"/>
            </w:pPr>
            <w:r>
              <w:rPr>
                <w:rFonts w:hint="eastAsia"/>
              </w:rPr>
              <w:t xml:space="preserve">1.18亿美元</w:t>
            </w:r>
          </w:p>
        </w:tc>
        <w:tc>
          <w:tcPr/>
          <w:p>
            <w:pPr>
              <w:pStyle w:val="Compact"/>
              <w:jc w:val="center"/>
            </w:pPr>
            <w:r>
              <w:rPr>
                <w:rFonts w:hint="eastAsia"/>
              </w:rPr>
              <w:t xml:space="preserve">供应商抵触情绪与外界观感</w:t>
            </w:r>
          </w:p>
        </w:tc>
      </w:tr>
      <w:tr>
        <w:tc>
          <w:tcPr/>
          <w:p>
            <w:pPr>
              <w:pStyle w:val="Compact"/>
              <w:jc w:val="left"/>
            </w:pPr>
            <w:r>
              <w:rPr>
                <w:rFonts w:hint="eastAsia"/>
              </w:rPr>
              <w:t xml:space="preserve">定向韧性方案</w:t>
            </w:r>
          </w:p>
        </w:tc>
        <w:tc>
          <w:tcPr/>
          <w:p>
            <w:pPr>
              <w:pStyle w:val="Compact"/>
              <w:jc w:val="center"/>
            </w:pPr>
            <w:r>
              <w:rPr>
                <w:rFonts w:hint="eastAsia"/>
              </w:rPr>
              <w:t xml:space="preserve">维持现行付款期限</w:t>
            </w:r>
          </w:p>
        </w:tc>
        <w:tc>
          <w:tcPr/>
          <w:p>
            <w:pPr>
              <w:pStyle w:val="Compact"/>
              <w:jc w:val="center"/>
            </w:pPr>
            <w:r>
              <w:rPr>
                <w:rFonts w:hint="eastAsia"/>
              </w:rPr>
              <w:t xml:space="preserve">银行加公司有限补贴</w:t>
            </w:r>
          </w:p>
        </w:tc>
        <w:tc>
          <w:tcPr/>
          <w:p>
            <w:pPr>
              <w:pStyle w:val="Compact"/>
              <w:jc w:val="center"/>
            </w:pPr>
            <w:r>
              <w:rPr>
                <w:rFonts w:hint="eastAsia"/>
              </w:rPr>
              <w:t xml:space="preserve">47家脆弱的关键供应商</w:t>
            </w:r>
          </w:p>
        </w:tc>
        <w:tc>
          <w:tcPr/>
          <w:p>
            <w:pPr>
              <w:pStyle w:val="Compact"/>
              <w:jc w:val="center"/>
            </w:pPr>
            <w:r>
              <w:rPr>
                <w:rFonts w:hint="eastAsia"/>
              </w:rPr>
              <w:t xml:space="preserve">0.34亿美元</w:t>
            </w:r>
          </w:p>
        </w:tc>
        <w:tc>
          <w:tcPr/>
          <w:p>
            <w:pPr>
              <w:pStyle w:val="Compact"/>
              <w:jc w:val="center"/>
            </w:pPr>
            <w:r>
              <w:rPr>
                <w:rFonts w:hint="eastAsia"/>
              </w:rPr>
              <w:t xml:space="preserve">现金收益较少；筛选流程复杂</w:t>
            </w:r>
          </w:p>
        </w:tc>
      </w:tr>
      <w:tr>
        <w:tc>
          <w:tcPr/>
          <w:p>
            <w:pPr>
              <w:pStyle w:val="Compact"/>
              <w:jc w:val="left"/>
            </w:pPr>
            <w:r>
              <w:rPr>
                <w:rFonts w:hint="eastAsia"/>
              </w:rPr>
              <w:t xml:space="preserve">分层组合方案</w:t>
            </w:r>
          </w:p>
        </w:tc>
        <w:tc>
          <w:tcPr/>
          <w:p>
            <w:pPr>
              <w:pStyle w:val="Compact"/>
              <w:jc w:val="center"/>
            </w:pPr>
            <w:r>
              <w:rPr>
                <w:rFonts w:hint="eastAsia"/>
              </w:rPr>
              <w:t xml:space="preserve">按细分市场设定60–90天</w:t>
            </w:r>
          </w:p>
        </w:tc>
        <w:tc>
          <w:tcPr/>
          <w:p>
            <w:pPr>
              <w:pStyle w:val="Compact"/>
              <w:jc w:val="center"/>
            </w:pPr>
            <w:r>
              <w:rPr>
                <w:rFonts w:hint="eastAsia"/>
              </w:rPr>
              <w:t xml:space="preserve">银行、公司现金或应急支持</w:t>
            </w:r>
          </w:p>
        </w:tc>
        <w:tc>
          <w:tcPr/>
          <w:p>
            <w:pPr>
              <w:pStyle w:val="Compact"/>
              <w:jc w:val="center"/>
            </w:pPr>
            <w:r>
              <w:rPr>
                <w:rFonts w:hint="eastAsia"/>
              </w:rPr>
              <w:t xml:space="preserve">约160家供应商</w:t>
            </w:r>
          </w:p>
        </w:tc>
        <w:tc>
          <w:tcPr/>
          <w:p>
            <w:pPr>
              <w:pStyle w:val="Compact"/>
              <w:jc w:val="center"/>
            </w:pPr>
            <w:r>
              <w:rPr>
                <w:rFonts w:hint="eastAsia"/>
              </w:rPr>
              <w:t xml:space="preserve">0.72亿美元</w:t>
            </w:r>
          </w:p>
        </w:tc>
        <w:tc>
          <w:tcPr/>
          <w:p>
            <w:pPr>
              <w:pStyle w:val="Compact"/>
              <w:jc w:val="center"/>
            </w:pPr>
            <w:r>
              <w:rPr>
                <w:rFonts w:hint="eastAsia"/>
              </w:rPr>
              <w:t xml:space="preserve">治理与行政负担</w:t>
            </w:r>
          </w:p>
        </w:tc>
      </w:tr>
    </w:tbl>
    <w:bookmarkEnd w:id="15"/>
    <w:bookmarkEnd w:id="16"/>
    <w:bookmarkStart w:id="18" w:name="信息问题"/>
    <w:p>
      <w:pPr>
        <w:pStyle w:val="Heading1"/>
      </w:pPr>
      <w:r>
        <w:rPr>
          <w:rFonts w:hint="eastAsia"/>
        </w:rPr>
        <w:t xml:space="preserve">信息问题</w:t>
      </w:r>
    </w:p>
    <w:p>
      <w:pPr>
        <w:pStyle w:val="FirstParagraph"/>
      </w:pPr>
      <w:r>
        <w:rPr>
          <w:rFonts w:hint="eastAsia"/>
        </w:rPr>
        <w:t xml:space="preserve">该项目依赖于已批准的发票，但诺斯桥的发票处理流程并不一致。发票审批的中位数时间为8天，而17%的发票需要超过20天。常见原因包括数量争议、收货记录缺失、价格不匹配以及发票寄送至错误的实体单位。供应商在发票获批之前无法申请提前付款，因此审批流程缓慢可能会抵消该计划的大部分收益。</w:t>
      </w:r>
    </w:p>
    <w:p>
      <w:pPr>
        <w:pStyle w:val="BodyText"/>
      </w:pPr>
      <w:r>
        <w:rPr>
          <w:rFonts w:hint="eastAsia"/>
        </w:rPr>
        <w:t xml:space="preserve">公司也缺乏可靠的供应商财务健康状况衡量指标。采购部门通过年度问卷调查、商业信用评分、质量结果、交付表现以及采购人员的非正式观察来收集信息。这些信息来源有时相互矛盾。一家信用评分较低的供应商，十二年来从未延误过一次交货。另一家财务报表良好的供应商，最近却失去了其工厂经理，正在为劳动力流失问题所困扰。陈在考虑，诺斯桥是否应该直接询问供应商的现金需求，但采购部门担心供应商要么会隐瞒困境，要么会夸大困境以获得优惠待遇。</w:t>
      </w:r>
    </w:p>
    <w:p>
      <w:pPr>
        <w:pStyle w:val="BodyText"/>
      </w:pPr>
      <w:r>
        <w:rPr>
          <w:rFonts w:hint="eastAsia"/>
        </w:rPr>
        <w:t xml:space="preserve">银行提议整合账户数据、发票历史、发货记录和外部风险评分。该平台可以标记异常的重复发票、集中度问题，或付款行为的快速变化。法务顾问警告称，误报可能损害供应商关系，而漏报则可能造成一种虚假的安全感。网络安全人员估计，若采用全面集成方案，实施需要九个月；若采用基于文件传输的有限上线方案，则需要四个月。</w:t>
      </w:r>
    </w:p>
    <w:bookmarkStart w:id="17" w:name="图-5.-发票与供应商风险指标"/>
    <w:p>
      <w:pPr>
        <w:pStyle w:val="Heading2"/>
      </w:pPr>
      <w:r>
        <w:rPr>
          <w:rFonts w:hint="eastAsia"/>
        </w:rPr>
        <w:t xml:space="preserve">图</w:t>
      </w:r>
      <w:r>
        <w:t xml:space="preserve"> 5. </w:t>
      </w:r>
      <w:r>
        <w:rPr>
          <w:rFonts w:hint="eastAsia"/>
        </w:rPr>
        <w:t xml:space="preserve">发票与供应商风险指标</w:t>
      </w:r>
    </w:p>
    <w:tbl>
      <w:tblPr>
        <w:tblStyle w:val="Table"/>
        <w:tblW w:type="pct" w:w="4898"/>
        <w:tblLayout w:type="fixed"/>
        <w:tblLook w:firstRow="1" w:lastRow="0" w:firstColumn="0" w:lastColumn="0" w:noHBand="0" w:noVBand="0" w:val="0020"/>
      </w:tblPr>
      <w:tblGrid>
        <w:gridCol w:w="4202"/>
        <w:gridCol w:w="1373"/>
        <w:gridCol w:w="2182"/>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当前结果</w:t>
            </w:r>
          </w:p>
        </w:tc>
        <w:tc>
          <w:tcPr/>
          <w:p>
            <w:pPr>
              <w:pStyle w:val="Compact"/>
              <w:jc w:val="center"/>
            </w:pPr>
            <w:r>
              <w:rPr>
                <w:rFonts w:hint="eastAsia"/>
              </w:rPr>
              <w:t xml:space="preserve">拟议第一年目标</w:t>
            </w:r>
          </w:p>
        </w:tc>
      </w:tr>
      <w:tr>
        <w:tc>
          <w:tcPr/>
          <w:p>
            <w:pPr>
              <w:pStyle w:val="Compact"/>
              <w:jc w:val="left"/>
            </w:pPr>
            <w:r>
              <w:rPr>
                <w:rFonts w:hint="eastAsia"/>
              </w:rPr>
              <w:t xml:space="preserve">发票审批中位时间</w:t>
            </w:r>
          </w:p>
        </w:tc>
        <w:tc>
          <w:tcPr/>
          <w:p>
            <w:pPr>
              <w:pStyle w:val="Compact"/>
              <w:jc w:val="center"/>
            </w:pPr>
            <w:r>
              <w:rPr>
                <w:rFonts w:hint="eastAsia"/>
              </w:rPr>
              <w:t xml:space="preserve">8天</w:t>
            </w:r>
          </w:p>
        </w:tc>
        <w:tc>
          <w:tcPr/>
          <w:p>
            <w:pPr>
              <w:pStyle w:val="Compact"/>
              <w:jc w:val="center"/>
            </w:pPr>
            <w:r>
              <w:rPr>
                <w:rFonts w:hint="eastAsia"/>
              </w:rPr>
              <w:t xml:space="preserve">3天</w:t>
            </w:r>
          </w:p>
        </w:tc>
      </w:tr>
      <w:tr>
        <w:tc>
          <w:tcPr/>
          <w:p>
            <w:pPr>
              <w:pStyle w:val="Compact"/>
              <w:jc w:val="left"/>
            </w:pPr>
            <w:r>
              <w:rPr>
                <w:rFonts w:hint="eastAsia"/>
              </w:rPr>
              <w:t xml:space="preserve">超过20天才获批的发票占比</w:t>
            </w:r>
          </w:p>
        </w:tc>
        <w:tc>
          <w:tcPr/>
          <w:p>
            <w:pPr>
              <w:pStyle w:val="Compact"/>
              <w:jc w:val="center"/>
            </w:pPr>
            <w:r>
              <w:t xml:space="preserve">17%</w:t>
            </w:r>
          </w:p>
        </w:tc>
        <w:tc>
          <w:tcPr/>
          <w:p>
            <w:pPr>
              <w:pStyle w:val="Compact"/>
              <w:jc w:val="center"/>
            </w:pPr>
            <w:r>
              <w:rPr>
                <w:rFonts w:hint="eastAsia"/>
              </w:rPr>
              <w:t xml:space="preserve">低于5%</w:t>
            </w:r>
          </w:p>
        </w:tc>
      </w:tr>
      <w:tr>
        <w:tc>
          <w:tcPr/>
          <w:p>
            <w:pPr>
              <w:pStyle w:val="Compact"/>
              <w:jc w:val="left"/>
            </w:pPr>
            <w:r>
              <w:rPr>
                <w:rFonts w:hint="eastAsia"/>
              </w:rPr>
              <w:t xml:space="preserve">批准后遭争议的发票占比</w:t>
            </w:r>
          </w:p>
        </w:tc>
        <w:tc>
          <w:tcPr/>
          <w:p>
            <w:pPr>
              <w:pStyle w:val="Compact"/>
              <w:jc w:val="center"/>
            </w:pPr>
            <w:r>
              <w:t xml:space="preserve">2.8%</w:t>
            </w:r>
          </w:p>
        </w:tc>
        <w:tc>
          <w:tcPr/>
          <w:p>
            <w:pPr>
              <w:pStyle w:val="Compact"/>
              <w:jc w:val="center"/>
            </w:pPr>
            <w:r>
              <w:rPr>
                <w:rFonts w:hint="eastAsia"/>
              </w:rPr>
              <w:t xml:space="preserve">低于1%</w:t>
            </w:r>
          </w:p>
        </w:tc>
      </w:tr>
      <w:tr>
        <w:tc>
          <w:tcPr/>
          <w:p>
            <w:pPr>
              <w:pStyle w:val="Compact"/>
              <w:jc w:val="left"/>
            </w:pPr>
            <w:r>
              <w:rPr>
                <w:rFonts w:hint="eastAsia"/>
              </w:rPr>
              <w:t xml:space="preserve">拥有当前财务数据的关键供应商占比</w:t>
            </w:r>
          </w:p>
        </w:tc>
        <w:tc>
          <w:tcPr/>
          <w:p>
            <w:pPr>
              <w:pStyle w:val="Compact"/>
              <w:jc w:val="center"/>
            </w:pPr>
            <w:r>
              <w:t xml:space="preserve">61%</w:t>
            </w:r>
          </w:p>
        </w:tc>
        <w:tc>
          <w:tcPr/>
          <w:p>
            <w:pPr>
              <w:pStyle w:val="Compact"/>
              <w:jc w:val="center"/>
            </w:pPr>
            <w:r>
              <w:t xml:space="preserve">90%</w:t>
            </w:r>
          </w:p>
        </w:tc>
      </w:tr>
      <w:tr>
        <w:tc>
          <w:tcPr/>
          <w:p>
            <w:pPr>
              <w:pStyle w:val="Compact"/>
              <w:jc w:val="left"/>
            </w:pPr>
            <w:r>
              <w:rPr>
                <w:rFonts w:hint="eastAsia"/>
              </w:rPr>
              <w:t xml:space="preserve">具备双重来源资质的关键供应商占比</w:t>
            </w:r>
          </w:p>
        </w:tc>
        <w:tc>
          <w:tcPr/>
          <w:p>
            <w:pPr>
              <w:pStyle w:val="Compact"/>
              <w:jc w:val="center"/>
            </w:pPr>
            <w:r>
              <w:t xml:space="preserve">38%</w:t>
            </w:r>
          </w:p>
        </w:tc>
        <w:tc>
          <w:tcPr/>
          <w:p>
            <w:pPr>
              <w:pStyle w:val="Compact"/>
              <w:jc w:val="center"/>
            </w:pPr>
            <w:r>
              <w:t xml:space="preserve">50%</w:t>
            </w:r>
          </w:p>
        </w:tc>
      </w:tr>
      <w:tr>
        <w:tc>
          <w:tcPr/>
          <w:p>
            <w:pPr>
              <w:pStyle w:val="Compact"/>
              <w:jc w:val="left"/>
            </w:pPr>
            <w:r>
              <w:rPr>
                <w:rFonts w:hint="eastAsia"/>
              </w:rPr>
              <w:t xml:space="preserve">在最近一次审查中报告现金紧张的供应商占比</w:t>
            </w:r>
          </w:p>
        </w:tc>
        <w:tc>
          <w:tcPr/>
          <w:p>
            <w:pPr>
              <w:pStyle w:val="Compact"/>
              <w:jc w:val="center"/>
            </w:pPr>
            <w:r>
              <w:t xml:space="preserve">29%</w:t>
            </w:r>
          </w:p>
        </w:tc>
        <w:tc>
          <w:tcPr/>
          <w:p>
            <w:pPr>
              <w:pStyle w:val="Compact"/>
              <w:jc w:val="center"/>
            </w:pPr>
            <w:r>
              <w:rPr>
                <w:rFonts w:hint="eastAsia"/>
              </w:rPr>
              <w:t xml:space="preserve">尚未设定</w:t>
            </w:r>
          </w:p>
        </w:tc>
      </w:tr>
    </w:tbl>
    <w:bookmarkEnd w:id="17"/>
    <w:bookmarkEnd w:id="18"/>
    <w:bookmarkStart w:id="19" w:name="董事会会议前的决策"/>
    <w:p>
      <w:pPr>
        <w:pStyle w:val="Heading1"/>
      </w:pPr>
      <w:r>
        <w:rPr>
          <w:rFonts w:hint="eastAsia"/>
        </w:rPr>
        <w:t xml:space="preserve">董事会会议前的决策</w:t>
      </w:r>
    </w:p>
    <w:p>
      <w:pPr>
        <w:pStyle w:val="FirstParagraph"/>
      </w:pPr>
      <w:r>
        <w:rPr>
          <w:rFonts w:hint="eastAsia"/>
        </w:rPr>
        <w:t xml:space="preserve">董事会财务委员会将在九天后召开会议。陈需要就以下问题提出建议：诺斯桥是否应启动供应商融资计划、该计划应适用的范围有多广、付款期限是否应发生变化，以及需要采取哪些配套措施。银行希望在月底前签署条款清单，以预留实施能力。AlloyWorks则希望在两周内得到答复。</w:t>
      </w:r>
    </w:p>
    <w:p>
      <w:pPr>
        <w:pStyle w:val="BodyText"/>
      </w:pPr>
      <w:r>
        <w:rPr>
          <w:rFonts w:hint="eastAsia"/>
        </w:rPr>
        <w:t xml:space="preserve">陈的团队制定了一个下行情景：客户需求下降12%，一家主要客户延迟付款45天，关税成本再增加3800万美元。在该情景下，除非诺斯桥推迟工厂扩建、动用其循环信贷额度或延长供应商付款期限，否则其可用流动性可能跌破内部最低标准。另一种情景假设需求强劲，但两家关键供应商倒闭，导致生产延误和高昂的加急运费。在这种情况下，即便诺斯桥保住了自身现金，若公司无法发货成品，这份保障也将毫无意义。</w:t>
      </w:r>
    </w:p>
    <w:p>
      <w:pPr>
        <w:pStyle w:val="BodyText"/>
      </w:pPr>
      <w:r>
        <w:rPr>
          <w:rFonts w:hint="eastAsia"/>
        </w:rPr>
        <w:t xml:space="preserve">没有一种方案能将财务表现与运营后果分割开来。更快地向供应商付款可以增强供应网络的韧性，但会削弱诺斯桥自身的现金状况。延长付款期限可以改善所报告的营运资本状况，但会将风险转移给那些获取信贷渠道较少的企业。保险和对冲可以降低特定风险敞口，但也会带来保费、免赔额、基差风险和合同复杂性。持有更多现金可以提高韧性，但会与股息、债务削减、自动化和工厂投资形成资源竞争。</w:t>
      </w:r>
    </w:p>
    <w:p>
      <w:pPr>
        <w:pStyle w:val="BodyText"/>
      </w:pPr>
      <w:r>
        <w:rPr>
          <w:rFonts w:hint="eastAsia"/>
        </w:rPr>
        <w:t xml:space="preserve">当晚6:30，陈审阅了董事会幻灯片的初稿。一页展示了90天付款计划的预计现金收益。另一页展示了依赖于脆弱供应商的收入规模。第三页则列出了保险缺口和货币风险敞口。每一页单独来看都颇具说服力；但放在一起，却并未得出一个明确的答案。她删除了那张建议方案的幻灯片，重新开始。</w:t>
      </w:r>
    </w:p>
    <w:bookmarkEnd w:id="19"/>
    <w:bookmarkStart w:id="20" w:name="讨论题"/>
    <w:p>
      <w:pPr>
        <w:pStyle w:val="Heading1"/>
      </w:pPr>
      <w:r>
        <w:rPr>
          <w:rFonts w:hint="eastAsia"/>
        </w:rPr>
        <w:t xml:space="preserve">讨论题</w:t>
      </w:r>
    </w:p>
    <w:p>
      <w:pPr>
        <w:numPr>
          <w:ilvl w:val="0"/>
          <w:numId w:val="1001"/>
        </w:numPr>
      </w:pPr>
      <w:r>
        <w:rPr>
          <w:rFonts w:hint="eastAsia"/>
        </w:rPr>
        <w:t xml:space="preserve">诺斯桥面临的核心业务问题是什么？为什么这个问题比是否采用供应商融资平台这一选择要更为广泛？</w:t>
      </w:r>
    </w:p>
    <w:p>
      <w:pPr>
        <w:numPr>
          <w:ilvl w:val="0"/>
          <w:numId w:val="1001"/>
        </w:numPr>
      </w:pPr>
      <w:r>
        <w:rPr>
          <w:rFonts w:hint="eastAsia"/>
        </w:rPr>
        <w:t xml:space="preserve">哪些供应商应获得优先待遇？应由哪些信息来决定其资格或公司支持力度？</w:t>
      </w:r>
    </w:p>
    <w:p>
      <w:pPr>
        <w:numPr>
          <w:ilvl w:val="0"/>
          <w:numId w:val="1001"/>
        </w:numPr>
      </w:pPr>
      <w:r>
        <w:rPr>
          <w:rFonts w:hint="eastAsia"/>
        </w:rPr>
        <w:t xml:space="preserve">诺斯桥应如何权衡保留现金的价值与削弱财务脆弱供应商所带来的风险？</w:t>
      </w:r>
    </w:p>
    <w:p>
      <w:pPr>
        <w:numPr>
          <w:ilvl w:val="0"/>
          <w:numId w:val="1001"/>
        </w:numPr>
      </w:pPr>
      <w:r>
        <w:rPr>
          <w:rFonts w:hint="eastAsia"/>
        </w:rPr>
        <w:t xml:space="preserve">对于能够通过银行获得提前付款的供应商，是否应延长其付款期限？为什么？</w:t>
      </w:r>
    </w:p>
    <w:p>
      <w:pPr>
        <w:numPr>
          <w:ilvl w:val="0"/>
          <w:numId w:val="1001"/>
        </w:numPr>
      </w:pPr>
      <w:r>
        <w:rPr>
          <w:rFonts w:hint="eastAsia"/>
        </w:rPr>
        <w:t xml:space="preserve">发票审批速度应如何影响该项目的设计与实施时机？</w:t>
      </w:r>
    </w:p>
    <w:p>
      <w:pPr>
        <w:numPr>
          <w:ilvl w:val="0"/>
          <w:numId w:val="1001"/>
        </w:numPr>
      </w:pPr>
      <w:r>
        <w:rPr>
          <w:rFonts w:hint="eastAsia"/>
        </w:rPr>
        <w:t xml:space="preserve">诺斯桥应对哪些财务风险进行投保或对冲，又应自行承担哪些风险？</w:t>
      </w:r>
    </w:p>
    <w:p>
      <w:pPr>
        <w:numPr>
          <w:ilvl w:val="0"/>
          <w:numId w:val="1001"/>
        </w:numPr>
      </w:pPr>
      <w:r>
        <w:rPr>
          <w:rFonts w:hint="eastAsia"/>
        </w:rPr>
        <w:t xml:space="preserve">对于在运营上属于关键、但未能通过银行财务或合规审查的供应商，公司应如何应对？</w:t>
      </w:r>
    </w:p>
    <w:p>
      <w:pPr>
        <w:numPr>
          <w:ilvl w:val="0"/>
          <w:numId w:val="1001"/>
        </w:numPr>
      </w:pPr>
      <w:r>
        <w:rPr>
          <w:rFonts w:hint="eastAsia"/>
        </w:rPr>
        <w:t xml:space="preserve">如果诺斯桥过度依赖单一银行或单一数字平台，可能会出现什么问题？</w:t>
      </w:r>
    </w:p>
    <w:p>
      <w:pPr>
        <w:numPr>
          <w:ilvl w:val="0"/>
          <w:numId w:val="1001"/>
        </w:numPr>
      </w:pPr>
      <w:r>
        <w:rPr>
          <w:rFonts w:hint="eastAsia"/>
        </w:rPr>
        <w:t xml:space="preserve">在做出更广泛的承诺之前，哪些额外数据或试点项目最具价值？</w:t>
      </w:r>
    </w:p>
    <w:p>
      <w:pPr>
        <w:numPr>
          <w:ilvl w:val="0"/>
          <w:numId w:val="1001"/>
        </w:numPr>
      </w:pPr>
      <w:r>
        <w:rPr>
          <w:rFonts w:hint="eastAsia"/>
        </w:rPr>
        <w:t xml:space="preserve">陈应立即建议采取哪些行动？哪些决策应视未来事态发展而定？</w:t>
      </w:r>
    </w:p>
    <w:bookmarkEnd w:id="20"/>
    <w:bookmarkStart w:id="26"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识别并描述决策者的职责范围。这将界定该问题的研究边界。</w:t>
      </w:r>
    </w:p>
    <w:p>
      <w:pPr>
        <w:numPr>
          <w:ilvl w:val="0"/>
          <w:numId w:val="1002"/>
        </w:numPr>
      </w:pPr>
      <w:r>
        <w:rPr>
          <w:rFonts w:hint="eastAsia"/>
        </w:rPr>
        <w:t xml:space="preserve">使用</w:t>
      </w:r>
      <w:hyperlink r:id="rId21">
        <w:r>
          <w:rPr>
            <w:rStyle w:val="Hyperlink"/>
            <w:rFonts w:hint="eastAsia"/>
          </w:rPr>
          <w:t xml:space="preserve">指标金字塔工具</w:t>
        </w:r>
      </w:hyperlink>
      <w:r>
        <w:rPr>
          <w:rFonts w:hint="eastAsia"/>
        </w:rPr>
        <w:t xml:space="preserve">来识别并划定不同绩效指标的优先级。点击承载该指标的椭圆形，以标明它是需要最大化的指标（绿色）、需要最小化的指标（红色）、作为下限的目标（浅绿色）、作为上限的目标（浅红色），还是一个具体的目标值（紫色）。</w:t>
      </w:r>
    </w:p>
    <w:p>
      <w:pPr>
        <w:numPr>
          <w:ilvl w:val="0"/>
          <w:numId w:val="1002"/>
        </w:numPr>
      </w:pPr>
      <w:r>
        <w:rPr>
          <w:rFonts w:hint="eastAsia"/>
        </w:rPr>
        <w:t xml:space="preserve">使用</w:t>
      </w:r>
      <w:hyperlink r:id="rId22">
        <w:r>
          <w:rPr>
            <w:rStyle w:val="Hyperlink"/>
            <w:rFonts w:hint="eastAsia"/>
          </w:rPr>
          <w:t xml:space="preserve">决策优先级排序工具</w:t>
        </w:r>
      </w:hyperlink>
      <w:r>
        <w:rPr>
          <w:rFonts w:hint="eastAsia"/>
        </w:rPr>
        <w:t xml:space="preserve">，首先列出不同类型的决策（可参考</w:t>
      </w:r>
      <w:hyperlink r:id="rId23">
        <w:r>
          <w:rPr>
            <w:rStyle w:val="Hyperlink"/>
            <w:rFonts w:hint="eastAsia"/>
          </w:rPr>
          <w:t xml:space="preserve">决策类型</w:t>
        </w:r>
      </w:hyperlink>
      <w:r>
        <w:rPr>
          <w:rFonts w:hint="eastAsia"/>
        </w:rPr>
        <w:t xml:space="preserve">作为指导）。这些决策将随后填入右侧矩阵的各行，而矩阵的各列则按照上方金字塔中的优先级从左到右排列绩效指标。点击每个单元格，以标明该决策对每项指标的影响程度是高（红色）、中（橙色）、低（黄色）还是无（白色）。</w:t>
      </w:r>
    </w:p>
    <w:p>
      <w:pPr>
        <w:numPr>
          <w:ilvl w:val="0"/>
          <w:numId w:val="1002"/>
        </w:numPr>
      </w:pPr>
      <w:r>
        <w:rPr>
          <w:rFonts w:hint="eastAsia"/>
        </w:rPr>
        <w:t xml:space="preserve">你可以抓住每行最左侧的把手（三条横杠）来上下移动该行。对各行进行排序，使对最重要指标影响最大的决策位于顶部。矩阵左上角的单元格应集中最多的红色和橙色。此时，识别出在你的研究中最应予以重点关注的决策。如果没有任何决策对最重要的指标产生中等或高等影响，请重新审视你所列出的决策清单。</w:t>
      </w:r>
    </w:p>
    <w:p>
      <w:pPr>
        <w:numPr>
          <w:ilvl w:val="0"/>
          <w:numId w:val="1002"/>
        </w:numPr>
      </w:pPr>
      <w:r>
        <w:rPr>
          <w:rFonts w:hint="eastAsia"/>
        </w:rPr>
        <w:t xml:space="preserve">使用</w:t>
      </w:r>
      <w:hyperlink r:id="rId24">
        <w:r>
          <w:rPr>
            <w:rStyle w:val="Hyperlink"/>
            <w:rFonts w:hint="eastAsia"/>
          </w:rPr>
          <w:t xml:space="preserve">不确定性优先级排序工具</w:t>
        </w:r>
      </w:hyperlink>
      <w:r>
        <w:rPr>
          <w:rFonts w:hint="eastAsia"/>
        </w:rPr>
        <w:t xml:space="preserve">，重复上述过程以列出并排定不确定性的优先级。可借助</w:t>
      </w:r>
      <w:hyperlink r:id="rId25">
        <w:r>
          <w:rPr>
            <w:rStyle w:val="Hyperlink"/>
            <w:rFonts w:hint="eastAsia"/>
          </w:rPr>
          <w:t xml:space="preserve">不确定性的类别</w:t>
        </w:r>
      </w:hyperlink>
      <w:r>
        <w:rPr>
          <w:rFonts w:hint="eastAsia"/>
        </w:rPr>
        <w:t xml:space="preserve">来帮助识别这些不确定性。</w:t>
      </w:r>
    </w:p>
    <w:p>
      <w:pPr>
        <w:numPr>
          <w:ilvl w:val="0"/>
          <w:numId w:val="1002"/>
        </w:numPr>
      </w:pPr>
      <w:r>
        <w:rPr>
          <w:rFonts w:hint="eastAsia"/>
        </w:rPr>
        <w:t xml:space="preserve">区分那些可以按平均表现评估的不确定性和那些应作为风险事件来看待的不确定性，这一点十分重要：</w:t>
      </w:r>
    </w:p>
    <w:p>
      <w:pPr>
        <w:numPr>
          <w:ilvl w:val="1"/>
          <w:numId w:val="1003"/>
        </w:numPr>
      </w:pPr>
      <w:r>
        <w:rPr>
          <w:rFonts w:hint="eastAsia"/>
        </w:rPr>
        <w:t xml:space="preserve">哪些不确定性来源适合用一段时间内的平均绩效来衡量？</w:t>
      </w:r>
    </w:p>
    <w:p>
      <w:pPr>
        <w:numPr>
          <w:ilvl w:val="1"/>
          <w:numId w:val="1003"/>
        </w:numPr>
      </w:pPr>
      <w:r>
        <w:rPr>
          <w:rFonts w:hint="eastAsia"/>
        </w:rPr>
        <w:t xml:space="preserve">哪些不确定性来源代表了无法通过平均值恰当反映的风险形式？</w:t>
      </w:r>
    </w:p>
    <w:p>
      <w:pPr>
        <w:numPr>
          <w:ilvl w:val="0"/>
          <w:numId w:val="1002"/>
        </w:numPr>
      </w:pPr>
      <w:r>
        <w:rPr>
          <w:rFonts w:hint="eastAsia"/>
        </w:rPr>
        <w:t xml:space="preserve">选出对最重要指标似乎具有最高影响的那一个决策。</w:t>
      </w:r>
    </w:p>
    <w:p>
      <w:pPr>
        <w:numPr>
          <w:ilvl w:val="1"/>
          <w:numId w:val="1004"/>
        </w:numPr>
      </w:pPr>
      <w:r>
        <w:rPr>
          <w:rFonts w:hint="eastAsia"/>
        </w:rPr>
        <w:t xml:space="preserve">你认为你会采用什么方法来做出这一决策？</w:t>
      </w:r>
    </w:p>
    <w:p>
      <w:pPr>
        <w:numPr>
          <w:ilvl w:val="1"/>
          <w:numId w:val="1004"/>
        </w:numPr>
      </w:pPr>
      <w:r>
        <w:rPr>
          <w:rFonts w:hint="eastAsia"/>
        </w:rPr>
        <w:t xml:space="preserve">做出该决策似乎需要哪些数据，包括计算该决策具有高或中等影响的任何绩效指标所需的数据。</w:t>
      </w:r>
    </w:p>
    <w:p>
      <w:pPr>
        <w:numPr>
          <w:ilvl w:val="0"/>
          <w:numId w:val="1002"/>
        </w:numPr>
      </w:pPr>
      <w:r>
        <w:rPr>
          <w:rFonts w:hint="eastAsia"/>
        </w:rPr>
        <w:t xml:space="preserve">针对你在第(7)题中所确定的同一决策，识别出为实施该决策而需要与之合作的人员、部门、团队或组织。</w:t>
      </w:r>
    </w:p>
    <w:bookmarkEnd w:id="26"/>
    <w:bookmarkStart w:id="27" w:name="资料来源说明"/>
    <w:p>
      <w:pPr>
        <w:pStyle w:val="Heading1"/>
      </w:pPr>
      <w:r>
        <w:rPr>
          <w:rFonts w:hint="eastAsia"/>
        </w:rPr>
        <w:t xml:space="preserve">资料来源说明</w:t>
      </w:r>
    </w:p>
    <w:p>
      <w:pPr>
        <w:pStyle w:val="FirstParagraph"/>
      </w:pPr>
      <w:r>
        <w:t xml:space="preserve">Warren B. Powell,</w:t>
      </w:r>
      <w:r>
        <w:t xml:space="preserve"> </w:t>
      </w:r>
      <w:r>
        <w:t xml:space="preserve">“Supply Chain Finance,”</w:t>
      </w:r>
      <w:r>
        <w:t xml:space="preserve"> </w:t>
      </w:r>
      <w:r>
        <w:rPr>
          <w:rFonts w:hint="eastAsia"/>
        </w:rPr>
        <w:t xml:space="preserve">第2章,</w:t>
      </w:r>
      <w:r>
        <w:t xml:space="preserve"> Bridging Decision Problems, Volume I: Framing the Problem. </w:t>
      </w:r>
      <w:r>
        <w:rPr>
          <w:rFonts w:hint="eastAsia"/>
        </w:rPr>
        <w:t xml:space="preserve">该节描述了发票审批、提前付款、到期付款、融资与保险选择、现金管理、资本配置，以及涉及违约、货币、关税、销售、利率和信贷市场的不确定性。</w:t>
      </w:r>
    </w:p>
    <w:p>
      <w:pPr>
        <w:pStyle w:val="BodyText"/>
      </w:pPr>
      <w:r>
        <w:t xml:space="preserve">Federal Reserve Banks, 2026 Report on Employer Firms: Findings from the 2025 Small Business Credit Survey, March 3, 2026. </w:t>
      </w:r>
      <w:r>
        <w:rPr>
          <w:rFonts w:hint="eastAsia"/>
        </w:rPr>
        <w:t xml:space="preserve">该调查报告显示，60%的企业申请了融资，42%获得了其所寻求的全额资金，而与关税相关的成本挑战在制造企业中尤为普遍。</w:t>
      </w:r>
    </w:p>
    <w:p>
      <w:pPr>
        <w:pStyle w:val="BodyText"/>
      </w:pPr>
      <w:r>
        <w:t xml:space="preserve">Secured Finance Network,</w:t>
      </w:r>
      <w:r>
        <w:t xml:space="preserve"> </w:t>
      </w:r>
      <w:r>
        <w:t xml:space="preserve">“The Growing Impact of Supply Chain Finance: Insights from SFNet’s 2025 Market Sizing Study.”</w:t>
      </w:r>
      <w:r>
        <w:t xml:space="preserve"> </w:t>
      </w:r>
      <w:r>
        <w:rPr>
          <w:rFonts w:hint="eastAsia"/>
        </w:rPr>
        <w:t xml:space="preserve">该研究估计，2024年美国大约12%的贸易应收账款是通过供应链金融安排融资的，年度市场规模约为2.56万亿美元。</w:t>
      </w:r>
    </w:p>
    <w:p>
      <w:pPr>
        <w:pStyle w:val="BodyText"/>
      </w:pPr>
      <w:r>
        <w:t xml:space="preserve">International Finance Corporation,</w:t>
      </w:r>
      <w:r>
        <w:t xml:space="preserve"> </w:t>
      </w:r>
      <w:r>
        <w:t xml:space="preserve">“Scaling Up Supply Chain Finance Could Unlock Billions for SMEs,”</w:t>
      </w:r>
      <w:r>
        <w:t xml:space="preserve"> </w:t>
      </w:r>
      <w:r>
        <w:rPr>
          <w:rFonts w:hint="eastAsia"/>
        </w:rPr>
        <w:t xml:space="preserve">2025年9月。国际金融公司（IFC）估计全球贸易融资缺口已达到2.5万亿美元，并强调了中小型供应商所面临的营运资本约束。</w:t>
      </w:r>
    </w:p>
    <w:bookmarkEnd w:id="27"/>
    <w:bookmarkStart w:id="30" w:name="chatgpt笔记"/>
    <w:p>
      <w:pPr>
        <w:pStyle w:val="Heading1"/>
      </w:pPr>
      <w:r>
        <w:rPr>
          <w:rFonts w:hint="eastAsia"/>
        </w:rPr>
        <w:t xml:space="preserve">ChatGPT笔记</w:t>
      </w:r>
    </w:p>
    <w:bookmarkStart w:id="28" w:name="提示词"/>
    <w:p>
      <w:pPr>
        <w:pStyle w:val="Heading2"/>
      </w:pPr>
      <w:r>
        <w:rPr>
          <w:rFonts w:hint="eastAsia"/>
        </w:rPr>
        <w:t xml:space="preserve">提示词</w:t>
      </w:r>
    </w:p>
    <w:p>
      <w:pPr>
        <w:pStyle w:val="FirstParagraph"/>
      </w:pPr>
      <w:r>
        <w:rPr>
          <w:rFonts w:hint="eastAsia"/>
        </w:rPr>
        <w:t xml:space="preserve">根据</w:t>
      </w:r>
      <w:r>
        <w:t xml:space="preserve"> https://warrenpowell.org/bridging-vol1/chapter-2/#supplychainfinance </w:t>
      </w:r>
      <w:r>
        <w:rPr>
          <w:rFonts w:hint="eastAsia"/>
        </w:rPr>
        <w:t xml:space="preserve">一节中的材料，撰写一篇4-6页的案例研究。基于该节中的指标、决策和不确定性创建一个情境背景，但不要明确点出这些要素。用数据来引出你的案例问题。</w:t>
      </w:r>
    </w:p>
    <w:bookmarkEnd w:id="28"/>
    <w:bookmarkStart w:id="29" w:name="摘要"/>
    <w:p>
      <w:pPr>
        <w:pStyle w:val="Heading2"/>
      </w:pPr>
      <w:r>
        <w:rPr>
          <w:rFonts w:hint="eastAsia"/>
        </w:rPr>
        <w:t xml:space="preserve">摘要</w:t>
      </w:r>
    </w:p>
    <w:p>
      <w:pPr>
        <w:pStyle w:val="FirstParagraph"/>
      </w:pPr>
      <w:r>
        <w:rPr>
          <w:rFonts w:hint="eastAsia"/>
        </w:rPr>
        <w:t xml:space="preserve">本案例讲述了一家虚构制造商的故事，其供应商要求更快获得付款，而公司则在努力保留现金、吸收关税相关成本、为额外库存融资，并维持其信用地位。案例考察了供应商融资、提前付款折扣、付款期限、发票审批、保险、货币对冲、现金储备，以及对财务脆弱供应商的支持，但并未指明一个首选的解决方案。</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2026-09-11T17:17:49Z</dcterms:created>
  <dcterms:modified xsi:type="dcterms:W3CDTF">2026-09-11T17:17:49Z</dcterms:modified>
</cp:coreProperties>
</file>

<file path=docProps/custom.xml><?xml version="1.0" encoding="utf-8"?>
<Properties xmlns="http://schemas.openxmlformats.org/officeDocument/2006/custom-properties" xmlns:vt="http://schemas.openxmlformats.org/officeDocument/2006/docPropsVTypes"/>
</file>