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北星生活：库存赌注</w:t>
      </w:r>
    </w:p>
    <w:p>
      <w:pPr>
        <w:pStyle w:val="BodyText"/>
      </w:pPr>
      <w:r>
        <w:rPr>
          <w:rFonts w:hint="eastAsia"/>
        </w:rPr>
        <w:t xml:space="preserve">一份关于长交付周期库存规划的教学案例</w:t>
      </w:r>
    </w:p>
    <w:p>
      <w:pPr>
        <w:pStyle w:val="BodyText"/>
      </w:pPr>
      <w:r>
        <w:rPr>
          <w:rFonts w:hint="eastAsia"/>
        </w:rPr>
        <w:t xml:space="preserve">本案例纯属虚构，仅供教学讨论之用。人名、事件、组织和运营数据均为虚构，但行业背景参考了公开资料。</w:t>
      </w:r>
    </w:p>
    <w:p>
      <w:pPr>
        <w:pStyle w:val="BodyText"/>
      </w:pPr>
      <w:r>
        <w:t xml:space="preserve">2026 </w:t>
      </w:r>
      <w:r>
        <w:rPr>
          <w:rFonts w:hint="eastAsia"/>
        </w:rPr>
        <w:t xml:space="preserve">年</w:t>
      </w:r>
      <w:r>
        <w:t xml:space="preserve"> 7 </w:t>
      </w:r>
      <w:r>
        <w:rPr>
          <w:rFonts w:hint="eastAsia"/>
        </w:rPr>
        <w:t xml:space="preserve">月下旬，北星生活的首席运营官</w:t>
      </w:r>
      <w:r>
        <w:t xml:space="preserve"> Maya Chen </w:t>
      </w:r>
      <w:r>
        <w:rPr>
          <w:rFonts w:hint="eastAsia"/>
        </w:rPr>
        <w:t xml:space="preserve">面临一项在电子表格上看似简单、而在实践中却愈发危险的决策。公司必须在得知消费者需求究竟有多强、海运货物能否按时到达、以及竞争对手在同类产品上会采取多激进的降价策略之前，就承诺购买其增长最快产品的假日季货量。</w:t>
      </w:r>
    </w:p>
    <w:p>
      <w:pPr>
        <w:pStyle w:val="BodyText"/>
      </w:pPr>
      <w:r>
        <w:rPr>
          <w:rFonts w:hint="eastAsia"/>
        </w:rPr>
        <w:t xml:space="preserve">北星通过自有网站、主要在线市场和</w:t>
      </w:r>
      <w:r>
        <w:t xml:space="preserve"> 420 </w:t>
      </w:r>
      <w:r>
        <w:rPr>
          <w:rFonts w:hint="eastAsia"/>
        </w:rPr>
        <w:t xml:space="preserve">家专业零售商销售紧凑型家用电器。其产品——空气净化器、台式制冰机、智能风扇和紧凑型电磁炉——在美国设计，但主要从中国、越南和波兰的合同制造商采购。从下达采购订单到库存可用的典型补货周期为</w:t>
      </w:r>
      <w:r>
        <w:t xml:space="preserve"> 7 </w:t>
      </w:r>
      <w:r>
        <w:rPr>
          <w:rFonts w:hint="eastAsia"/>
        </w:rPr>
        <w:t xml:space="preserve">到</w:t>
      </w:r>
      <w:r>
        <w:t xml:space="preserve"> 11 </w:t>
      </w:r>
      <w:r>
        <w:rPr>
          <w:rFonts w:hint="eastAsia"/>
        </w:rPr>
        <w:t xml:space="preserve">周，而港口或工厂的中断可能会再增加数周。</w:t>
      </w:r>
    </w:p>
    <w:p>
      <w:pPr>
        <w:pStyle w:val="BodyText"/>
      </w:pPr>
      <w:r>
        <w:rPr>
          <w:rFonts w:hint="eastAsia"/>
        </w:rPr>
        <w:t xml:space="preserve">风险正在上升。2026</w:t>
      </w:r>
      <w:r>
        <w:t xml:space="preserve"> </w:t>
      </w:r>
      <w:r>
        <w:rPr>
          <w:rFonts w:hint="eastAsia"/>
        </w:rPr>
        <w:t xml:space="preserve">年</w:t>
      </w:r>
      <w:r>
        <w:t xml:space="preserve"> 5 </w:t>
      </w:r>
      <w:r>
        <w:rPr>
          <w:rFonts w:hint="eastAsia"/>
        </w:rPr>
        <w:t xml:space="preserve">月，美国家具、家居用品、电子产品和电器商店的零售额达到约</w:t>
      </w:r>
      <w:r>
        <w:t xml:space="preserve"> 195 </w:t>
      </w:r>
      <w:r>
        <w:rPr>
          <w:rFonts w:hint="eastAsia"/>
        </w:rPr>
        <w:t xml:space="preserve">亿美元，而该品类的库存约为</w:t>
      </w:r>
      <w:r>
        <w:t xml:space="preserve"> 307 </w:t>
      </w:r>
      <w:r>
        <w:rPr>
          <w:rFonts w:hint="eastAsia"/>
        </w:rPr>
        <w:t xml:space="preserve">亿美元。相应的经季节调整的库存销售比为</w:t>
      </w:r>
      <w:r>
        <w:t xml:space="preserve"> </w:t>
      </w:r>
      <w:r>
        <w:rPr>
          <w:rFonts w:hint="eastAsia"/>
        </w:rPr>
        <w:t xml:space="preserve">1.58。放眼整个美国经济，2026</w:t>
      </w:r>
      <w:r>
        <w:t xml:space="preserve"> </w:t>
      </w:r>
      <w:r>
        <w:rPr>
          <w:rFonts w:hint="eastAsia"/>
        </w:rPr>
        <w:t xml:space="preserve">年</w:t>
      </w:r>
      <w:r>
        <w:t xml:space="preserve"> 5 </w:t>
      </w:r>
      <w:r>
        <w:rPr>
          <w:rFonts w:hint="eastAsia"/>
        </w:rPr>
        <w:t xml:space="preserve">月制造商和贸易企业的库存约为</w:t>
      </w:r>
      <w:r>
        <w:t xml:space="preserve"> 2.74 </w:t>
      </w:r>
      <w:r>
        <w:rPr>
          <w:rFonts w:hint="eastAsia"/>
        </w:rPr>
        <w:t xml:space="preserve">万亿美元。这些数字既表明市场规模巨大，也表明将大量资金占用在可能达不到预期销量的商品上的持续风险。</w:t>
      </w:r>
    </w:p>
    <w:bookmarkStart w:id="9" w:name="假日承诺"/>
    <w:p>
      <w:pPr>
        <w:pStyle w:val="Heading1"/>
      </w:pPr>
      <w:r>
        <w:rPr>
          <w:rFonts w:hint="eastAsia"/>
        </w:rPr>
        <w:t xml:space="preserve">假日承诺</w:t>
      </w:r>
    </w:p>
    <w:p>
      <w:pPr>
        <w:pStyle w:val="FirstParagraph"/>
      </w:pPr>
      <w:r>
        <w:rPr>
          <w:rFonts w:hint="eastAsia"/>
        </w:rPr>
        <w:t xml:space="preserve">北星预计</w:t>
      </w:r>
      <w:r>
        <w:t xml:space="preserve"> 11 </w:t>
      </w:r>
      <w:r>
        <w:rPr>
          <w:rFonts w:hint="eastAsia"/>
        </w:rPr>
        <w:t xml:space="preserve">月和</w:t>
      </w:r>
      <w:r>
        <w:t xml:space="preserve"> 12 </w:t>
      </w:r>
      <w:r>
        <w:rPr>
          <w:rFonts w:hint="eastAsia"/>
        </w:rPr>
        <w:t xml:space="preserve">月将产生全年营收的</w:t>
      </w:r>
      <w:r>
        <w:t xml:space="preserve"> </w:t>
      </w:r>
      <w:r>
        <w:rPr>
          <w:rFonts w:hint="eastAsia"/>
        </w:rPr>
        <w:t xml:space="preserve">31%。零售合作伙伴希望在</w:t>
      </w:r>
      <w:r>
        <w:t xml:space="preserve"> 9 </w:t>
      </w:r>
      <w:r>
        <w:rPr>
          <w:rFonts w:hint="eastAsia"/>
        </w:rPr>
        <w:t xml:space="preserve">月</w:t>
      </w:r>
      <w:r>
        <w:t xml:space="preserve"> 1 </w:t>
      </w:r>
      <w:r>
        <w:rPr>
          <w:rFonts w:hint="eastAsia"/>
        </w:rPr>
        <w:t xml:space="preserve">日前获得确定的分配量，但供应商要求在</w:t>
      </w:r>
      <w:r>
        <w:t xml:space="preserve"> 8 </w:t>
      </w:r>
      <w:r>
        <w:rPr>
          <w:rFonts w:hint="eastAsia"/>
        </w:rPr>
        <w:t xml:space="preserve">月初就获得采购承诺，以保留生产档期。财务团队已批准最多</w:t>
      </w:r>
      <w:r>
        <w:t xml:space="preserve"> 4200 </w:t>
      </w:r>
      <w:r>
        <w:rPr>
          <w:rFonts w:hint="eastAsia"/>
        </w:rPr>
        <w:t xml:space="preserve">万美元的新库存采购（含运费和关税）。管理层目前的提案需要</w:t>
      </w:r>
      <w:r>
        <w:t xml:space="preserve"> 3960 </w:t>
      </w:r>
      <w:r>
        <w:rPr>
          <w:rFonts w:hint="eastAsia"/>
        </w:rPr>
        <w:t xml:space="preserve">万美元，几乎没有为紧急空运、意外关税或突然出现的替代供应商采购机会留出余地。</w:t>
      </w:r>
    </w:p>
    <w:p>
      <w:pPr>
        <w:pStyle w:val="BodyText"/>
      </w:pPr>
      <w:r>
        <w:rPr>
          <w:rFonts w:hint="eastAsia"/>
        </w:rPr>
        <w:t xml:space="preserve">公司在上一个假日季结束时出现了两种截然不同的结果。在野火烟雾严重时期，其高端空气净化器出现缺货，估计造成销售损失，并令多家大型零售商感到失望。与此同时，公司在</w:t>
      </w:r>
      <w:r>
        <w:t xml:space="preserve"> 1 </w:t>
      </w:r>
      <w:r>
        <w:rPr>
          <w:rFonts w:hint="eastAsia"/>
        </w:rPr>
        <w:t xml:space="preserve">月份仍积压了</w:t>
      </w:r>
      <w:r>
        <w:t xml:space="preserve"> 46,000 </w:t>
      </w:r>
      <w:r>
        <w:rPr>
          <w:rFonts w:hint="eastAsia"/>
        </w:rPr>
        <w:t xml:space="preserve">台过剩的智能风扇，最终以</w:t>
      </w:r>
      <w:r>
        <w:t xml:space="preserve"> 35% </w:t>
      </w:r>
      <w:r>
        <w:rPr>
          <w:rFonts w:hint="eastAsia"/>
        </w:rPr>
        <w:t xml:space="preserve">的折扣清仓。净化器缺货帮助竞争对手赢得了货架空间；风扇过剩则占用了仓储容量并降低了营业利润率。</w:t>
      </w:r>
    </w:p>
    <w:tbl>
      <w:tblPr>
        <w:tblStyle w:val="Table"/>
        <w:tblW w:type="pct" w:w="4921"/>
        <w:tblLayout w:type="fixed"/>
        <w:tblLook w:firstRow="1" w:lastRow="0" w:firstColumn="0" w:lastColumn="0" w:noHBand="0" w:noVBand="0" w:val="0020"/>
      </w:tblPr>
      <w:tblGrid>
        <w:gridCol w:w="1697"/>
        <w:gridCol w:w="1005"/>
        <w:gridCol w:w="1194"/>
        <w:gridCol w:w="1005"/>
        <w:gridCol w:w="1634"/>
        <w:gridCol w:w="1257"/>
      </w:tblGrid>
      <w:tr>
        <w:trPr>
          <w:tblHeader w:val="on"/>
        </w:trPr>
        <w:tc>
          <w:tcPr/>
          <w:p>
            <w:pPr>
              <w:pStyle w:val="Compact"/>
              <w:jc w:val="left"/>
            </w:pPr>
            <w:r>
              <w:rPr>
                <w:rFonts w:hint="eastAsia"/>
              </w:rPr>
              <w:t xml:space="preserve">产品</w:t>
            </w:r>
          </w:p>
        </w:tc>
        <w:tc>
          <w:tcPr/>
          <w:p>
            <w:pPr>
              <w:pStyle w:val="Compact"/>
              <w:jc w:val="center"/>
            </w:pPr>
            <w:r>
              <w:rPr>
                <w:rFonts w:hint="eastAsia"/>
              </w:rPr>
              <w:t xml:space="preserve">计划订购量</w:t>
            </w:r>
          </w:p>
        </w:tc>
        <w:tc>
          <w:tcPr/>
          <w:p>
            <w:pPr>
              <w:pStyle w:val="Compact"/>
              <w:jc w:val="center"/>
            </w:pPr>
            <w:r>
              <w:rPr>
                <w:rFonts w:hint="eastAsia"/>
              </w:rPr>
              <w:t xml:space="preserve">到岸单位成本</w:t>
            </w:r>
          </w:p>
        </w:tc>
        <w:tc>
          <w:tcPr/>
          <w:p>
            <w:pPr>
              <w:pStyle w:val="Compact"/>
              <w:jc w:val="center"/>
            </w:pPr>
            <w:r>
              <w:rPr>
                <w:rFonts w:hint="eastAsia"/>
              </w:rPr>
              <w:t xml:space="preserve">标准售价</w:t>
            </w:r>
          </w:p>
        </w:tc>
        <w:tc>
          <w:tcPr/>
          <w:p>
            <w:pPr>
              <w:pStyle w:val="Compact"/>
              <w:jc w:val="center"/>
            </w:pPr>
            <w:r>
              <w:rPr>
                <w:rFonts w:hint="eastAsia"/>
              </w:rPr>
              <w:t xml:space="preserve">预期假日需求</w:t>
            </w:r>
          </w:p>
        </w:tc>
        <w:tc>
          <w:tcPr/>
          <w:p>
            <w:pPr>
              <w:pStyle w:val="Compact"/>
              <w:jc w:val="center"/>
            </w:pPr>
            <w:r>
              <w:rPr>
                <w:rFonts w:hint="eastAsia"/>
              </w:rPr>
              <w:t xml:space="preserve">当前库存</w:t>
            </w:r>
          </w:p>
        </w:tc>
      </w:tr>
      <w:tr>
        <w:tc>
          <w:tcPr/>
          <w:p>
            <w:pPr>
              <w:pStyle w:val="Compact"/>
              <w:jc w:val="left"/>
            </w:pPr>
            <w:r>
              <w:t xml:space="preserve">PureAir Pro </w:t>
            </w:r>
            <w:r>
              <w:rPr>
                <w:rFonts w:hint="eastAsia"/>
              </w:rPr>
              <w:t xml:space="preserve">净化器</w:t>
            </w:r>
          </w:p>
        </w:tc>
        <w:tc>
          <w:tcPr/>
          <w:p>
            <w:pPr>
              <w:pStyle w:val="Compact"/>
              <w:jc w:val="center"/>
            </w:pPr>
            <w:r>
              <w:t xml:space="preserve">92,000</w:t>
            </w:r>
          </w:p>
        </w:tc>
        <w:tc>
          <w:tcPr/>
          <w:p>
            <w:pPr>
              <w:pStyle w:val="Compact"/>
              <w:jc w:val="center"/>
            </w:pPr>
            <w:r>
              <w:t xml:space="preserve">$142</w:t>
            </w:r>
          </w:p>
        </w:tc>
        <w:tc>
          <w:tcPr/>
          <w:p>
            <w:pPr>
              <w:pStyle w:val="Compact"/>
              <w:jc w:val="center"/>
            </w:pPr>
            <w:r>
              <w:t xml:space="preserve">$299</w:t>
            </w:r>
          </w:p>
        </w:tc>
        <w:tc>
          <w:tcPr/>
          <w:p>
            <w:pPr>
              <w:pStyle w:val="Compact"/>
              <w:jc w:val="center"/>
            </w:pPr>
            <w:r>
              <w:t xml:space="preserve">105,000</w:t>
            </w:r>
          </w:p>
        </w:tc>
        <w:tc>
          <w:tcPr/>
          <w:p>
            <w:pPr>
              <w:pStyle w:val="Compact"/>
              <w:jc w:val="center"/>
            </w:pPr>
            <w:r>
              <w:t xml:space="preserve">18,000</w:t>
            </w:r>
          </w:p>
        </w:tc>
      </w:tr>
      <w:tr>
        <w:tc>
          <w:tcPr/>
          <w:p>
            <w:pPr>
              <w:pStyle w:val="Compact"/>
              <w:jc w:val="left"/>
            </w:pPr>
            <w:r>
              <w:t xml:space="preserve">FrostBox </w:t>
            </w:r>
            <w:r>
              <w:rPr>
                <w:rFonts w:hint="eastAsia"/>
              </w:rPr>
              <w:t xml:space="preserve">制冰机</w:t>
            </w:r>
          </w:p>
        </w:tc>
        <w:tc>
          <w:tcPr/>
          <w:p>
            <w:pPr>
              <w:pStyle w:val="Compact"/>
              <w:jc w:val="center"/>
            </w:pPr>
            <w:r>
              <w:t xml:space="preserve">74,000</w:t>
            </w:r>
          </w:p>
        </w:tc>
        <w:tc>
          <w:tcPr/>
          <w:p>
            <w:pPr>
              <w:pStyle w:val="Compact"/>
              <w:jc w:val="center"/>
            </w:pPr>
            <w:r>
              <w:t xml:space="preserve">$118</w:t>
            </w:r>
          </w:p>
        </w:tc>
        <w:tc>
          <w:tcPr/>
          <w:p>
            <w:pPr>
              <w:pStyle w:val="Compact"/>
              <w:jc w:val="center"/>
            </w:pPr>
            <w:r>
              <w:t xml:space="preserve">$249</w:t>
            </w:r>
          </w:p>
        </w:tc>
        <w:tc>
          <w:tcPr/>
          <w:p>
            <w:pPr>
              <w:pStyle w:val="Compact"/>
              <w:jc w:val="center"/>
            </w:pPr>
            <w:r>
              <w:t xml:space="preserve">82,000</w:t>
            </w:r>
          </w:p>
        </w:tc>
        <w:tc>
          <w:tcPr/>
          <w:p>
            <w:pPr>
              <w:pStyle w:val="Compact"/>
              <w:jc w:val="center"/>
            </w:pPr>
            <w:r>
              <w:t xml:space="preserve">13,500</w:t>
            </w:r>
          </w:p>
        </w:tc>
      </w:tr>
      <w:tr>
        <w:tc>
          <w:tcPr/>
          <w:p>
            <w:pPr>
              <w:pStyle w:val="Compact"/>
              <w:jc w:val="left"/>
            </w:pPr>
            <w:r>
              <w:t xml:space="preserve">BreezeIQ </w:t>
            </w:r>
            <w:r>
              <w:rPr>
                <w:rFonts w:hint="eastAsia"/>
              </w:rPr>
              <w:t xml:space="preserve">智能风扇</w:t>
            </w:r>
          </w:p>
        </w:tc>
        <w:tc>
          <w:tcPr/>
          <w:p>
            <w:pPr>
              <w:pStyle w:val="Compact"/>
              <w:jc w:val="center"/>
            </w:pPr>
            <w:r>
              <w:t xml:space="preserve">65,000</w:t>
            </w:r>
          </w:p>
        </w:tc>
        <w:tc>
          <w:tcPr/>
          <w:p>
            <w:pPr>
              <w:pStyle w:val="Compact"/>
              <w:jc w:val="center"/>
            </w:pPr>
            <w:r>
              <w:t xml:space="preserve">$61</w:t>
            </w:r>
          </w:p>
        </w:tc>
        <w:tc>
          <w:tcPr/>
          <w:p>
            <w:pPr>
              <w:pStyle w:val="Compact"/>
              <w:jc w:val="center"/>
            </w:pPr>
            <w:r>
              <w:t xml:space="preserve">$139</w:t>
            </w:r>
          </w:p>
        </w:tc>
        <w:tc>
          <w:tcPr/>
          <w:p>
            <w:pPr>
              <w:pStyle w:val="Compact"/>
              <w:jc w:val="center"/>
            </w:pPr>
            <w:r>
              <w:t xml:space="preserve">52,000</w:t>
            </w:r>
          </w:p>
        </w:tc>
        <w:tc>
          <w:tcPr/>
          <w:p>
            <w:pPr>
              <w:pStyle w:val="Compact"/>
              <w:jc w:val="center"/>
            </w:pPr>
            <w:r>
              <w:t xml:space="preserve">21,000</w:t>
            </w:r>
          </w:p>
        </w:tc>
      </w:tr>
      <w:tr>
        <w:tc>
          <w:tcPr/>
          <w:p>
            <w:pPr>
              <w:pStyle w:val="Compact"/>
              <w:jc w:val="left"/>
            </w:pPr>
            <w:r>
              <w:t xml:space="preserve">HeatPoint </w:t>
            </w:r>
            <w:r>
              <w:rPr>
                <w:rFonts w:hint="eastAsia"/>
              </w:rPr>
              <w:t xml:space="preserve">电磁炉</w:t>
            </w:r>
          </w:p>
        </w:tc>
        <w:tc>
          <w:tcPr/>
          <w:p>
            <w:pPr>
              <w:pStyle w:val="Compact"/>
              <w:jc w:val="center"/>
            </w:pPr>
            <w:r>
              <w:t xml:space="preserve">48,000</w:t>
            </w:r>
          </w:p>
        </w:tc>
        <w:tc>
          <w:tcPr/>
          <w:p>
            <w:pPr>
              <w:pStyle w:val="Compact"/>
              <w:jc w:val="center"/>
            </w:pPr>
            <w:r>
              <w:t xml:space="preserve">$87</w:t>
            </w:r>
          </w:p>
        </w:tc>
        <w:tc>
          <w:tcPr/>
          <w:p>
            <w:pPr>
              <w:pStyle w:val="Compact"/>
              <w:jc w:val="center"/>
            </w:pPr>
            <w:r>
              <w:t xml:space="preserve">$189</w:t>
            </w:r>
          </w:p>
        </w:tc>
        <w:tc>
          <w:tcPr/>
          <w:p>
            <w:pPr>
              <w:pStyle w:val="Compact"/>
              <w:jc w:val="center"/>
            </w:pPr>
            <w:r>
              <w:t xml:space="preserve">55,000</w:t>
            </w:r>
          </w:p>
        </w:tc>
        <w:tc>
          <w:tcPr/>
          <w:p>
            <w:pPr>
              <w:pStyle w:val="Compact"/>
              <w:jc w:val="center"/>
            </w:pPr>
            <w:r>
              <w:t xml:space="preserve">9,000</w:t>
            </w:r>
          </w:p>
        </w:tc>
      </w:tr>
    </w:tbl>
    <w:p>
      <w:pPr>
        <w:pStyle w:val="BodyText"/>
      </w:pPr>
      <w:r>
        <w:rPr>
          <w:rFonts w:hint="eastAsia"/>
        </w:rPr>
        <w:t xml:space="preserve">需求预测并非一个单一数字。销售部门认为，如果烟雾状况恶化或计划中的网红营销活动取得成功，净化器销量可能超过</w:t>
      </w:r>
      <w:r>
        <w:t xml:space="preserve"> 125,000 </w:t>
      </w:r>
      <w:r>
        <w:rPr>
          <w:rFonts w:hint="eastAsia"/>
        </w:rPr>
        <w:t xml:space="preserve">台。财务部门则认为，如果消费支出减弱，90,000</w:t>
      </w:r>
      <w:r>
        <w:t xml:space="preserve"> </w:t>
      </w:r>
      <w:r>
        <w:rPr>
          <w:rFonts w:hint="eastAsia"/>
        </w:rPr>
        <w:t xml:space="preserve">台是合理的预估。零售商可在发货前四周取消最多</w:t>
      </w:r>
      <w:r>
        <w:t xml:space="preserve"> 20% </w:t>
      </w:r>
      <w:r>
        <w:rPr>
          <w:rFonts w:hint="eastAsia"/>
        </w:rPr>
        <w:t xml:space="preserve">的预订订单。在线需求毫无预警地出现，而客户在商品缺货时很少愿意等待。</w:t>
      </w:r>
    </w:p>
    <w:bookmarkEnd w:id="9"/>
    <w:bookmarkStart w:id="10" w:name="互相矛盾的信息"/>
    <w:p>
      <w:pPr>
        <w:pStyle w:val="Heading1"/>
      </w:pPr>
      <w:r>
        <w:rPr>
          <w:rFonts w:hint="eastAsia"/>
        </w:rPr>
        <w:t xml:space="preserve">互相矛盾的信息</w:t>
      </w:r>
    </w:p>
    <w:p>
      <w:pPr>
        <w:pStyle w:val="FirstParagraph"/>
      </w:pPr>
      <w:r>
        <w:rPr>
          <w:rFonts w:hint="eastAsia"/>
        </w:rPr>
        <w:t xml:space="preserve">公司的预测系统结合了历史销售数据、零售商订单、网站流量、价格、促销活动、天气指标以及产品经理的判断。品类层面的预测准确度已有所提高，但按产品和周划分的误差仍然很高。管理层对预测出错的原因存在分歧：是模型本身较弱，还是预测生成后营销计划发生了变化，抑或是库存短缺扭曲了用于训练模型的销售历史数据。</w:t>
      </w:r>
    </w:p>
    <w:tbl>
      <w:tblPr>
        <w:tblStyle w:val="Table"/>
        <w:tblW w:type="pct" w:w="4896"/>
        <w:tblLayout w:type="fixed"/>
        <w:tblLook w:firstRow="1" w:lastRow="0" w:firstColumn="0" w:lastColumn="0" w:noHBand="0" w:noVBand="0" w:val="0020"/>
      </w:tblPr>
      <w:tblGrid>
        <w:gridCol w:w="2805"/>
        <w:gridCol w:w="1237"/>
        <w:gridCol w:w="1237"/>
        <w:gridCol w:w="1237"/>
        <w:gridCol w:w="1237"/>
      </w:tblGrid>
      <w:tr>
        <w:trPr>
          <w:tblHeader w:val="on"/>
        </w:trPr>
        <w:tc>
          <w:tcPr/>
          <w:p>
            <w:pPr>
              <w:pStyle w:val="Compact"/>
              <w:jc w:val="left"/>
            </w:pPr>
            <w:r>
              <w:rPr>
                <w:rFonts w:hint="eastAsia"/>
              </w:rPr>
              <w:t xml:space="preserve">指标</w:t>
            </w:r>
          </w:p>
        </w:tc>
        <w:tc>
          <w:tcPr/>
          <w:p>
            <w:pPr>
              <w:pStyle w:val="Compact"/>
              <w:jc w:val="center"/>
            </w:pPr>
            <w:r>
              <w:t xml:space="preserve">PureAir</w:t>
            </w:r>
          </w:p>
        </w:tc>
        <w:tc>
          <w:tcPr/>
          <w:p>
            <w:pPr>
              <w:pStyle w:val="Compact"/>
              <w:jc w:val="center"/>
            </w:pPr>
            <w:r>
              <w:t xml:space="preserve">FrostBox</w:t>
            </w:r>
          </w:p>
        </w:tc>
        <w:tc>
          <w:tcPr/>
          <w:p>
            <w:pPr>
              <w:pStyle w:val="Compact"/>
              <w:jc w:val="center"/>
            </w:pPr>
            <w:r>
              <w:t xml:space="preserve">BreezeIQ</w:t>
            </w:r>
          </w:p>
        </w:tc>
        <w:tc>
          <w:tcPr/>
          <w:p>
            <w:pPr>
              <w:pStyle w:val="Compact"/>
              <w:jc w:val="center"/>
            </w:pPr>
            <w:r>
              <w:t xml:space="preserve">HeatPoint</w:t>
            </w:r>
          </w:p>
        </w:tc>
      </w:tr>
      <w:tr>
        <w:tc>
          <w:tcPr/>
          <w:p>
            <w:pPr>
              <w:pStyle w:val="Compact"/>
              <w:jc w:val="left"/>
            </w:pPr>
            <w:r>
              <w:rPr>
                <w:rFonts w:hint="eastAsia"/>
              </w:rPr>
              <w:t xml:space="preserve">过去12个月预测误差</w:t>
            </w:r>
          </w:p>
        </w:tc>
        <w:tc>
          <w:tcPr/>
          <w:p>
            <w:pPr>
              <w:pStyle w:val="Compact"/>
              <w:jc w:val="center"/>
            </w:pPr>
            <w:r>
              <w:t xml:space="preserve">24%</w:t>
            </w:r>
          </w:p>
        </w:tc>
        <w:tc>
          <w:tcPr/>
          <w:p>
            <w:pPr>
              <w:pStyle w:val="Compact"/>
              <w:jc w:val="center"/>
            </w:pPr>
            <w:r>
              <w:t xml:space="preserve">31%</w:t>
            </w:r>
          </w:p>
        </w:tc>
        <w:tc>
          <w:tcPr/>
          <w:p>
            <w:pPr>
              <w:pStyle w:val="Compact"/>
              <w:jc w:val="center"/>
            </w:pPr>
            <w:r>
              <w:t xml:space="preserve">38%</w:t>
            </w:r>
          </w:p>
        </w:tc>
        <w:tc>
          <w:tcPr/>
          <w:p>
            <w:pPr>
              <w:pStyle w:val="Compact"/>
              <w:jc w:val="center"/>
            </w:pPr>
            <w:r>
              <w:t xml:space="preserve">27%</w:t>
            </w:r>
          </w:p>
        </w:tc>
      </w:tr>
      <w:tr>
        <w:tc>
          <w:tcPr/>
          <w:p>
            <w:pPr>
              <w:pStyle w:val="Compact"/>
              <w:jc w:val="left"/>
            </w:pPr>
            <w:r>
              <w:rPr>
                <w:rFonts w:hint="eastAsia"/>
              </w:rPr>
              <w:t xml:space="preserve">供应商报价交付周期</w:t>
            </w:r>
          </w:p>
        </w:tc>
        <w:tc>
          <w:tcPr/>
          <w:p>
            <w:pPr>
              <w:pStyle w:val="Compact"/>
              <w:jc w:val="center"/>
            </w:pPr>
            <w:r>
              <w:t xml:space="preserve">8 </w:t>
            </w:r>
            <w:r>
              <w:rPr>
                <w:rFonts w:hint="eastAsia"/>
              </w:rPr>
              <w:t xml:space="preserve">周</w:t>
            </w:r>
          </w:p>
        </w:tc>
        <w:tc>
          <w:tcPr/>
          <w:p>
            <w:pPr>
              <w:pStyle w:val="Compact"/>
              <w:jc w:val="center"/>
            </w:pPr>
            <w:r>
              <w:t xml:space="preserve">9 </w:t>
            </w:r>
            <w:r>
              <w:rPr>
                <w:rFonts w:hint="eastAsia"/>
              </w:rPr>
              <w:t xml:space="preserve">周</w:t>
            </w:r>
          </w:p>
        </w:tc>
        <w:tc>
          <w:tcPr/>
          <w:p>
            <w:pPr>
              <w:pStyle w:val="Compact"/>
              <w:jc w:val="center"/>
            </w:pPr>
            <w:r>
              <w:t xml:space="preserve">7 </w:t>
            </w:r>
            <w:r>
              <w:rPr>
                <w:rFonts w:hint="eastAsia"/>
              </w:rPr>
              <w:t xml:space="preserve">周</w:t>
            </w:r>
          </w:p>
        </w:tc>
        <w:tc>
          <w:tcPr/>
          <w:p>
            <w:pPr>
              <w:pStyle w:val="Compact"/>
              <w:jc w:val="center"/>
            </w:pPr>
            <w:r>
              <w:t xml:space="preserve">10 </w:t>
            </w:r>
            <w:r>
              <w:rPr>
                <w:rFonts w:hint="eastAsia"/>
              </w:rPr>
              <w:t xml:space="preserve">周</w:t>
            </w:r>
          </w:p>
        </w:tc>
      </w:tr>
      <w:tr>
        <w:tc>
          <w:tcPr/>
          <w:p>
            <w:pPr>
              <w:pStyle w:val="Compact"/>
              <w:jc w:val="left"/>
            </w:pPr>
            <w:r>
              <w:rPr>
                <w:rFonts w:hint="eastAsia"/>
              </w:rPr>
              <w:t xml:space="preserve">去年观察到的区间</w:t>
            </w:r>
          </w:p>
        </w:tc>
        <w:tc>
          <w:tcPr/>
          <w:p>
            <w:pPr>
              <w:pStyle w:val="Compact"/>
              <w:jc w:val="center"/>
            </w:pPr>
            <w:r>
              <w:t xml:space="preserve">7–14 </w:t>
            </w:r>
            <w:r>
              <w:rPr>
                <w:rFonts w:hint="eastAsia"/>
              </w:rPr>
              <w:t xml:space="preserve">周</w:t>
            </w:r>
          </w:p>
        </w:tc>
        <w:tc>
          <w:tcPr/>
          <w:p>
            <w:pPr>
              <w:pStyle w:val="Compact"/>
              <w:jc w:val="center"/>
            </w:pPr>
            <w:r>
              <w:t xml:space="preserve">8–13 </w:t>
            </w:r>
            <w:r>
              <w:rPr>
                <w:rFonts w:hint="eastAsia"/>
              </w:rPr>
              <w:t xml:space="preserve">周</w:t>
            </w:r>
          </w:p>
        </w:tc>
        <w:tc>
          <w:tcPr/>
          <w:p>
            <w:pPr>
              <w:pStyle w:val="Compact"/>
              <w:jc w:val="center"/>
            </w:pPr>
            <w:r>
              <w:t xml:space="preserve">6–11 </w:t>
            </w:r>
            <w:r>
              <w:rPr>
                <w:rFonts w:hint="eastAsia"/>
              </w:rPr>
              <w:t xml:space="preserve">周</w:t>
            </w:r>
          </w:p>
        </w:tc>
        <w:tc>
          <w:tcPr/>
          <w:p>
            <w:pPr>
              <w:pStyle w:val="Compact"/>
              <w:jc w:val="center"/>
            </w:pPr>
            <w:r>
              <w:t xml:space="preserve">9–16 </w:t>
            </w:r>
            <w:r>
              <w:rPr>
                <w:rFonts w:hint="eastAsia"/>
              </w:rPr>
              <w:t xml:space="preserve">周</w:t>
            </w:r>
          </w:p>
        </w:tc>
      </w:tr>
      <w:tr>
        <w:tc>
          <w:tcPr/>
          <w:p>
            <w:pPr>
              <w:pStyle w:val="Compact"/>
              <w:jc w:val="left"/>
            </w:pPr>
            <w:r>
              <w:rPr>
                <w:rFonts w:hint="eastAsia"/>
              </w:rPr>
              <w:t xml:space="preserve">标价下的毛利率</w:t>
            </w:r>
          </w:p>
        </w:tc>
        <w:tc>
          <w:tcPr/>
          <w:p>
            <w:pPr>
              <w:pStyle w:val="Compact"/>
              <w:jc w:val="center"/>
            </w:pPr>
            <w:r>
              <w:t xml:space="preserve">52%</w:t>
            </w:r>
          </w:p>
        </w:tc>
        <w:tc>
          <w:tcPr/>
          <w:p>
            <w:pPr>
              <w:pStyle w:val="Compact"/>
              <w:jc w:val="center"/>
            </w:pPr>
            <w:r>
              <w:t xml:space="preserve">49%</w:t>
            </w:r>
          </w:p>
        </w:tc>
        <w:tc>
          <w:tcPr/>
          <w:p>
            <w:pPr>
              <w:pStyle w:val="Compact"/>
              <w:jc w:val="center"/>
            </w:pPr>
            <w:r>
              <w:t xml:space="preserve">56%</w:t>
            </w:r>
          </w:p>
        </w:tc>
        <w:tc>
          <w:tcPr/>
          <w:p>
            <w:pPr>
              <w:pStyle w:val="Compact"/>
              <w:jc w:val="center"/>
            </w:pPr>
            <w:r>
              <w:t xml:space="preserve">50%</w:t>
            </w:r>
          </w:p>
        </w:tc>
      </w:tr>
      <w:tr>
        <w:tc>
          <w:tcPr/>
          <w:p>
            <w:pPr>
              <w:pStyle w:val="Compact"/>
              <w:jc w:val="left"/>
            </w:pPr>
            <w:r>
              <w:rPr>
                <w:rFonts w:hint="eastAsia"/>
              </w:rPr>
              <w:t xml:space="preserve">预期退货率</w:t>
            </w:r>
          </w:p>
        </w:tc>
        <w:tc>
          <w:tcPr/>
          <w:p>
            <w:pPr>
              <w:pStyle w:val="Compact"/>
              <w:jc w:val="center"/>
            </w:pPr>
            <w:r>
              <w:t xml:space="preserve">5.1%</w:t>
            </w:r>
          </w:p>
        </w:tc>
        <w:tc>
          <w:tcPr/>
          <w:p>
            <w:pPr>
              <w:pStyle w:val="Compact"/>
              <w:jc w:val="center"/>
            </w:pPr>
            <w:r>
              <w:t xml:space="preserve">7.8%</w:t>
            </w:r>
          </w:p>
        </w:tc>
        <w:tc>
          <w:tcPr/>
          <w:p>
            <w:pPr>
              <w:pStyle w:val="Compact"/>
              <w:jc w:val="center"/>
            </w:pPr>
            <w:r>
              <w:t xml:space="preserve">4.2%</w:t>
            </w:r>
          </w:p>
        </w:tc>
        <w:tc>
          <w:tcPr/>
          <w:p>
            <w:pPr>
              <w:pStyle w:val="Compact"/>
              <w:jc w:val="center"/>
            </w:pPr>
            <w:r>
              <w:t xml:space="preserve">6.4%</w:t>
            </w:r>
          </w:p>
        </w:tc>
      </w:tr>
    </w:tbl>
    <w:p>
      <w:pPr>
        <w:pStyle w:val="BodyText"/>
      </w:pPr>
      <w:r>
        <w:rPr>
          <w:rFonts w:hint="eastAsia"/>
        </w:rPr>
        <w:t xml:space="preserve">库存记录中也存在噪声。季度实物盘点发现各仓库的差异幅度在</w:t>
      </w:r>
      <w:r>
        <w:t xml:space="preserve"> 1.3% </w:t>
      </w:r>
      <w:r>
        <w:rPr>
          <w:rFonts w:hint="eastAsia"/>
        </w:rPr>
        <w:t xml:space="preserve">到</w:t>
      </w:r>
      <w:r>
        <w:t xml:space="preserve"> 3.8% </w:t>
      </w:r>
      <w:r>
        <w:rPr>
          <w:rFonts w:hint="eastAsia"/>
        </w:rPr>
        <w:t xml:space="preserve">之间。部分商品受损、退货后未被正确分类，或被预留用于后来取消的零售商促销活动。运营团队希望安装额外的扫描和货运可视化技术，但这个耗资</w:t>
      </w:r>
      <w:r>
        <w:t xml:space="preserve"> 120 </w:t>
      </w:r>
      <w:r>
        <w:rPr>
          <w:rFonts w:hint="eastAsia"/>
        </w:rPr>
        <w:t xml:space="preserve">万美元的项目不会对</w:t>
      </w:r>
      <w:r>
        <w:t xml:space="preserve"> 8 </w:t>
      </w:r>
      <w:r>
        <w:rPr>
          <w:rFonts w:hint="eastAsia"/>
        </w:rPr>
        <w:t xml:space="preserve">月份的采购决策产生实质性影响。</w:t>
      </w:r>
    </w:p>
    <w:bookmarkEnd w:id="10"/>
    <w:bookmarkStart w:id="11" w:name="供应选择"/>
    <w:p>
      <w:pPr>
        <w:pStyle w:val="Heading1"/>
      </w:pPr>
      <w:r>
        <w:rPr>
          <w:rFonts w:hint="eastAsia"/>
        </w:rPr>
        <w:t xml:space="preserve">供应选择</w:t>
      </w:r>
    </w:p>
    <w:p>
      <w:pPr>
        <w:pStyle w:val="FirstParagraph"/>
      </w:pPr>
      <w:r>
        <w:rPr>
          <w:rFonts w:hint="eastAsia"/>
        </w:rPr>
        <w:t xml:space="preserve">北星的主要供应商提供最低的单位成本，但要求以整箱数量下大额订单。墨西哥的一家备用制造商可以以四周的交付周期生产两款产品，但其成本高出</w:t>
      </w:r>
      <w:r>
        <w:t xml:space="preserve"> 16% </w:t>
      </w:r>
      <w:r>
        <w:rPr>
          <w:rFonts w:hint="eastAsia"/>
        </w:rPr>
        <w:t xml:space="preserve">到</w:t>
      </w:r>
      <w:r>
        <w:t xml:space="preserve"> </w:t>
      </w:r>
      <w:r>
        <w:rPr>
          <w:rFonts w:hint="eastAsia"/>
        </w:rPr>
        <w:t xml:space="preserve">22%，且初始良品率尚不确定。一家波兰供应商提供一款高端净化器，质量表现出色，但汇率波动和欧洲运输中断可能改变到岸成本。</w:t>
      </w:r>
    </w:p>
    <w:p>
      <w:pPr>
        <w:pStyle w:val="BodyText"/>
      </w:pPr>
      <w:r>
        <w:rPr>
          <w:rFonts w:hint="eastAsia"/>
        </w:rPr>
        <w:t xml:space="preserve">运输选择又增加了一层复杂性。海运服务成本最低，但港口拥堵、风暴、设备故障、劳工行动和海关检查都可能导致延误。从西海岸到北星中央配送中心的铁路运输比整车卡车运输便宜，但速度更慢、也更难预测。空运能够在缺货时救急，尽管每单位会增加</w:t>
      </w:r>
      <w:r>
        <w:t xml:space="preserve"> 34 </w:t>
      </w:r>
      <w:r>
        <w:rPr>
          <w:rFonts w:hint="eastAsia"/>
        </w:rPr>
        <w:t xml:space="preserve">到</w:t>
      </w:r>
      <w:r>
        <w:t xml:space="preserve"> 57 </w:t>
      </w:r>
      <w:r>
        <w:rPr>
          <w:rFonts w:hint="eastAsia"/>
        </w:rPr>
        <w:t xml:space="preserve">美元的成本，且运力不足以支撑整个季节性订单。</w:t>
      </w:r>
    </w:p>
    <w:tbl>
      <w:tblPr>
        <w:tblStyle w:val="Table"/>
        <w:tblW w:type="pct" w:w="4920"/>
        <w:tblLayout w:type="fixed"/>
        <w:tblLook w:firstRow="1" w:lastRow="0" w:firstColumn="0" w:lastColumn="0" w:noHBand="0" w:noVBand="0" w:val="0020"/>
      </w:tblPr>
      <w:tblGrid>
        <w:gridCol w:w="1964"/>
        <w:gridCol w:w="1584"/>
        <w:gridCol w:w="1584"/>
        <w:gridCol w:w="2661"/>
      </w:tblGrid>
      <w:tr>
        <w:trPr>
          <w:tblHeader w:val="on"/>
        </w:trPr>
        <w:tc>
          <w:tcPr/>
          <w:p>
            <w:pPr>
              <w:pStyle w:val="Compact"/>
              <w:jc w:val="left"/>
            </w:pPr>
            <w:r>
              <w:rPr>
                <w:rFonts w:hint="eastAsia"/>
              </w:rPr>
              <w:t xml:space="preserve">方案</w:t>
            </w:r>
          </w:p>
        </w:tc>
        <w:tc>
          <w:tcPr/>
          <w:p>
            <w:pPr>
              <w:pStyle w:val="Compact"/>
              <w:jc w:val="center"/>
            </w:pPr>
            <w:r>
              <w:rPr>
                <w:rFonts w:hint="eastAsia"/>
              </w:rPr>
              <w:t xml:space="preserve">增量成本</w:t>
            </w:r>
          </w:p>
        </w:tc>
        <w:tc>
          <w:tcPr/>
          <w:p>
            <w:pPr>
              <w:pStyle w:val="Compact"/>
              <w:jc w:val="left"/>
            </w:pPr>
            <w:r>
              <w:rPr>
                <w:rFonts w:hint="eastAsia"/>
              </w:rPr>
              <w:t xml:space="preserve">典型时长</w:t>
            </w:r>
          </w:p>
        </w:tc>
        <w:tc>
          <w:tcPr/>
          <w:p>
            <w:pPr>
              <w:pStyle w:val="Compact"/>
              <w:jc w:val="left"/>
            </w:pPr>
            <w:r>
              <w:rPr>
                <w:rFonts w:hint="eastAsia"/>
              </w:rPr>
              <w:t xml:space="preserve">主要顾虑</w:t>
            </w:r>
          </w:p>
        </w:tc>
      </w:tr>
      <w:tr>
        <w:tc>
          <w:tcPr/>
          <w:p>
            <w:pPr>
              <w:pStyle w:val="Compact"/>
              <w:jc w:val="left"/>
            </w:pPr>
            <w:r>
              <w:rPr>
                <w:rFonts w:hint="eastAsia"/>
              </w:rPr>
              <w:t xml:space="preserve">主要亚洲供应商</w:t>
            </w:r>
          </w:p>
        </w:tc>
        <w:tc>
          <w:tcPr/>
          <w:p>
            <w:pPr>
              <w:pStyle w:val="Compact"/>
              <w:jc w:val="center"/>
            </w:pPr>
            <w:r>
              <w:rPr>
                <w:rFonts w:hint="eastAsia"/>
              </w:rPr>
              <w:t xml:space="preserve">基准</w:t>
            </w:r>
          </w:p>
        </w:tc>
        <w:tc>
          <w:tcPr/>
          <w:p>
            <w:pPr>
              <w:pStyle w:val="Compact"/>
              <w:jc w:val="left"/>
            </w:pPr>
            <w:r>
              <w:t xml:space="preserve">7–11 </w:t>
            </w:r>
            <w:r>
              <w:rPr>
                <w:rFonts w:hint="eastAsia"/>
              </w:rPr>
              <w:t xml:space="preserve">周</w:t>
            </w:r>
          </w:p>
        </w:tc>
        <w:tc>
          <w:tcPr/>
          <w:p>
            <w:pPr>
              <w:pStyle w:val="Compact"/>
              <w:jc w:val="left"/>
            </w:pPr>
            <w:r>
              <w:rPr>
                <w:rFonts w:hint="eastAsia"/>
              </w:rPr>
              <w:t xml:space="preserve">长期承诺与中断风险敞口</w:t>
            </w:r>
          </w:p>
        </w:tc>
      </w:tr>
      <w:tr>
        <w:tc>
          <w:tcPr/>
          <w:p>
            <w:pPr>
              <w:pStyle w:val="Compact"/>
              <w:jc w:val="left"/>
            </w:pPr>
            <w:r>
              <w:rPr>
                <w:rFonts w:hint="eastAsia"/>
              </w:rPr>
              <w:t xml:space="preserve">墨西哥备用供应商</w:t>
            </w:r>
          </w:p>
        </w:tc>
        <w:tc>
          <w:tcPr/>
          <w:p>
            <w:pPr>
              <w:pStyle w:val="Compact"/>
              <w:jc w:val="center"/>
            </w:pPr>
            <w:r>
              <w:t xml:space="preserve">+16% </w:t>
            </w:r>
            <w:r>
              <w:rPr>
                <w:rFonts w:hint="eastAsia"/>
              </w:rPr>
              <w:t xml:space="preserve">至</w:t>
            </w:r>
            <w:r>
              <w:t xml:space="preserve"> +22%</w:t>
            </w:r>
          </w:p>
        </w:tc>
        <w:tc>
          <w:tcPr/>
          <w:p>
            <w:pPr>
              <w:pStyle w:val="Compact"/>
              <w:jc w:val="left"/>
            </w:pPr>
            <w:r>
              <w:t xml:space="preserve">4–6 </w:t>
            </w:r>
            <w:r>
              <w:rPr>
                <w:rFonts w:hint="eastAsia"/>
              </w:rPr>
              <w:t xml:space="preserve">周</w:t>
            </w:r>
          </w:p>
        </w:tc>
        <w:tc>
          <w:tcPr/>
          <w:p>
            <w:pPr>
              <w:pStyle w:val="Compact"/>
              <w:jc w:val="left"/>
            </w:pPr>
            <w:r>
              <w:rPr>
                <w:rFonts w:hint="eastAsia"/>
              </w:rPr>
              <w:t xml:space="preserve">良品率与产能有限</w:t>
            </w:r>
          </w:p>
        </w:tc>
      </w:tr>
      <w:tr>
        <w:tc>
          <w:tcPr/>
          <w:p>
            <w:pPr>
              <w:pStyle w:val="Compact"/>
              <w:jc w:val="left"/>
            </w:pPr>
            <w:r>
              <w:rPr>
                <w:rFonts w:hint="eastAsia"/>
              </w:rPr>
              <w:t xml:space="preserve">空运储备</w:t>
            </w:r>
          </w:p>
        </w:tc>
        <w:tc>
          <w:tcPr/>
          <w:p>
            <w:pPr>
              <w:pStyle w:val="Compact"/>
              <w:jc w:val="center"/>
            </w:pPr>
            <w:r>
              <w:t xml:space="preserve">+$34 </w:t>
            </w:r>
            <w:r>
              <w:rPr>
                <w:rFonts w:hint="eastAsia"/>
              </w:rPr>
              <w:t xml:space="preserve">至</w:t>
            </w:r>
            <w:r>
              <w:t xml:space="preserve"> </w:t>
            </w:r>
            <w:r>
              <w:rPr>
                <w:rFonts w:hint="eastAsia"/>
              </w:rPr>
              <w:t xml:space="preserve">$57/单位</w:t>
            </w:r>
          </w:p>
        </w:tc>
        <w:tc>
          <w:tcPr/>
          <w:p>
            <w:pPr>
              <w:pStyle w:val="Compact"/>
              <w:jc w:val="left"/>
            </w:pPr>
            <w:r>
              <w:t xml:space="preserve">4–8 </w:t>
            </w:r>
            <w:r>
              <w:rPr>
                <w:rFonts w:hint="eastAsia"/>
              </w:rPr>
              <w:t xml:space="preserve">天</w:t>
            </w:r>
          </w:p>
        </w:tc>
        <w:tc>
          <w:tcPr/>
          <w:p>
            <w:pPr>
              <w:pStyle w:val="Compact"/>
              <w:jc w:val="left"/>
            </w:pPr>
            <w:r>
              <w:rPr>
                <w:rFonts w:hint="eastAsia"/>
              </w:rPr>
              <w:t xml:space="preserve">成本高且运力有限</w:t>
            </w:r>
          </w:p>
        </w:tc>
      </w:tr>
      <w:tr>
        <w:tc>
          <w:tcPr/>
          <w:p>
            <w:pPr>
              <w:pStyle w:val="Compact"/>
              <w:jc w:val="left"/>
            </w:pPr>
            <w:r>
              <w:rPr>
                <w:rFonts w:hint="eastAsia"/>
              </w:rPr>
              <w:t xml:space="preserve">额外的国内缓冲库存</w:t>
            </w:r>
          </w:p>
        </w:tc>
        <w:tc>
          <w:tcPr/>
          <w:p>
            <w:pPr>
              <w:pStyle w:val="Compact"/>
              <w:jc w:val="center"/>
            </w:pPr>
            <w:r>
              <w:rPr>
                <w:rFonts w:hint="eastAsia"/>
              </w:rPr>
              <w:t xml:space="preserve">580万美元营运资金</w:t>
            </w:r>
          </w:p>
        </w:tc>
        <w:tc>
          <w:tcPr/>
          <w:p>
            <w:pPr>
              <w:pStyle w:val="Compact"/>
              <w:jc w:val="left"/>
            </w:pPr>
            <w:r>
              <w:rPr>
                <w:rFonts w:hint="eastAsia"/>
              </w:rPr>
              <w:t xml:space="preserve">即时可用</w:t>
            </w:r>
          </w:p>
        </w:tc>
        <w:tc>
          <w:tcPr/>
          <w:p>
            <w:pPr>
              <w:pStyle w:val="Compact"/>
              <w:jc w:val="left"/>
            </w:pPr>
            <w:r>
              <w:rPr>
                <w:rFonts w:hint="eastAsia"/>
              </w:rPr>
              <w:t xml:space="preserve">过时风险与仓储空间</w:t>
            </w:r>
          </w:p>
        </w:tc>
      </w:tr>
      <w:tr>
        <w:tc>
          <w:tcPr/>
          <w:p>
            <w:pPr>
              <w:pStyle w:val="Compact"/>
              <w:jc w:val="left"/>
            </w:pPr>
            <w:r>
              <w:rPr>
                <w:rFonts w:hint="eastAsia"/>
              </w:rPr>
              <w:t xml:space="preserve">货运可视化平台</w:t>
            </w:r>
          </w:p>
        </w:tc>
        <w:tc>
          <w:tcPr/>
          <w:p>
            <w:pPr>
              <w:pStyle w:val="Compact"/>
              <w:jc w:val="center"/>
            </w:pPr>
            <w:r>
              <w:rPr>
                <w:rFonts w:hint="eastAsia"/>
              </w:rPr>
              <w:t xml:space="preserve">120万美元建设费+使用费</w:t>
            </w:r>
          </w:p>
        </w:tc>
        <w:tc>
          <w:tcPr/>
          <w:p>
            <w:pPr>
              <w:pStyle w:val="Compact"/>
              <w:jc w:val="left"/>
            </w:pPr>
            <w:r>
              <w:rPr>
                <w:rFonts w:hint="eastAsia"/>
              </w:rPr>
              <w:t xml:space="preserve">6个月实施周期</w:t>
            </w:r>
          </w:p>
        </w:tc>
        <w:tc>
          <w:tcPr/>
          <w:p>
            <w:pPr>
              <w:pStyle w:val="Compact"/>
              <w:jc w:val="left"/>
            </w:pPr>
            <w:r>
              <w:rPr>
                <w:rFonts w:hint="eastAsia"/>
              </w:rPr>
              <w:t xml:space="preserve">收益在假日决策之后才会显现</w:t>
            </w:r>
          </w:p>
        </w:tc>
      </w:tr>
    </w:tbl>
    <w:p>
      <w:pPr>
        <w:pStyle w:val="BodyText"/>
      </w:pPr>
      <w:r>
        <w:rPr>
          <w:rFonts w:hint="eastAsia"/>
        </w:rPr>
        <w:t xml:space="preserve">采购部门提议将订单分散到多家供应商。质量负责人警告称，增加供应商会带来检验工作量、组件不一致以及更高的退货概率。财务部门则认为，只有在中断期间备用供应商确实能够供货时，多元化才有价值。商务团队担心，成本上升会迫使公司在竞争对手准备假日促销活动之际提高价格。</w:t>
      </w:r>
    </w:p>
    <w:bookmarkEnd w:id="11"/>
    <w:bookmarkStart w:id="12" w:name="管理需求还是损害品牌"/>
    <w:p>
      <w:pPr>
        <w:pStyle w:val="Heading1"/>
      </w:pPr>
      <w:r>
        <w:rPr>
          <w:rFonts w:hint="eastAsia"/>
        </w:rPr>
        <w:t xml:space="preserve">管理需求——还是损害品牌</w:t>
      </w:r>
    </w:p>
    <w:p>
      <w:pPr>
        <w:pStyle w:val="FirstParagraph"/>
      </w:pPr>
      <w:r>
        <w:rPr>
          <w:rFonts w:hint="eastAsia"/>
        </w:rPr>
        <w:t xml:space="preserve">首席营销官提议利用价格和促销日程来帮助平衡产品供应。如果净化器库存看起来紧张，北星可以减少广告投放、提高线上价格，或将库存预留给长期合作关系最牢固的零售商。如果风扇积压过多，则可以提供优惠券、捆绑销售或付费社交媒体活动。然而，每种行动都有其后果。提价可能保护库存但会降低市场份额；折扣可能清空库存，但会让顾客养成等待促销的习惯。</w:t>
      </w:r>
    </w:p>
    <w:p>
      <w:pPr>
        <w:pStyle w:val="BodyText"/>
      </w:pPr>
      <w:r>
        <w:rPr>
          <w:rFonts w:hint="eastAsia"/>
        </w:rPr>
        <w:t xml:space="preserve">零售合同使分配问题更加复杂。两家全国连锁店要求至少</w:t>
      </w:r>
      <w:r>
        <w:t xml:space="preserve"> 95% </w:t>
      </w:r>
      <w:r>
        <w:rPr>
          <w:rFonts w:hint="eastAsia"/>
        </w:rPr>
        <w:t xml:space="preserve">的准时足量交付率，并可能因缺货而处以罚款。北星的网站产生更高的利润率并能即时获取需求信息，但将库存转向直销可能损害与零售商的关系。较小的经销商则抱怨，由于大客户获得优先供应，他们经常无法获得畅销产品。</w:t>
      </w:r>
    </w:p>
    <w:tbl>
      <w:tblPr>
        <w:tblStyle w:val="Table"/>
        <w:tblW w:type="pct" w:w="4908"/>
        <w:tblLayout w:type="fixed"/>
        <w:tblLook w:firstRow="1" w:lastRow="0" w:firstColumn="0" w:lastColumn="0" w:noHBand="0" w:noVBand="0" w:val="0020"/>
      </w:tblPr>
      <w:tblGrid>
        <w:gridCol w:w="2906"/>
        <w:gridCol w:w="2107"/>
        <w:gridCol w:w="2761"/>
      </w:tblGrid>
      <w:tr>
        <w:trPr>
          <w:tblHeader w:val="on"/>
        </w:trPr>
        <w:tc>
          <w:tcPr/>
          <w:p>
            <w:pPr>
              <w:pStyle w:val="Compact"/>
              <w:jc w:val="left"/>
            </w:pPr>
            <w:r>
              <w:rPr>
                <w:rFonts w:hint="eastAsia"/>
              </w:rPr>
              <w:t xml:space="preserve">潜在措施</w:t>
            </w:r>
          </w:p>
        </w:tc>
        <w:tc>
          <w:tcPr/>
          <w:p>
            <w:pPr>
              <w:pStyle w:val="Compact"/>
            </w:pPr>
            <w:r>
              <w:rPr>
                <w:rFonts w:hint="eastAsia"/>
              </w:rPr>
              <w:t xml:space="preserve">预计短期影响</w:t>
            </w:r>
            <w:r>
              <w:t xml:space="preserve"> </w:t>
            </w:r>
            <w:r>
              <w:rPr>
                <w:rFonts w:hint="eastAsia"/>
              </w:rPr>
              <w:t xml:space="preserve">管</w:t>
            </w:r>
          </w:p>
        </w:tc>
        <w:tc>
          <w:tcPr/>
          <w:p>
            <w:pPr>
              <w:pStyle w:val="Compact"/>
              <w:jc w:val="left"/>
            </w:pPr>
            <w:r>
              <w:rPr>
                <w:rFonts w:hint="eastAsia"/>
              </w:rPr>
              <w:t xml:space="preserve">理层提出的顾虑</w:t>
            </w:r>
          </w:p>
        </w:tc>
      </w:tr>
      <w:tr>
        <w:tc>
          <w:tcPr/>
          <w:p>
            <w:pPr>
              <w:pStyle w:val="Compact"/>
              <w:jc w:val="left"/>
            </w:pPr>
            <w:r>
              <w:rPr>
                <w:rFonts w:hint="eastAsia"/>
              </w:rPr>
              <w:t xml:space="preserve">将净化器价格提高</w:t>
            </w:r>
            <w:r>
              <w:t xml:space="preserve"> 20 </w:t>
            </w:r>
            <w:r>
              <w:rPr>
                <w:rFonts w:hint="eastAsia"/>
              </w:rPr>
              <w:t xml:space="preserve">美元</w:t>
            </w:r>
          </w:p>
        </w:tc>
        <w:tc>
          <w:tcPr/>
          <w:p>
            <w:pPr>
              <w:pStyle w:val="Compact"/>
            </w:pPr>
            <w:r>
              <w:rPr>
                <w:rFonts w:hint="eastAsia"/>
              </w:rPr>
              <w:t xml:space="preserve">需求下降</w:t>
            </w:r>
            <w:r>
              <w:t xml:space="preserve"> 7%–15%</w:t>
            </w:r>
          </w:p>
        </w:tc>
        <w:tc>
          <w:tcPr/>
          <w:p>
            <w:pPr>
              <w:pStyle w:val="Compact"/>
              <w:jc w:val="left"/>
            </w:pPr>
            <w:r>
              <w:rPr>
                <w:rFonts w:hint="eastAsia"/>
              </w:rPr>
              <w:t xml:space="preserve">竞争对手可能抢走客户</w:t>
            </w:r>
          </w:p>
        </w:tc>
      </w:tr>
      <w:tr>
        <w:tc>
          <w:tcPr/>
          <w:p>
            <w:pPr>
              <w:pStyle w:val="Compact"/>
              <w:jc w:val="left"/>
            </w:pPr>
            <w:r>
              <w:rPr>
                <w:rFonts w:hint="eastAsia"/>
              </w:rPr>
              <w:t xml:space="preserve">提供</w:t>
            </w:r>
            <w:r>
              <w:t xml:space="preserve"> 20% </w:t>
            </w:r>
            <w:r>
              <w:rPr>
                <w:rFonts w:hint="eastAsia"/>
              </w:rPr>
              <w:t xml:space="preserve">的风扇促销</w:t>
            </w:r>
          </w:p>
        </w:tc>
        <w:tc>
          <w:tcPr/>
          <w:p>
            <w:pPr>
              <w:pStyle w:val="Compact"/>
            </w:pPr>
            <w:r>
              <w:rPr>
                <w:rFonts w:hint="eastAsia"/>
              </w:rPr>
              <w:t xml:space="preserve">需求上升</w:t>
            </w:r>
            <w:r>
              <w:t xml:space="preserve"> 18%–35%</w:t>
            </w:r>
          </w:p>
        </w:tc>
        <w:tc>
          <w:tcPr/>
          <w:p>
            <w:pPr>
              <w:pStyle w:val="Compact"/>
              <w:jc w:val="left"/>
            </w:pPr>
            <w:r>
              <w:rPr>
                <w:rFonts w:hint="eastAsia"/>
              </w:rPr>
              <w:t xml:space="preserve">利润损失；影响未来参考价格</w:t>
            </w:r>
          </w:p>
        </w:tc>
      </w:tr>
      <w:tr>
        <w:tc>
          <w:tcPr/>
          <w:p>
            <w:pPr>
              <w:pStyle w:val="Compact"/>
              <w:jc w:val="left"/>
            </w:pPr>
            <w:r>
              <w:rPr>
                <w:rFonts w:hint="eastAsia"/>
              </w:rPr>
              <w:t xml:space="preserve">减少净化器广告投放</w:t>
            </w:r>
          </w:p>
        </w:tc>
        <w:tc>
          <w:tcPr/>
          <w:p>
            <w:pPr>
              <w:pStyle w:val="Compact"/>
            </w:pPr>
            <w:r>
              <w:rPr>
                <w:rFonts w:hint="eastAsia"/>
              </w:rPr>
              <w:t xml:space="preserve">需求下降</w:t>
            </w:r>
            <w:r>
              <w:t xml:space="preserve"> 5%–12%</w:t>
            </w:r>
          </w:p>
        </w:tc>
        <w:tc>
          <w:tcPr/>
          <w:p>
            <w:pPr>
              <w:pStyle w:val="Compact"/>
              <w:jc w:val="left"/>
            </w:pPr>
            <w:r>
              <w:rPr>
                <w:rFonts w:hint="eastAsia"/>
              </w:rPr>
              <w:t xml:space="preserve">品牌热度受损</w:t>
            </w:r>
          </w:p>
        </w:tc>
      </w:tr>
      <w:tr>
        <w:tc>
          <w:tcPr/>
          <w:p>
            <w:pPr>
              <w:pStyle w:val="Compact"/>
              <w:jc w:val="left"/>
            </w:pPr>
            <w:r>
              <w:rPr>
                <w:rFonts w:hint="eastAsia"/>
              </w:rPr>
              <w:t xml:space="preserve">为大型零售商保留库存</w:t>
            </w:r>
          </w:p>
        </w:tc>
        <w:tc>
          <w:tcPr/>
          <w:p>
            <w:pPr>
              <w:pStyle w:val="Compact"/>
            </w:pPr>
            <w:r>
              <w:rPr>
                <w:rFonts w:hint="eastAsia"/>
              </w:rPr>
              <w:t xml:space="preserve">减少合同罚款</w:t>
            </w:r>
          </w:p>
        </w:tc>
        <w:tc>
          <w:tcPr/>
          <w:p>
            <w:pPr>
              <w:pStyle w:val="Compact"/>
              <w:jc w:val="left"/>
            </w:pPr>
            <w:r>
              <w:rPr>
                <w:rFonts w:hint="eastAsia"/>
              </w:rPr>
              <w:t xml:space="preserve">直销渠道利润率降低</w:t>
            </w:r>
          </w:p>
        </w:tc>
      </w:tr>
      <w:tr>
        <w:tc>
          <w:tcPr/>
          <w:p>
            <w:pPr>
              <w:pStyle w:val="Compact"/>
              <w:jc w:val="left"/>
            </w:pPr>
            <w:r>
              <w:rPr>
                <w:rFonts w:hint="eastAsia"/>
              </w:rPr>
              <w:t xml:space="preserve">推迟部分供应商订单</w:t>
            </w:r>
          </w:p>
        </w:tc>
        <w:tc>
          <w:tcPr/>
          <w:p>
            <w:pPr>
              <w:pStyle w:val="Compact"/>
            </w:pPr>
            <w:r>
              <w:rPr>
                <w:rFonts w:hint="eastAsia"/>
              </w:rPr>
              <w:t xml:space="preserve">降低过剩风险</w:t>
            </w:r>
          </w:p>
        </w:tc>
        <w:tc>
          <w:tcPr/>
          <w:p>
            <w:pPr>
              <w:pStyle w:val="Compact"/>
              <w:jc w:val="left"/>
            </w:pPr>
            <w:r>
              <w:rPr>
                <w:rFonts w:hint="eastAsia"/>
              </w:rPr>
              <w:t xml:space="preserve">可能失去生产档期</w:t>
            </w:r>
          </w:p>
        </w:tc>
      </w:tr>
    </w:tbl>
    <w:bookmarkEnd w:id="12"/>
    <w:bookmarkStart w:id="13" w:name="现金产能与组织激励"/>
    <w:p>
      <w:pPr>
        <w:pStyle w:val="Heading1"/>
      </w:pPr>
      <w:r>
        <w:rPr>
          <w:rFonts w:hint="eastAsia"/>
        </w:rPr>
        <w:t xml:space="preserve">现金、产能与组织激励</w:t>
      </w:r>
    </w:p>
    <w:p>
      <w:pPr>
        <w:pStyle w:val="FirstParagraph"/>
      </w:pPr>
      <w:r>
        <w:rPr>
          <w:rFonts w:hint="eastAsia"/>
        </w:rPr>
        <w:t xml:space="preserve">北星通过一条以浮动利率计价的循环信贷额度为库存融资。持有库存所涉及的成本不仅仅是利息：还包括仓储、搬运、保险、损坏、盗窃、退货，以及新型号使旧库存吸引力下降的风险。按照当前提案，公司主要配送中心预计将在</w:t>
      </w:r>
      <w:r>
        <w:t xml:space="preserve"> 11 </w:t>
      </w:r>
      <w:r>
        <w:rPr>
          <w:rFonts w:hint="eastAsia"/>
        </w:rPr>
        <w:t xml:space="preserve">月达到可用容量的</w:t>
      </w:r>
      <w:r>
        <w:t xml:space="preserve"> </w:t>
      </w:r>
      <w:r>
        <w:rPr>
          <w:rFonts w:hint="eastAsia"/>
        </w:rPr>
        <w:t xml:space="preserve">96%。虽有额外仓储空间可用，但其处理成本几乎是正常水平的两倍。</w:t>
      </w:r>
    </w:p>
    <w:p>
      <w:pPr>
        <w:pStyle w:val="BodyText"/>
      </w:pPr>
      <w:r>
        <w:rPr>
          <w:rFonts w:hint="eastAsia"/>
        </w:rPr>
        <w:t xml:space="preserve">内部绩效考核指标并未指向同一个方向。销售经理因营收增长和服务水平而获得奖励。采购部门的考核部分基于单位成本。运营部门被期望在避免缺货的同时控制库存。财务部门强调现金转化率和营业利润率。营销部门则以流量、转化率和活动回报率作为考核标准。每个部门都可以用自己的考核标准来为不同的假日方案辩护。</w:t>
      </w:r>
    </w:p>
    <w:tbl>
      <w:tblPr>
        <w:tblStyle w:val="Table"/>
        <w:tblW w:type="pct" w:w="4880"/>
        <w:tblLayout w:type="fixed"/>
        <w:tblLook w:firstRow="1" w:lastRow="0" w:firstColumn="0" w:lastColumn="0" w:noHBand="0" w:noVBand="0" w:val="0020"/>
      </w:tblPr>
      <w:tblGrid>
        <w:gridCol w:w="2576"/>
        <w:gridCol w:w="1717"/>
        <w:gridCol w:w="1717"/>
        <w:gridCol w:w="1717"/>
      </w:tblGrid>
      <w:tr>
        <w:trPr>
          <w:tblHeader w:val="on"/>
        </w:trPr>
        <w:tc>
          <w:tcPr/>
          <w:p>
            <w:pPr>
              <w:pStyle w:val="Compact"/>
              <w:jc w:val="left"/>
            </w:pPr>
            <w:r>
              <w:rPr>
                <w:rFonts w:hint="eastAsia"/>
              </w:rPr>
              <w:t xml:space="preserve">指标</w:t>
            </w:r>
          </w:p>
        </w:tc>
        <w:tc>
          <w:tcPr/>
          <w:p>
            <w:pPr>
              <w:pStyle w:val="Compact"/>
              <w:jc w:val="center"/>
            </w:pPr>
            <w:r>
              <w:t xml:space="preserve">2024</w:t>
            </w:r>
          </w:p>
        </w:tc>
        <w:tc>
          <w:tcPr/>
          <w:p>
            <w:pPr>
              <w:pStyle w:val="Compact"/>
              <w:jc w:val="center"/>
            </w:pPr>
            <w:r>
              <w:t xml:space="preserve">2025</w:t>
            </w:r>
          </w:p>
        </w:tc>
        <w:tc>
          <w:tcPr/>
          <w:p>
            <w:pPr>
              <w:pStyle w:val="Compact"/>
              <w:jc w:val="center"/>
            </w:pPr>
            <w:r>
              <w:t xml:space="preserve">2026 </w:t>
            </w:r>
            <w:r>
              <w:rPr>
                <w:rFonts w:hint="eastAsia"/>
              </w:rPr>
              <w:t xml:space="preserve">目标</w:t>
            </w:r>
          </w:p>
        </w:tc>
      </w:tr>
      <w:tr>
        <w:tc>
          <w:tcPr/>
          <w:p>
            <w:pPr>
              <w:pStyle w:val="Compact"/>
              <w:jc w:val="left"/>
            </w:pPr>
            <w:r>
              <w:rPr>
                <w:rFonts w:hint="eastAsia"/>
              </w:rPr>
              <w:t xml:space="preserve">营收</w:t>
            </w:r>
          </w:p>
        </w:tc>
        <w:tc>
          <w:tcPr/>
          <w:p>
            <w:pPr>
              <w:pStyle w:val="Compact"/>
              <w:jc w:val="center"/>
            </w:pPr>
            <w:r>
              <w:t xml:space="preserve">$286M</w:t>
            </w:r>
          </w:p>
        </w:tc>
        <w:tc>
          <w:tcPr/>
          <w:p>
            <w:pPr>
              <w:pStyle w:val="Compact"/>
              <w:jc w:val="center"/>
            </w:pPr>
            <w:r>
              <w:t xml:space="preserve">$337M</w:t>
            </w:r>
          </w:p>
        </w:tc>
        <w:tc>
          <w:tcPr/>
          <w:p>
            <w:pPr>
              <w:pStyle w:val="Compact"/>
              <w:jc w:val="center"/>
            </w:pPr>
            <w:r>
              <w:t xml:space="preserve">$392M</w:t>
            </w:r>
          </w:p>
        </w:tc>
      </w:tr>
      <w:tr>
        <w:tc>
          <w:tcPr/>
          <w:p>
            <w:pPr>
              <w:pStyle w:val="Compact"/>
              <w:jc w:val="left"/>
            </w:pPr>
            <w:r>
              <w:rPr>
                <w:rFonts w:hint="eastAsia"/>
              </w:rPr>
              <w:t xml:space="preserve">年末库存</w:t>
            </w:r>
          </w:p>
        </w:tc>
        <w:tc>
          <w:tcPr/>
          <w:p>
            <w:pPr>
              <w:pStyle w:val="Compact"/>
              <w:jc w:val="center"/>
            </w:pPr>
            <w:r>
              <w:t xml:space="preserve">$58M</w:t>
            </w:r>
          </w:p>
        </w:tc>
        <w:tc>
          <w:tcPr/>
          <w:p>
            <w:pPr>
              <w:pStyle w:val="Compact"/>
              <w:jc w:val="center"/>
            </w:pPr>
            <w:r>
              <w:t xml:space="preserve">$76M</w:t>
            </w:r>
          </w:p>
        </w:tc>
        <w:tc>
          <w:tcPr/>
          <w:p>
            <w:pPr>
              <w:pStyle w:val="Compact"/>
              <w:jc w:val="center"/>
            </w:pPr>
            <w:r>
              <w:t xml:space="preserve">≤ $82M</w:t>
            </w:r>
          </w:p>
        </w:tc>
      </w:tr>
      <w:tr>
        <w:tc>
          <w:tcPr/>
          <w:p>
            <w:pPr>
              <w:pStyle w:val="Compact"/>
              <w:jc w:val="left"/>
            </w:pPr>
            <w:r>
              <w:rPr>
                <w:rFonts w:hint="eastAsia"/>
              </w:rPr>
              <w:t xml:space="preserve">库存周转率</w:t>
            </w:r>
          </w:p>
        </w:tc>
        <w:tc>
          <w:tcPr/>
          <w:p>
            <w:pPr>
              <w:pStyle w:val="Compact"/>
              <w:jc w:val="center"/>
            </w:pPr>
            <w:r>
              <w:t xml:space="preserve">4.7</w:t>
            </w:r>
          </w:p>
        </w:tc>
        <w:tc>
          <w:tcPr/>
          <w:p>
            <w:pPr>
              <w:pStyle w:val="Compact"/>
              <w:jc w:val="center"/>
            </w:pPr>
            <w:r>
              <w:t xml:space="preserve">4.2</w:t>
            </w:r>
          </w:p>
        </w:tc>
        <w:tc>
          <w:tcPr/>
          <w:p>
            <w:pPr>
              <w:pStyle w:val="Compact"/>
              <w:jc w:val="center"/>
            </w:pPr>
            <w:r>
              <w:t xml:space="preserve">4.8</w:t>
            </w:r>
          </w:p>
        </w:tc>
      </w:tr>
      <w:tr>
        <w:tc>
          <w:tcPr/>
          <w:p>
            <w:pPr>
              <w:pStyle w:val="Compact"/>
              <w:jc w:val="left"/>
            </w:pPr>
            <w:r>
              <w:rPr>
                <w:rFonts w:hint="eastAsia"/>
              </w:rPr>
              <w:t xml:space="preserve">准时足量服务率</w:t>
            </w:r>
          </w:p>
        </w:tc>
        <w:tc>
          <w:tcPr/>
          <w:p>
            <w:pPr>
              <w:pStyle w:val="Compact"/>
              <w:jc w:val="center"/>
            </w:pPr>
            <w:r>
              <w:t xml:space="preserve">91.4%</w:t>
            </w:r>
          </w:p>
        </w:tc>
        <w:tc>
          <w:tcPr/>
          <w:p>
            <w:pPr>
              <w:pStyle w:val="Compact"/>
              <w:jc w:val="center"/>
            </w:pPr>
            <w:r>
              <w:t xml:space="preserve">89.7%</w:t>
            </w:r>
          </w:p>
        </w:tc>
        <w:tc>
          <w:tcPr/>
          <w:p>
            <w:pPr>
              <w:pStyle w:val="Compact"/>
              <w:jc w:val="center"/>
            </w:pPr>
            <w:r>
              <w:t xml:space="preserve">95.0%</w:t>
            </w:r>
          </w:p>
        </w:tc>
      </w:tr>
      <w:tr>
        <w:tc>
          <w:tcPr/>
          <w:p>
            <w:pPr>
              <w:pStyle w:val="Compact"/>
              <w:jc w:val="left"/>
            </w:pPr>
            <w:r>
              <w:rPr>
                <w:rFonts w:hint="eastAsia"/>
              </w:rPr>
              <w:t xml:space="preserve">毛利率</w:t>
            </w:r>
          </w:p>
        </w:tc>
        <w:tc>
          <w:tcPr/>
          <w:p>
            <w:pPr>
              <w:pStyle w:val="Compact"/>
              <w:jc w:val="center"/>
            </w:pPr>
            <w:r>
              <w:t xml:space="preserve">47.8%</w:t>
            </w:r>
          </w:p>
        </w:tc>
        <w:tc>
          <w:tcPr/>
          <w:p>
            <w:pPr>
              <w:pStyle w:val="Compact"/>
              <w:jc w:val="center"/>
            </w:pPr>
            <w:r>
              <w:t xml:space="preserve">45.9%</w:t>
            </w:r>
          </w:p>
        </w:tc>
        <w:tc>
          <w:tcPr/>
          <w:p>
            <w:pPr>
              <w:pStyle w:val="Compact"/>
              <w:jc w:val="center"/>
            </w:pPr>
            <w:r>
              <w:t xml:space="preserve">47.0%</w:t>
            </w:r>
          </w:p>
        </w:tc>
      </w:tr>
      <w:tr>
        <w:tc>
          <w:tcPr/>
          <w:p>
            <w:pPr>
              <w:pStyle w:val="Compact"/>
              <w:jc w:val="left"/>
            </w:pPr>
            <w:r>
              <w:rPr>
                <w:rFonts w:hint="eastAsia"/>
              </w:rPr>
              <w:t xml:space="preserve">紧急运费</w:t>
            </w:r>
          </w:p>
        </w:tc>
        <w:tc>
          <w:tcPr/>
          <w:p>
            <w:pPr>
              <w:pStyle w:val="Compact"/>
              <w:jc w:val="center"/>
            </w:pPr>
            <w:r>
              <w:t xml:space="preserve">$2.1M</w:t>
            </w:r>
          </w:p>
        </w:tc>
        <w:tc>
          <w:tcPr/>
          <w:p>
            <w:pPr>
              <w:pStyle w:val="Compact"/>
              <w:jc w:val="center"/>
            </w:pPr>
            <w:r>
              <w:t xml:space="preserve">$5.6M</w:t>
            </w:r>
          </w:p>
        </w:tc>
        <w:tc>
          <w:tcPr/>
          <w:p>
            <w:pPr>
              <w:pStyle w:val="Compact"/>
              <w:jc w:val="center"/>
            </w:pPr>
            <w:r>
              <w:t xml:space="preserve">≤ $3.0M</w:t>
            </w:r>
          </w:p>
        </w:tc>
      </w:tr>
    </w:tbl>
    <w:p>
      <w:pPr>
        <w:pStyle w:val="BodyText"/>
      </w:pPr>
      <w:r>
        <w:rPr>
          <w:rFonts w:hint="eastAsia"/>
        </w:rPr>
        <w:t xml:space="preserve">董事会还要求管理层考虑那些罕见但后果严重的事件。长期供应商停产、物流服务商遭受网络攻击、港口关闭、突发关税变化、重大产品召回，或外汇汇率的剧烈变动，都可能使常规规划假设失效。部分高管希望设立明确的应急库存。另一些高管则认为，为每一种中断都做好准备会让北星永远失去竞争力。</w:t>
      </w:r>
    </w:p>
    <w:bookmarkEnd w:id="13"/>
    <w:bookmarkStart w:id="14" w:name="月会议"/>
    <w:p>
      <w:pPr>
        <w:pStyle w:val="Heading1"/>
      </w:pPr>
      <w:r>
        <w:t xml:space="preserve">8 </w:t>
      </w:r>
      <w:r>
        <w:rPr>
          <w:rFonts w:hint="eastAsia"/>
        </w:rPr>
        <w:t xml:space="preserve">月会议</w:t>
      </w:r>
    </w:p>
    <w:p>
      <w:pPr>
        <w:pStyle w:val="FirstParagraph"/>
      </w:pPr>
      <w:r>
        <w:t xml:space="preserve">Chen </w:t>
      </w:r>
      <w:r>
        <w:rPr>
          <w:rFonts w:hint="eastAsia"/>
        </w:rPr>
        <w:t xml:space="preserve">安排了一场为期四小时的会议，定于</w:t>
      </w:r>
      <w:r>
        <w:t xml:space="preserve"> 8 </w:t>
      </w:r>
      <w:r>
        <w:rPr>
          <w:rFonts w:hint="eastAsia"/>
        </w:rPr>
        <w:t xml:space="preserve">月</w:t>
      </w:r>
      <w:r>
        <w:t xml:space="preserve"> 3 </w:t>
      </w:r>
      <w:r>
        <w:rPr>
          <w:rFonts w:hint="eastAsia"/>
        </w:rPr>
        <w:t xml:space="preserve">日举行。团队必须就采购数量、供应商分配、运输方案以及加急发货储备提出建议。团队还必须决定价格和促销是应在同一时间锁定，还是应随着信息的到来而后续调整。</w:t>
      </w:r>
    </w:p>
    <w:p>
      <w:pPr>
        <w:pStyle w:val="BodyText"/>
      </w:pPr>
      <w:r>
        <w:rPr>
          <w:rFonts w:hint="eastAsia"/>
        </w:rPr>
        <w:t xml:space="preserve">首席财务官倾向于较低的起始承诺量，并保留从墨西哥追加订单的权限。销售负责人希望有足够的库存来支持最乐观的零售商预测。运营部门提议加大净化器和电磁炉的订单量、缩减风扇订单，并预留受保护的空运预算。营销部门反对削减风扇订单，因为一项尚未公布的媒体合作可能会显著提升需求。采购部门警告称，若再等两周，可能会彻底失去多个工厂档期。</w:t>
      </w:r>
    </w:p>
    <w:p>
      <w:pPr>
        <w:pStyle w:val="BodyText"/>
      </w:pPr>
      <w:r>
        <w:t xml:space="preserve">Chen </w:t>
      </w:r>
      <w:r>
        <w:rPr>
          <w:rFonts w:hint="eastAsia"/>
        </w:rPr>
        <w:t xml:space="preserve">并不认为公司能够确定出一个”正确”的订购量。需求、交付周期、产品质量、成本、竞争对手的行动、客户取消订单，甚至库存记录本身，都会在承诺做出之后继续演变。然而，缺乏确定性并不能消除采取行动的必要性。到周一晚上，供应商就需要收到采购订单。</w:t>
      </w:r>
    </w:p>
    <w:bookmarkEnd w:id="14"/>
    <w:bookmarkStart w:id="15" w:name="图-1管理层的假日情景"/>
    <w:p>
      <w:pPr>
        <w:pStyle w:val="Heading1"/>
      </w:pPr>
      <w:r>
        <w:rPr>
          <w:rFonts w:hint="eastAsia"/>
        </w:rPr>
        <w:t xml:space="preserve">图</w:t>
      </w:r>
      <w:r>
        <w:t xml:space="preserve"> </w:t>
      </w:r>
      <w:r>
        <w:rPr>
          <w:rFonts w:hint="eastAsia"/>
        </w:rPr>
        <w:t xml:space="preserve">1：管理层的假日情景</w:t>
      </w:r>
    </w:p>
    <w:tbl>
      <w:tblPr>
        <w:tblStyle w:val="Table"/>
        <w:tblW w:type="pct" w:w="4923"/>
        <w:tblLayout w:type="fixed"/>
        <w:tblLook w:firstRow="1" w:lastRow="0" w:firstColumn="0" w:lastColumn="0" w:noHBand="0" w:noVBand="0" w:val="0020"/>
      </w:tblPr>
      <w:tblGrid>
        <w:gridCol w:w="974"/>
        <w:gridCol w:w="1523"/>
        <w:gridCol w:w="1644"/>
        <w:gridCol w:w="1340"/>
        <w:gridCol w:w="2315"/>
      </w:tblGrid>
      <w:tr>
        <w:trPr>
          <w:tblHeader w:val="on"/>
        </w:trPr>
        <w:tc>
          <w:tcPr/>
          <w:p>
            <w:pPr>
              <w:pStyle w:val="Compact"/>
              <w:jc w:val="left"/>
            </w:pPr>
            <w:r>
              <w:rPr>
                <w:rFonts w:hint="eastAsia"/>
              </w:rPr>
              <w:t xml:space="preserve">情景</w:t>
            </w:r>
          </w:p>
        </w:tc>
        <w:tc>
          <w:tcPr/>
          <w:p>
            <w:pPr>
              <w:pStyle w:val="Compact"/>
            </w:pPr>
            <w:r>
              <w:rPr>
                <w:rFonts w:hint="eastAsia"/>
              </w:rPr>
              <w:t xml:space="preserve">需求相对预测</w:t>
            </w:r>
            <w:r>
              <w:t xml:space="preserve"> </w:t>
            </w:r>
            <w:r>
              <w:rPr>
                <w:rFonts w:hint="eastAsia"/>
              </w:rPr>
              <w:t xml:space="preserve">平</w:t>
            </w:r>
          </w:p>
        </w:tc>
        <w:tc>
          <w:tcPr/>
          <w:p>
            <w:pPr>
              <w:pStyle w:val="Compact"/>
            </w:pPr>
            <w:r>
              <w:rPr>
                <w:rFonts w:hint="eastAsia"/>
              </w:rPr>
              <w:t xml:space="preserve">均交付周期变化</w:t>
            </w:r>
            <w:r>
              <w:t xml:space="preserve"> </w:t>
            </w:r>
            <w:r>
              <w:rPr>
                <w:rFonts w:hint="eastAsia"/>
              </w:rPr>
              <w:t xml:space="preserve">竞</w:t>
            </w:r>
          </w:p>
        </w:tc>
        <w:tc>
          <w:tcPr/>
          <w:p>
            <w:pPr>
              <w:pStyle w:val="Compact"/>
            </w:pPr>
            <w:r>
              <w:rPr>
                <w:rFonts w:hint="eastAsia"/>
              </w:rPr>
              <w:t xml:space="preserve">争定价</w:t>
            </w:r>
            <w:r>
              <w:t xml:space="preserve"> </w:t>
            </w:r>
            <w:r>
              <w:rPr>
                <w:rFonts w:hint="eastAsia"/>
              </w:rPr>
              <w:t xml:space="preserve">大</w:t>
            </w:r>
          </w:p>
        </w:tc>
        <w:tc>
          <w:tcPr/>
          <w:p>
            <w:pPr>
              <w:pStyle w:val="Compact"/>
              <w:jc w:val="left"/>
            </w:pPr>
            <w:r>
              <w:rPr>
                <w:rFonts w:hint="eastAsia"/>
              </w:rPr>
              <w:t xml:space="preserve">致营业结果</w:t>
            </w:r>
          </w:p>
        </w:tc>
      </w:tr>
      <w:tr>
        <w:tc>
          <w:tcPr/>
          <w:p>
            <w:pPr>
              <w:pStyle w:val="Compact"/>
              <w:jc w:val="left"/>
            </w:pPr>
            <w:r>
              <w:rPr>
                <w:rFonts w:hint="eastAsia"/>
              </w:rPr>
              <w:t xml:space="preserve">疲软市场</w:t>
            </w:r>
          </w:p>
        </w:tc>
        <w:tc>
          <w:tcPr/>
          <w:p>
            <w:pPr>
              <w:pStyle w:val="Compact"/>
            </w:pPr>
            <w:r>
              <w:t xml:space="preserve">−15%</w:t>
            </w:r>
          </w:p>
        </w:tc>
        <w:tc>
          <w:tcPr/>
          <w:p>
            <w:pPr>
              <w:pStyle w:val="Compact"/>
            </w:pPr>
            <w:r>
              <w:rPr>
                <w:rFonts w:hint="eastAsia"/>
              </w:rPr>
              <w:t xml:space="preserve">无变化</w:t>
            </w:r>
          </w:p>
        </w:tc>
        <w:tc>
          <w:tcPr/>
          <w:p>
            <w:pPr>
              <w:pStyle w:val="Compact"/>
            </w:pPr>
            <w:r>
              <w:rPr>
                <w:rFonts w:hint="eastAsia"/>
              </w:rPr>
              <w:t xml:space="preserve">大幅折扣</w:t>
            </w:r>
          </w:p>
        </w:tc>
        <w:tc>
          <w:tcPr/>
          <w:p>
            <w:pPr>
              <w:pStyle w:val="Compact"/>
              <w:jc w:val="left"/>
            </w:pPr>
            <w:r>
              <w:rPr>
                <w:rFonts w:hint="eastAsia"/>
              </w:rPr>
              <w:t xml:space="preserve">低于计划</w:t>
            </w:r>
            <w:r>
              <w:t xml:space="preserve"> 900 </w:t>
            </w:r>
            <w:r>
              <w:rPr>
                <w:rFonts w:hint="eastAsia"/>
              </w:rPr>
              <w:t xml:space="preserve">万美元</w:t>
            </w:r>
          </w:p>
        </w:tc>
      </w:tr>
      <w:tr>
        <w:tc>
          <w:tcPr/>
          <w:p>
            <w:pPr>
              <w:pStyle w:val="Compact"/>
              <w:jc w:val="left"/>
            </w:pPr>
            <w:r>
              <w:rPr>
                <w:rFonts w:hint="eastAsia"/>
              </w:rPr>
              <w:t xml:space="preserve">基准情景</w:t>
            </w:r>
          </w:p>
        </w:tc>
        <w:tc>
          <w:tcPr/>
          <w:p>
            <w:pPr>
              <w:pStyle w:val="Compact"/>
            </w:pPr>
            <w:r>
              <w:rPr>
                <w:rFonts w:hint="eastAsia"/>
              </w:rPr>
              <w:t xml:space="preserve">符合预测</w:t>
            </w:r>
          </w:p>
        </w:tc>
        <w:tc>
          <w:tcPr/>
          <w:p>
            <w:pPr>
              <w:pStyle w:val="Compact"/>
            </w:pPr>
            <w:r>
              <w:t xml:space="preserve">+1 </w:t>
            </w:r>
            <w:r>
              <w:rPr>
                <w:rFonts w:hint="eastAsia"/>
              </w:rPr>
              <w:t xml:space="preserve">周</w:t>
            </w:r>
          </w:p>
        </w:tc>
        <w:tc>
          <w:tcPr/>
          <w:p>
            <w:pPr>
              <w:pStyle w:val="Compact"/>
            </w:pPr>
            <w:r>
              <w:rPr>
                <w:rFonts w:hint="eastAsia"/>
              </w:rPr>
              <w:t xml:space="preserve">正常促销</w:t>
            </w:r>
          </w:p>
        </w:tc>
        <w:tc>
          <w:tcPr/>
          <w:p>
            <w:pPr>
              <w:pStyle w:val="Compact"/>
              <w:jc w:val="left"/>
            </w:pPr>
            <w:r>
              <w:rPr>
                <w:rFonts w:hint="eastAsia"/>
              </w:rPr>
              <w:t xml:space="preserve">接近计划水平</w:t>
            </w:r>
          </w:p>
        </w:tc>
      </w:tr>
      <w:tr>
        <w:tc>
          <w:tcPr/>
          <w:p>
            <w:pPr>
              <w:pStyle w:val="Compact"/>
              <w:jc w:val="left"/>
            </w:pPr>
            <w:r>
              <w:rPr>
                <w:rFonts w:hint="eastAsia"/>
              </w:rPr>
              <w:t xml:space="preserve">强劲季节</w:t>
            </w:r>
          </w:p>
        </w:tc>
        <w:tc>
          <w:tcPr/>
          <w:p>
            <w:pPr>
              <w:pStyle w:val="Compact"/>
            </w:pPr>
            <w:r>
              <w:t xml:space="preserve">+18%</w:t>
            </w:r>
          </w:p>
        </w:tc>
        <w:tc>
          <w:tcPr/>
          <w:p>
            <w:pPr>
              <w:pStyle w:val="Compact"/>
            </w:pPr>
            <w:r>
              <w:t xml:space="preserve">+2 </w:t>
            </w:r>
            <w:r>
              <w:rPr>
                <w:rFonts w:hint="eastAsia"/>
              </w:rPr>
              <w:t xml:space="preserve">周</w:t>
            </w:r>
          </w:p>
        </w:tc>
        <w:tc>
          <w:tcPr/>
          <w:p>
            <w:pPr>
              <w:pStyle w:val="Compact"/>
            </w:pPr>
            <w:r>
              <w:rPr>
                <w:rFonts w:hint="eastAsia"/>
              </w:rPr>
              <w:t xml:space="preserve">价格稳定</w:t>
            </w:r>
          </w:p>
        </w:tc>
        <w:tc>
          <w:tcPr/>
          <w:p>
            <w:pPr>
              <w:pStyle w:val="Compact"/>
              <w:jc w:val="left"/>
            </w:pPr>
            <w:r>
              <w:rPr>
                <w:rFonts w:hint="eastAsia"/>
              </w:rPr>
              <w:t xml:space="preserve">若供应充足则高于计划</w:t>
            </w:r>
            <w:r>
              <w:t xml:space="preserve"> 1300 </w:t>
            </w:r>
            <w:r>
              <w:rPr>
                <w:rFonts w:hint="eastAsia"/>
              </w:rPr>
              <w:t xml:space="preserve">万美元</w:t>
            </w:r>
          </w:p>
        </w:tc>
      </w:tr>
      <w:tr>
        <w:tc>
          <w:tcPr/>
          <w:p>
            <w:pPr>
              <w:pStyle w:val="Compact"/>
              <w:jc w:val="left"/>
            </w:pPr>
            <w:r>
              <w:rPr>
                <w:rFonts w:hint="eastAsia"/>
              </w:rPr>
              <w:t xml:space="preserve">中断情景</w:t>
            </w:r>
          </w:p>
        </w:tc>
        <w:tc>
          <w:tcPr/>
          <w:p>
            <w:pPr>
              <w:pStyle w:val="Compact"/>
            </w:pPr>
            <w:r>
              <w:rPr>
                <w:rFonts w:hint="eastAsia"/>
              </w:rPr>
              <w:t xml:space="preserve">整体</w:t>
            </w:r>
            <w:r>
              <w:t xml:space="preserve"> −3%</w:t>
            </w:r>
          </w:p>
        </w:tc>
        <w:tc>
          <w:tcPr/>
          <w:p>
            <w:pPr>
              <w:pStyle w:val="Compact"/>
            </w:pPr>
            <w:r>
              <w:rPr>
                <w:rFonts w:hint="eastAsia"/>
              </w:rPr>
              <w:t xml:space="preserve">亚洲供应</w:t>
            </w:r>
            <w:r>
              <w:t xml:space="preserve"> +5 </w:t>
            </w:r>
            <w:r>
              <w:rPr>
                <w:rFonts w:hint="eastAsia"/>
              </w:rPr>
              <w:t xml:space="preserve">周</w:t>
            </w:r>
          </w:p>
        </w:tc>
        <w:tc>
          <w:tcPr/>
          <w:p>
            <w:pPr>
              <w:pStyle w:val="Compact"/>
            </w:pPr>
            <w:r>
              <w:rPr>
                <w:rFonts w:hint="eastAsia"/>
              </w:rPr>
              <w:t xml:space="preserve">参差不齐</w:t>
            </w:r>
          </w:p>
        </w:tc>
        <w:tc>
          <w:tcPr/>
          <w:p>
            <w:pPr>
              <w:pStyle w:val="Compact"/>
              <w:jc w:val="left"/>
            </w:pPr>
            <w:r>
              <w:rPr>
                <w:rFonts w:hint="eastAsia"/>
              </w:rPr>
              <w:t xml:space="preserve">若无缓解措施则低于计划</w:t>
            </w:r>
            <w:r>
              <w:t xml:space="preserve"> 1700 </w:t>
            </w:r>
            <w:r>
              <w:rPr>
                <w:rFonts w:hint="eastAsia"/>
              </w:rPr>
              <w:t xml:space="preserve">万美元</w:t>
            </w:r>
          </w:p>
        </w:tc>
      </w:tr>
    </w:tbl>
    <w:bookmarkEnd w:id="15"/>
    <w:bookmarkStart w:id="16" w:name="讨论问题"/>
    <w:p>
      <w:pPr>
        <w:pStyle w:val="Heading1"/>
      </w:pPr>
      <w:r>
        <w:rPr>
          <w:rFonts w:hint="eastAsia"/>
        </w:rPr>
        <w:t xml:space="preserve">讨论问题</w:t>
      </w:r>
    </w:p>
    <w:p>
      <w:pPr>
        <w:numPr>
          <w:ilvl w:val="0"/>
          <w:numId w:val="1001"/>
        </w:numPr>
      </w:pPr>
      <w:r>
        <w:t xml:space="preserve">8 </w:t>
      </w:r>
      <w:r>
        <w:rPr>
          <w:rFonts w:hint="eastAsia"/>
        </w:rPr>
        <w:t xml:space="preserve">月初北星生活面临的核心问题是什么？</w:t>
      </w:r>
    </w:p>
    <w:p>
      <w:pPr>
        <w:numPr>
          <w:ilvl w:val="0"/>
          <w:numId w:val="1001"/>
        </w:numPr>
      </w:pPr>
      <w:r>
        <w:rPr>
          <w:rFonts w:hint="eastAsia"/>
        </w:rPr>
        <w:t xml:space="preserve">在采购订单发出之前，案例中的哪些事实最值得关注？</w:t>
      </w:r>
    </w:p>
    <w:p>
      <w:pPr>
        <w:numPr>
          <w:ilvl w:val="0"/>
          <w:numId w:val="1001"/>
        </w:numPr>
      </w:pPr>
      <w:r>
        <w:rPr>
          <w:rFonts w:hint="eastAsia"/>
        </w:rPr>
        <w:t xml:space="preserve">北星应如何在过剩库存的成本与严重缺货的后果之间进行权衡？</w:t>
      </w:r>
    </w:p>
    <w:p>
      <w:pPr>
        <w:numPr>
          <w:ilvl w:val="0"/>
          <w:numId w:val="1001"/>
        </w:numPr>
      </w:pPr>
      <w:r>
        <w:rPr>
          <w:rFonts w:hint="eastAsia"/>
        </w:rPr>
        <w:t xml:space="preserve">尽管成本更高、质量存在不确定性，公司是否应该实现供应商多元化？</w:t>
      </w:r>
    </w:p>
    <w:p>
      <w:pPr>
        <w:numPr>
          <w:ilvl w:val="0"/>
          <w:numId w:val="1001"/>
        </w:numPr>
      </w:pPr>
      <w:r>
        <w:rPr>
          <w:rFonts w:hint="eastAsia"/>
        </w:rPr>
        <w:t xml:space="preserve">运输方式和紧急运力应如何纳入计划之中？</w:t>
      </w:r>
    </w:p>
    <w:p>
      <w:pPr>
        <w:numPr>
          <w:ilvl w:val="0"/>
          <w:numId w:val="1001"/>
        </w:numPr>
      </w:pPr>
      <w:r>
        <w:rPr>
          <w:rFonts w:hint="eastAsia"/>
        </w:rPr>
        <w:t xml:space="preserve">北星应在何时利用定价、促销和广告来影响需求？</w:t>
      </w:r>
    </w:p>
    <w:p>
      <w:pPr>
        <w:numPr>
          <w:ilvl w:val="0"/>
          <w:numId w:val="1001"/>
        </w:numPr>
      </w:pPr>
      <w:r>
        <w:rPr>
          <w:rFonts w:hint="eastAsia"/>
        </w:rPr>
        <w:t xml:space="preserve">稀缺库存应如何在大型零售商、小型经销商和直销渠道之间分配？</w:t>
      </w:r>
    </w:p>
    <w:p>
      <w:pPr>
        <w:numPr>
          <w:ilvl w:val="0"/>
          <w:numId w:val="1001"/>
        </w:numPr>
      </w:pPr>
      <w:r>
        <w:rPr>
          <w:rFonts w:hint="eastAsia"/>
        </w:rPr>
        <w:t xml:space="preserve">哪些调查或信息投资对未来的规划最有价值？</w:t>
      </w:r>
    </w:p>
    <w:p>
      <w:pPr>
        <w:numPr>
          <w:ilvl w:val="0"/>
          <w:numId w:val="1001"/>
        </w:numPr>
      </w:pPr>
      <w:r>
        <w:rPr>
          <w:rFonts w:hint="eastAsia"/>
        </w:rPr>
        <w:t xml:space="preserve">公司应如何在不携带过多库存的情况下为低频中断事件做好准备？</w:t>
      </w:r>
    </w:p>
    <w:p>
      <w:pPr>
        <w:numPr>
          <w:ilvl w:val="0"/>
          <w:numId w:val="1001"/>
        </w:numPr>
      </w:pPr>
      <w:r>
        <w:t xml:space="preserve">Chen </w:t>
      </w:r>
      <w:r>
        <w:rPr>
          <w:rFonts w:hint="eastAsia"/>
        </w:rPr>
        <w:t xml:space="preserve">应在</w:t>
      </w:r>
      <w:r>
        <w:t xml:space="preserve"> 8 </w:t>
      </w:r>
      <w:r>
        <w:rPr>
          <w:rFonts w:hint="eastAsia"/>
        </w:rPr>
        <w:t xml:space="preserve">月</w:t>
      </w:r>
      <w:r>
        <w:t xml:space="preserve"> 3 </w:t>
      </w:r>
      <w:r>
        <w:rPr>
          <w:rFonts w:hint="eastAsia"/>
        </w:rPr>
        <w:t xml:space="preserve">日的会议上提出什么建议，又应设定哪些条件来触发后续调整？</w:t>
      </w:r>
    </w:p>
    <w:bookmarkEnd w:id="16"/>
    <w:bookmarkStart w:id="22" w:name="决策框架问题"/>
    <w:p>
      <w:pPr>
        <w:pStyle w:val="Heading1"/>
      </w:pPr>
      <w:r>
        <w:rPr>
          <w:rFonts w:hint="eastAsia"/>
        </w:rPr>
        <w:t xml:space="preserve">决策框架问题</w:t>
      </w:r>
    </w:p>
    <w:p>
      <w:pPr>
        <w:numPr>
          <w:ilvl w:val="0"/>
          <w:numId w:val="1002"/>
        </w:numPr>
      </w:pPr>
      <w:r>
        <w:rPr>
          <w:rFonts w:hint="eastAsia"/>
        </w:rPr>
        <w:t xml:space="preserve">识别并描述决策者的职责范围。这应当界定问题的边界。</w:t>
      </w:r>
    </w:p>
    <w:p>
      <w:pPr>
        <w:numPr>
          <w:ilvl w:val="0"/>
          <w:numId w:val="1002"/>
        </w:numPr>
      </w:pPr>
      <w:r>
        <w:rPr>
          <w:rFonts w:hint="eastAsia"/>
        </w:rPr>
        <w:t xml:space="preserve">使用</w:t>
      </w:r>
      <w:hyperlink r:id="rId17">
        <w:r>
          <w:rPr>
            <w:rStyle w:val="Hyperlink"/>
            <w:rFonts w:hint="eastAsia"/>
          </w:rPr>
          <w:t xml:space="preserve">指标金字塔工具</w:t>
        </w:r>
      </w:hyperlink>
      <w:r>
        <w:rPr>
          <w:rFonts w:hint="eastAsia"/>
        </w:rPr>
        <w:t xml:space="preserve">来识别并排定各项绩效指标的优先级。点击承载该指标的椭圆，以标明该指标是需要最大化的（绿色）、需要最小化的（红色）、作为下限的目标值（浅绿色）、作为上限的目标值（浅红色），还是最终目标值（紫色）。</w:t>
      </w:r>
    </w:p>
    <w:p>
      <w:pPr>
        <w:numPr>
          <w:ilvl w:val="0"/>
          <w:numId w:val="1002"/>
        </w:numPr>
      </w:pPr>
      <w:r>
        <w:rPr>
          <w:rFonts w:hint="eastAsia"/>
        </w:rPr>
        <w:t xml:space="preserve">使用</w:t>
      </w:r>
      <w:hyperlink r:id="rId18">
        <w:r>
          <w:rPr>
            <w:rStyle w:val="Hyperlink"/>
            <w:rFonts w:hint="eastAsia"/>
          </w:rPr>
          <w:t xml:space="preserve">决策优先级排序工具</w:t>
        </w:r>
      </w:hyperlink>
      <w:r>
        <w:rPr>
          <w:rFonts w:hint="eastAsia"/>
        </w:rPr>
        <w:t xml:space="preserve">，首先列出不同类型的决策（可参考</w:t>
      </w:r>
      <w:hyperlink r:id="rId19">
        <w:r>
          <w:rPr>
            <w:rStyle w:val="Hyperlink"/>
            <w:rFonts w:hint="eastAsia"/>
          </w:rPr>
          <w:t xml:space="preserve">决策类型</w:t>
        </w:r>
      </w:hyperlink>
      <w:r>
        <w:rPr>
          <w:rFonts w:hint="eastAsia"/>
        </w:rPr>
        <w:t xml:space="preserve">作为指引）。这些决策将填充右侧矩阵的各行，而矩阵的各列则按照上方金字塔中的优先级从左到右排列绩效指标。点击每个单元格以标明该决策对每项指标的影响程度：高（红色）、中（橙色）、低（黄色）或无（白色）。</w:t>
      </w:r>
    </w:p>
    <w:p>
      <w:pPr>
        <w:numPr>
          <w:ilvl w:val="0"/>
          <w:numId w:val="1002"/>
        </w:numPr>
      </w:pPr>
      <w:r>
        <w:rPr>
          <w:rFonts w:hint="eastAsia"/>
        </w:rPr>
        <w:t xml:space="preserve">你可以抓住每行最左侧的手柄（三条横杠）将其上下移动。对各行进行排序，使对最重要指标具有最大影响的决策排在顶部。左上角的单元格应集中最多的红色和橙色格子。此时，识别出你在研究中应给予最多关注的决策。如果没有任何决策对最重要指标具有中或高影响，请重新审视你所列出的决策清单。</w:t>
      </w:r>
    </w:p>
    <w:p>
      <w:pPr>
        <w:numPr>
          <w:ilvl w:val="0"/>
          <w:numId w:val="1002"/>
        </w:numPr>
      </w:pPr>
      <w:r>
        <w:rPr>
          <w:rFonts w:hint="eastAsia"/>
        </w:rPr>
        <w:t xml:space="preserve">使用</w:t>
      </w:r>
      <w:hyperlink r:id="rId20">
        <w:r>
          <w:rPr>
            <w:rStyle w:val="Hyperlink"/>
            <w:rFonts w:hint="eastAsia"/>
          </w:rPr>
          <w:t xml:space="preserve">不确定性优先级排序工具</w:t>
        </w:r>
      </w:hyperlink>
      <w:r>
        <w:rPr>
          <w:rFonts w:hint="eastAsia"/>
        </w:rPr>
        <w:t xml:space="preserve">，重复上述过程来列出并排定不确定性的优先级。可参考</w:t>
      </w:r>
      <w:hyperlink r:id="rId21">
        <w:r>
          <w:rPr>
            <w:rStyle w:val="Hyperlink"/>
            <w:rFonts w:hint="eastAsia"/>
          </w:rPr>
          <w:t xml:space="preserve">不确定性类别</w:t>
        </w:r>
      </w:hyperlink>
      <w:r>
        <w:rPr>
          <w:rFonts w:hint="eastAsia"/>
        </w:rPr>
        <w:t xml:space="preserve">来帮助你进行识别。</w:t>
      </w:r>
    </w:p>
    <w:p>
      <w:pPr>
        <w:numPr>
          <w:ilvl w:val="0"/>
          <w:numId w:val="1002"/>
        </w:numPr>
      </w:pPr>
      <w:r>
        <w:rPr>
          <w:rFonts w:hint="eastAsia"/>
        </w:rPr>
        <w:t xml:space="preserve">区分那些可以通过平均表现来评估的不确定性与作为风险事件的不确定性，这一点非常重要：</w:t>
      </w:r>
    </w:p>
    <w:p>
      <w:pPr>
        <w:numPr>
          <w:ilvl w:val="1"/>
          <w:numId w:val="1003"/>
        </w:numPr>
      </w:pPr>
      <w:r>
        <w:rPr>
          <w:rFonts w:hint="eastAsia"/>
        </w:rPr>
        <w:t xml:space="preserve">哪些不确定性来源适合用长期平均表现来刻画？</w:t>
      </w:r>
    </w:p>
    <w:p>
      <w:pPr>
        <w:numPr>
          <w:ilvl w:val="1"/>
          <w:numId w:val="1003"/>
        </w:numPr>
      </w:pPr>
      <w:r>
        <w:rPr>
          <w:rFonts w:hint="eastAsia"/>
        </w:rPr>
        <w:t xml:space="preserve">哪些不确定性来源代表了无法通过平均值恰当刻画的风险形式？</w:t>
      </w:r>
    </w:p>
    <w:p>
      <w:pPr>
        <w:numPr>
          <w:ilvl w:val="0"/>
          <w:numId w:val="1002"/>
        </w:numPr>
      </w:pPr>
      <w:r>
        <w:rPr>
          <w:rFonts w:hint="eastAsia"/>
        </w:rPr>
        <w:t xml:space="preserve">选出对最重要指标影响似乎最大的单一决策。</w:t>
      </w:r>
    </w:p>
    <w:p>
      <w:pPr>
        <w:numPr>
          <w:ilvl w:val="1"/>
          <w:numId w:val="1004"/>
        </w:numPr>
      </w:pPr>
      <w:r>
        <w:rPr>
          <w:rFonts w:hint="eastAsia"/>
        </w:rPr>
        <w:t xml:space="preserve">你认为应采用什么方法来做出这项决策？</w:t>
      </w:r>
    </w:p>
    <w:p>
      <w:pPr>
        <w:numPr>
          <w:ilvl w:val="1"/>
          <w:numId w:val="1004"/>
        </w:numPr>
      </w:pPr>
      <w:r>
        <w:rPr>
          <w:rFonts w:hint="eastAsia"/>
        </w:rPr>
        <w:t xml:space="preserve">做出这项决策似乎需要哪些数据，包括计算该决策具有高或中等影响的任何绩效指标所需的数据。</w:t>
      </w:r>
    </w:p>
    <w:p>
      <w:pPr>
        <w:numPr>
          <w:ilvl w:val="0"/>
          <w:numId w:val="1002"/>
        </w:numPr>
      </w:pPr>
      <w:r>
        <w:rPr>
          <w:rFonts w:hint="eastAsia"/>
        </w:rPr>
        <w:t xml:space="preserve">针对你在第</w:t>
      </w:r>
      <w:r>
        <w:t xml:space="preserve"> (7) </w:t>
      </w:r>
      <w:r>
        <w:rPr>
          <w:rFonts w:hint="eastAsia"/>
        </w:rPr>
        <w:t xml:space="preserve">题中确定的同一决策，识别出为实施该决策而需要合作的人员、部门、团队或组织。</w:t>
      </w:r>
    </w:p>
    <w:bookmarkEnd w:id="22"/>
    <w:bookmarkStart w:id="23" w:name="数据说明"/>
    <w:p>
      <w:pPr>
        <w:pStyle w:val="Heading1"/>
      </w:pPr>
      <w:r>
        <w:rPr>
          <w:rFonts w:hint="eastAsia"/>
        </w:rPr>
        <w:t xml:space="preserve">数据说明</w:t>
      </w:r>
    </w:p>
    <w:p>
      <w:pPr>
        <w:pStyle w:val="FirstParagraph"/>
      </w:pPr>
      <w:r>
        <w:rPr>
          <w:rFonts w:hint="eastAsia"/>
        </w:rPr>
        <w:t xml:space="preserve">北星生活及其高管、供应商、产品和运营数据均为虚构。市场背景基于美国公开数据。美国人口普查局报告称，2026</w:t>
      </w:r>
      <w:r>
        <w:t xml:space="preserve"> </w:t>
      </w:r>
      <w:r>
        <w:rPr>
          <w:rFonts w:hint="eastAsia"/>
        </w:rPr>
        <w:t xml:space="preserve">年</w:t>
      </w:r>
      <w:r>
        <w:t xml:space="preserve"> 5 </w:t>
      </w:r>
      <w:r>
        <w:rPr>
          <w:rFonts w:hint="eastAsia"/>
        </w:rPr>
        <w:t xml:space="preserve">月，制造商和贸易业总库存约为</w:t>
      </w:r>
      <w:r>
        <w:t xml:space="preserve"> 2.736 </w:t>
      </w:r>
      <w:r>
        <w:rPr>
          <w:rFonts w:hint="eastAsia"/>
        </w:rPr>
        <w:t xml:space="preserve">万亿美元，库存销售比为</w:t>
      </w:r>
      <w:r>
        <w:t xml:space="preserve"> </w:t>
      </w:r>
      <w:r>
        <w:rPr>
          <w:rFonts w:hint="eastAsia"/>
        </w:rPr>
        <w:t xml:space="preserve">1.28。人口普查局的零售数据显示，2026</w:t>
      </w:r>
      <w:r>
        <w:t xml:space="preserve"> </w:t>
      </w:r>
      <w:r>
        <w:rPr>
          <w:rFonts w:hint="eastAsia"/>
        </w:rPr>
        <w:t xml:space="preserve">年</w:t>
      </w:r>
      <w:r>
        <w:t xml:space="preserve"> 5 </w:t>
      </w:r>
      <w:r>
        <w:rPr>
          <w:rFonts w:hint="eastAsia"/>
        </w:rPr>
        <w:t xml:space="preserve">月家具、家居用品、电子产品和电器商店的库存约为</w:t>
      </w:r>
      <w:r>
        <w:t xml:space="preserve"> 307.36 </w:t>
      </w:r>
      <w:r>
        <w:rPr>
          <w:rFonts w:hint="eastAsia"/>
        </w:rPr>
        <w:t xml:space="preserve">亿美元，月销售额约为</w:t>
      </w:r>
      <w:r>
        <w:t xml:space="preserve"> 195.08 </w:t>
      </w:r>
      <w:r>
        <w:rPr>
          <w:rFonts w:hint="eastAsia"/>
        </w:rPr>
        <w:t xml:space="preserve">亿美元，库存销售比为</w:t>
      </w:r>
      <w:r>
        <w:t xml:space="preserve"> </w:t>
      </w:r>
      <w:r>
        <w:rPr>
          <w:rFonts w:hint="eastAsia"/>
        </w:rPr>
        <w:t xml:space="preserve">1.58。本案例所涉及的商业背景与规划张力借鉴了</w:t>
      </w:r>
      <w:r>
        <w:t xml:space="preserve"> Warren B. Powell </w:t>
      </w:r>
      <w:r>
        <w:rPr>
          <w:rFonts w:hint="eastAsia"/>
        </w:rPr>
        <w:t xml:space="preserve">所著</w:t>
      </w:r>
      <w:r>
        <w:t xml:space="preserve"> </w:t>
      </w:r>
      <w:r>
        <w:rPr>
          <w:i/>
          <w:iCs/>
        </w:rPr>
        <w:t xml:space="preserve">Bridging Decision Problems, Volume I</w:t>
      </w:r>
      <w:r>
        <w:t xml:space="preserve"> </w:t>
      </w:r>
      <w:r>
        <w:rPr>
          <w:rFonts w:hint="eastAsia"/>
        </w:rPr>
        <w:t xml:space="preserve">第</w:t>
      </w:r>
      <w:r>
        <w:t xml:space="preserve"> 2 </w:t>
      </w:r>
      <w:r>
        <w:rPr>
          <w:rFonts w:hint="eastAsia"/>
        </w:rPr>
        <w:t xml:space="preserve">章中关于库存规划的讨论。</w:t>
      </w:r>
    </w:p>
    <w:p>
      <w:pPr>
        <w:pStyle w:val="BodyText"/>
      </w:pPr>
      <w:r>
        <w:rPr>
          <w:rFonts w:hint="eastAsia"/>
        </w:rPr>
        <w:t xml:space="preserve">资料来源：美国人口普查局，《制造业与贸易库存及销售》，2026</w:t>
      </w:r>
      <w:r>
        <w:t xml:space="preserve"> </w:t>
      </w:r>
      <w:r>
        <w:rPr>
          <w:rFonts w:hint="eastAsia"/>
        </w:rPr>
        <w:t xml:space="preserve">年</w:t>
      </w:r>
      <w:r>
        <w:t xml:space="preserve"> 5 </w:t>
      </w:r>
      <w:r>
        <w:rPr>
          <w:rFonts w:hint="eastAsia"/>
        </w:rPr>
        <w:t xml:space="preserve">月；美国人口普查局月度零售贸易数据，2026</w:t>
      </w:r>
      <w:r>
        <w:t xml:space="preserve"> </w:t>
      </w:r>
      <w:r>
        <w:rPr>
          <w:rFonts w:hint="eastAsia"/>
        </w:rPr>
        <w:t xml:space="preserve">年</w:t>
      </w:r>
      <w:r>
        <w:t xml:space="preserve"> 5 </w:t>
      </w:r>
      <w:r>
        <w:rPr>
          <w:rFonts w:hint="eastAsia"/>
        </w:rPr>
        <w:t xml:space="preserve">月；Warren</w:t>
      </w:r>
      <w:r>
        <w:t xml:space="preserve"> B. </w:t>
      </w:r>
      <w:r>
        <w:rPr>
          <w:rFonts w:hint="eastAsia"/>
        </w:rPr>
        <w:t xml:space="preserve">Powell，</w:t>
      </w:r>
      <w:r>
        <w:rPr>
          <w:rFonts w:hint="eastAsia"/>
        </w:rPr>
        <w:t xml:space="preserve">“库存规划”</w:t>
      </w:r>
      <w:r>
        <w:rPr>
          <w:rFonts w:hint="eastAsia"/>
        </w:rPr>
        <w:t xml:space="preserve">，</w:t>
      </w:r>
      <w:r>
        <w:rPr>
          <w:i/>
          <w:iCs/>
        </w:rPr>
        <w:t xml:space="preserve">Bridging Decision Problems, Volume I</w:t>
      </w:r>
      <w:r>
        <w:rPr>
          <w:rFonts w:hint="eastAsia"/>
        </w:rPr>
        <w:t xml:space="preserve">，第</w:t>
      </w:r>
      <w:r>
        <w:t xml:space="preserve"> 2 </w:t>
      </w:r>
      <w:r>
        <w:rPr>
          <w:rFonts w:hint="eastAsia"/>
        </w:rPr>
        <w:t xml:space="preserve">章。访问日期：2026</w:t>
      </w:r>
      <w:r>
        <w:t xml:space="preserve"> </w:t>
      </w:r>
      <w:r>
        <w:rPr>
          <w:rFonts w:hint="eastAsia"/>
        </w:rPr>
        <w:t xml:space="preserve">年</w:t>
      </w:r>
      <w:r>
        <w:t xml:space="preserve"> 7 </w:t>
      </w:r>
      <w:r>
        <w:rPr>
          <w:rFonts w:hint="eastAsia"/>
        </w:rPr>
        <w:t xml:space="preserve">月</w:t>
      </w:r>
      <w:r>
        <w:t xml:space="preserve"> 30 </w:t>
      </w:r>
      <w:r>
        <w:rPr>
          <w:rFonts w:hint="eastAsia"/>
        </w:rPr>
        <w:t xml:space="preserve">日。</w:t>
      </w:r>
    </w:p>
    <w:bookmarkEnd w:id="23"/>
    <w:bookmarkStart w:id="26" w:name="chatgpt-说明"/>
    <w:p>
      <w:pPr>
        <w:pStyle w:val="Heading1"/>
      </w:pPr>
      <w:r>
        <w:t xml:space="preserve">ChatGPT </w:t>
      </w:r>
      <w:r>
        <w:rPr>
          <w:rFonts w:hint="eastAsia"/>
        </w:rPr>
        <w:t xml:space="preserve">说明</w:t>
      </w:r>
    </w:p>
    <w:bookmarkStart w:id="24" w:name="提示词"/>
    <w:p>
      <w:pPr>
        <w:pStyle w:val="Heading2"/>
      </w:pPr>
      <w:r>
        <w:rPr>
          <w:rFonts w:hint="eastAsia"/>
        </w:rPr>
        <w:t xml:space="preserve">提示词：</w:t>
      </w:r>
    </w:p>
    <w:p>
      <w:pPr>
        <w:pStyle w:val="FirstParagraph"/>
      </w:pPr>
      <w:r>
        <w:rPr>
          <w:rFonts w:hint="eastAsia"/>
        </w:rPr>
        <w:t xml:space="preserve">根据</w:t>
      </w:r>
      <w:r>
        <w:t xml:space="preserve"> https://warrenpowell.org/bridging-vol1/chapter-2/#inventoryplanning </w:t>
      </w:r>
      <w:r>
        <w:rPr>
          <w:rFonts w:hint="eastAsia"/>
        </w:rPr>
        <w:t xml:space="preserve">中库存规划一节的内容，撰写一篇</w:t>
      </w:r>
      <w:r>
        <w:t xml:space="preserve"> 3-5 </w:t>
      </w:r>
      <w:r>
        <w:rPr>
          <w:rFonts w:hint="eastAsia"/>
        </w:rPr>
        <w:t xml:space="preserve">页的案例研究。基于该节中的指标、决策和不确定性构建情境，但不要明确点出它们。用数据来引出你的商业问题。</w:t>
      </w:r>
    </w:p>
    <w:bookmarkEnd w:id="24"/>
    <w:bookmarkStart w:id="25" w:name="摘要"/>
    <w:p>
      <w:pPr>
        <w:pStyle w:val="Heading2"/>
      </w:pPr>
      <w:r>
        <w:rPr>
          <w:rFonts w:hint="eastAsia"/>
        </w:rPr>
        <w:t xml:space="preserve">摘要</w:t>
      </w:r>
    </w:p>
    <w:p>
      <w:pPr>
        <w:pStyle w:val="FirstParagraph"/>
      </w:pPr>
      <w:r>
        <w:rPr>
          <w:rFonts w:hint="eastAsia"/>
        </w:rPr>
        <w:t xml:space="preserve">本案例将库存规划的素材转化为一家虚构的紧凑型电器公司为假日季所做的筹备工作。案例内容涵盖：</w:t>
      </w:r>
    </w:p>
    <w:p>
      <w:pPr>
        <w:numPr>
          <w:ilvl w:val="0"/>
          <w:numId w:val="1005"/>
        </w:numPr>
      </w:pPr>
      <w:r>
        <w:rPr>
          <w:rFonts w:hint="eastAsia"/>
        </w:rPr>
        <w:t xml:space="preserve">漫长的国际补货周期</w:t>
      </w:r>
    </w:p>
    <w:p>
      <w:pPr>
        <w:numPr>
          <w:ilvl w:val="0"/>
          <w:numId w:val="1005"/>
        </w:numPr>
      </w:pPr>
      <w:r>
        <w:rPr>
          <w:rFonts w:hint="eastAsia"/>
        </w:rPr>
        <w:t xml:space="preserve">不确定的产品需求与预测误差</w:t>
      </w:r>
    </w:p>
    <w:p>
      <w:pPr>
        <w:numPr>
          <w:ilvl w:val="0"/>
          <w:numId w:val="1005"/>
        </w:numPr>
      </w:pPr>
      <w:r>
        <w:rPr>
          <w:rFonts w:hint="eastAsia"/>
        </w:rPr>
        <w:t xml:space="preserve">缺货的后果与过剩库存的降价处理</w:t>
      </w:r>
    </w:p>
    <w:p>
      <w:pPr>
        <w:numPr>
          <w:ilvl w:val="0"/>
          <w:numId w:val="1005"/>
        </w:numPr>
      </w:pPr>
      <w:r>
        <w:rPr>
          <w:rFonts w:hint="eastAsia"/>
        </w:rPr>
        <w:t xml:space="preserve">供应商选择与多元化</w:t>
      </w:r>
    </w:p>
    <w:p>
      <w:pPr>
        <w:numPr>
          <w:ilvl w:val="0"/>
          <w:numId w:val="1005"/>
        </w:numPr>
      </w:pPr>
      <w:r>
        <w:rPr>
          <w:rFonts w:hint="eastAsia"/>
        </w:rPr>
        <w:t xml:space="preserve">海运、铁路、卡车运输与紧急空运的选择</w:t>
      </w:r>
    </w:p>
    <w:p>
      <w:pPr>
        <w:numPr>
          <w:ilvl w:val="0"/>
          <w:numId w:val="1005"/>
        </w:numPr>
      </w:pPr>
      <w:r>
        <w:rPr>
          <w:rFonts w:hint="eastAsia"/>
        </w:rPr>
        <w:t xml:space="preserve">定价、广告、促销与渠道分配</w:t>
      </w:r>
    </w:p>
    <w:p>
      <w:pPr>
        <w:numPr>
          <w:ilvl w:val="0"/>
          <w:numId w:val="1005"/>
        </w:numPr>
      </w:pPr>
      <w:r>
        <w:rPr>
          <w:rFonts w:hint="eastAsia"/>
        </w:rPr>
        <w:t xml:space="preserve">库存记录差异与货运可视化</w:t>
      </w:r>
    </w:p>
    <w:p>
      <w:pPr>
        <w:numPr>
          <w:ilvl w:val="0"/>
          <w:numId w:val="1005"/>
        </w:numPr>
      </w:pPr>
      <w:r>
        <w:rPr>
          <w:rFonts w:hint="eastAsia"/>
        </w:rPr>
        <w:t xml:space="preserve">营运资金与仓储容量约束</w:t>
      </w:r>
    </w:p>
    <w:p>
      <w:pPr>
        <w:numPr>
          <w:ilvl w:val="0"/>
          <w:numId w:val="1005"/>
        </w:numPr>
      </w:pPr>
      <w:r>
        <w:rPr>
          <w:rFonts w:hint="eastAsia"/>
        </w:rPr>
        <w:t xml:space="preserve">罕见中断事件，包括港口关闭、关税变化、网络攻击与供应商停产</w:t>
      </w:r>
    </w:p>
    <w:p>
      <w:pPr>
        <w:numPr>
          <w:ilvl w:val="0"/>
          <w:numId w:val="1005"/>
        </w:numPr>
      </w:pPr>
      <w:r>
        <w:rPr>
          <w:rFonts w:hint="eastAsia"/>
        </w:rPr>
        <w:t xml:space="preserve">定量图表与悬而未决的讨论问题</w:t>
      </w:r>
    </w:p>
    <w:p>
      <w:pPr>
        <w:pStyle w:val="FirstParagraph"/>
      </w:pPr>
      <w:r>
        <w:rPr>
          <w:rFonts w:hint="eastAsia"/>
        </w:rPr>
        <w:t xml:space="preserve">本案例以</w:t>
      </w:r>
      <w:r>
        <w:t xml:space="preserve"> 2026 </w:t>
      </w:r>
      <w:r>
        <w:rPr>
          <w:rFonts w:hint="eastAsia"/>
        </w:rPr>
        <w:t xml:space="preserve">年</w:t>
      </w:r>
      <w:r>
        <w:t xml:space="preserve"> 5 </w:t>
      </w:r>
      <w:r>
        <w:rPr>
          <w:rFonts w:hint="eastAsia"/>
        </w:rPr>
        <w:t xml:space="preserve">月的人口普查数据为引子，该数据显示美国企业总库存约达</w:t>
      </w:r>
      <w:r>
        <w:t xml:space="preserve"> </w:t>
      </w:r>
      <w:r>
        <w:rPr>
          <w:b/>
          <w:bCs/>
        </w:rPr>
        <w:t xml:space="preserve">2.74 </w:t>
      </w:r>
      <w:r>
        <w:rPr>
          <w:rFonts w:hint="eastAsia"/>
          <w:b/>
          <w:bCs/>
        </w:rPr>
        <w:t xml:space="preserve">万亿美元</w:t>
      </w:r>
      <w:r>
        <w:rPr>
          <w:rFonts w:hint="eastAsia"/>
        </w:rPr>
        <w:t xml:space="preserve">，而家具、家居用品、电子产品和电器零售商的库存销售比为</w:t>
      </w:r>
      <w:r>
        <w:t xml:space="preserve"> </w:t>
      </w:r>
      <w:r>
        <w:rPr>
          <w:b/>
          <w:bCs/>
        </w:rPr>
        <w:t xml:space="preserve">1.58</w:t>
      </w:r>
      <w:r>
        <w:t xml:space="preserve">。</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warrenpowell.org/decision-framing-tool/#decision-prioritization-tool" TargetMode="External" /><Relationship Type="http://schemas.openxmlformats.org/officeDocument/2006/relationships/hyperlink" Id="rId17" Target="https://warrenpowell.org/decision-framing-tool/#metrics-pyramid-tool" TargetMode="External" /><Relationship Type="http://schemas.openxmlformats.org/officeDocument/2006/relationships/hyperlink" Id="rId20" Target="https://warrenpowell.org/decision-framing-tool/#uncertainty-prioritization-tool" TargetMode="External" /><Relationship Type="http://schemas.openxmlformats.org/officeDocument/2006/relationships/hyperlink" Id="rId19" Target="https://warrenpowell.org/decisionsdecisions/#types-of-decision-settings" TargetMode="External" /><Relationship Type="http://schemas.openxmlformats.org/officeDocument/2006/relationships/hyperlink" Id="rId21"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18" Target="https://warrenpowell.org/decision-framing-tool/#decision-prioritization-tool" TargetMode="External" /><Relationship Type="http://schemas.openxmlformats.org/officeDocument/2006/relationships/hyperlink" Id="rId17" Target="https://warrenpowell.org/decision-framing-tool/#metrics-pyramid-tool" TargetMode="External" /><Relationship Type="http://schemas.openxmlformats.org/officeDocument/2006/relationships/hyperlink" Id="rId20" Target="https://warrenpowell.org/decision-framing-tool/#uncertainty-prioritization-tool" TargetMode="External" /><Relationship Type="http://schemas.openxmlformats.org/officeDocument/2006/relationships/hyperlink" Id="rId19" Target="https://warrenpowell.org/decisionsdecisions/#types-of-decision-settings" TargetMode="External" /><Relationship Type="http://schemas.openxmlformats.org/officeDocument/2006/relationships/hyperlink" Id="rId21"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2026-09-11T17:19:11Z</dcterms:created>
  <dcterms:modified xsi:type="dcterms:W3CDTF">2026-09-11T17:19:11Z</dcterms:modified>
</cp:coreProperties>
</file>

<file path=docProps/custom.xml><?xml version="1.0" encoding="utf-8"?>
<Properties xmlns="http://schemas.openxmlformats.org/officeDocument/2006/custom-properties" xmlns:vt="http://schemas.openxmlformats.org/officeDocument/2006/docPropsVTypes"/>
</file>