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PRAIRIELINE FREIGHT</w:t>
      </w:r>
    </w:p>
    <w:p>
      <w:pPr>
        <w:pStyle w:val="BodyText"/>
      </w:pPr>
      <w:r>
        <w:rPr>
          <w:rFonts w:hint="eastAsia"/>
        </w:rPr>
        <w:t xml:space="preserve">周五午后的调度</w:t>
      </w:r>
    </w:p>
    <w:p>
      <w:pPr>
        <w:pStyle w:val="BodyText"/>
      </w:pPr>
      <w:r>
        <w:rPr>
          <w:rFonts w:hint="eastAsia"/>
        </w:rPr>
        <w:t xml:space="preserve">一份关于货运选择、司机分配、到家时间与网络平衡的整车运输车队管理案例</w:t>
      </w:r>
    </w:p>
    <w:p>
      <w:pPr>
        <w:pStyle w:val="BodyText"/>
      </w:pPr>
      <w:r>
        <w:rPr>
          <w:rFonts w:hint="eastAsia"/>
        </w:rPr>
        <w:t xml:space="preserve">本案例为虚构内容，仅供教学讨论之用。名称、事件、客户及内部数据均为虚构，尽管其行业背景参考了公开数据。</w:t>
      </w:r>
    </w:p>
    <w:bookmarkStart w:id="9" w:name="一支位置错乱的车队"/>
    <w:p>
      <w:pPr>
        <w:pStyle w:val="Heading1"/>
      </w:pPr>
      <w:r>
        <w:rPr>
          <w:rFonts w:hint="eastAsia"/>
        </w:rPr>
        <w:t xml:space="preserve">一支位置错乱的车队</w:t>
      </w:r>
    </w:p>
    <w:p>
      <w:pPr>
        <w:pStyle w:val="FirstParagraph"/>
      </w:pPr>
      <w:r>
        <w:rPr>
          <w:rFonts w:hint="eastAsia"/>
        </w:rPr>
        <w:t xml:space="preserve">2026年9月18日，星期五，下午2点40分，PrairieLine</w:t>
      </w:r>
      <w:r>
        <w:t xml:space="preserve"> </w:t>
      </w:r>
      <w:r>
        <w:rPr>
          <w:rFonts w:hint="eastAsia"/>
        </w:rPr>
        <w:t xml:space="preserve">Freight运营副总裁玛雅·陈（Maya</w:t>
      </w:r>
      <w:r>
        <w:t xml:space="preserve"> </w:t>
      </w:r>
      <w:r>
        <w:rPr>
          <w:rFonts w:hint="eastAsia"/>
        </w:rPr>
        <w:t xml:space="preserve">Chen）正端详着一张地图，上面标示着散布在美国东部三分之二地区的1,184台牵引车。到午夜时，167名司机将完成送货任务。另有94名司机将于周六早上开始可用。调度团队手头有312单需在周一前交付的已承诺货运、138单等待答复的新到货运邀约，以及一份不断增长的、期望在周末结束前回家的司机名单。</w:t>
      </w:r>
    </w:p>
    <w:p>
      <w:pPr>
        <w:pStyle w:val="BodyText"/>
      </w:pPr>
      <w:r>
        <w:rPr>
          <w:rFonts w:hint="eastAsia"/>
        </w:rPr>
        <w:t xml:space="preserve">问题并非货源不足，而是货运、司机、约定时间与价格彼此错位。47名可用司机集中在亚特兰大和新泽西北部一带，而当地的出港运价疲软。与此同时，几位长期合作客户提供了来自俄亥俄州中部、爱荷华州东部和田纳西州西部的高价值货运。让司机空载驶向这些市场，将在产生一英里营收之前先消耗燃料、司机工时和设备运力。</w:t>
      </w:r>
    </w:p>
    <w:p>
      <w:pPr>
        <w:pStyle w:val="BodyText"/>
      </w:pPr>
      <w:r>
        <w:rPr>
          <w:rFonts w:hint="eastAsia"/>
        </w:rPr>
        <w:t xml:space="preserve">风险不容小觑。2024年，卡车运输了111.27亿吨美国货物，行业营收约为9,060亿美元。卡车运输业还支撑着840万个行业相关岗位，其中包括358万名专业司机。然而市场表现并不平稳：疫情后货运量已经走软，合同价格承压，承运商仍须在应对短期机会的同时，维护对战略客户的服务水平。</w:t>
      </w:r>
    </w:p>
    <w:tbl>
      <w:tblPr>
        <w:tblStyle w:val="Table"/>
        <w:tblW w:type="auto" w:w="0"/>
        <w:tblLook w:firstRow="0" w:lastRow="0" w:firstColumn="0" w:lastColumn="0" w:noHBand="0" w:noVBand="0" w:val="0000"/>
      </w:tblPr>
      <w:tblGrid>
        <w:gridCol w:w="7920"/>
      </w:tblGrid>
      <w:tr>
        <w:tc>
          <w:tcPr/>
          <w:p>
            <w:pPr>
              <w:pStyle w:val="Compact"/>
              <w:jc w:val="left"/>
            </w:pPr>
            <w:r>
              <w:rPr>
                <w:rFonts w:hint="eastAsia"/>
              </w:rPr>
              <w:t xml:space="preserve">PrairieLine可以通过将司机派往报酬最高的货运来提升本周末的利润率。但这样做也可能损害客户关系，让司机滞留在远离家的地方，或使周一的网络处于不利位置。</w:t>
            </w:r>
          </w:p>
        </w:tc>
      </w:tr>
    </w:tbl>
    <w:p>
      <w:r>
        <w:pict>
          <v:rect style="width:0;height:1.5pt" o:hralign="center" o:hrstd="t" o:hr="t"/>
        </w:pict>
      </w:r>
    </w:p>
    <w:bookmarkEnd w:id="9"/>
    <w:bookmarkStart w:id="11" w:name="prairieline-freight"/>
    <w:p>
      <w:pPr>
        <w:pStyle w:val="Heading1"/>
      </w:pPr>
      <w:r>
        <w:t xml:space="preserve">PrairieLine Freight</w:t>
      </w:r>
    </w:p>
    <w:p>
      <w:pPr>
        <w:pStyle w:val="FirstParagraph"/>
      </w:pPr>
      <w:r>
        <w:rPr>
          <w:rFonts w:hint="eastAsia"/>
        </w:rPr>
        <w:t xml:space="preserve">PrairieLine是一家总部位于印第安纳波利斯的私人控股整车运输承运商。公司运营着1,250台牵引车和3,800台挂车，在印第安纳州、佐治亚州、宾夕法尼亚州、得克萨斯州和密苏里州设有车队站点。约70%的货运业务来自与制造商、零售商、食品公司和建材企业签订的年度合同。其余部分则来自短期客户请求、货运经纪商和公共货运信息板。</w:t>
      </w:r>
    </w:p>
    <w:p>
      <w:pPr>
        <w:pStyle w:val="BodyText"/>
      </w:pPr>
      <w:r>
        <w:rPr>
          <w:rFonts w:hint="eastAsia"/>
        </w:rPr>
        <w:t xml:space="preserve">公司雇用区域型、专线型和长途型司机。区域型司机通常期望每个周末都能回家。专线型司机服务于固定客户，行驶路线相对可预测。长途型司机接受更广泛的地理任务安排，但同样有承诺的到家日期。公司的发展部分得益于其对可靠到家时间的宣传，以及给予司机一定的自主权，允许他们拒绝那些与家庭需求、安全顾虑或偏好运营区域相冲突的任务安排。</w:t>
      </w:r>
    </w:p>
    <w:p>
      <w:pPr>
        <w:pStyle w:val="BodyText"/>
      </w:pPr>
      <w:r>
        <w:rPr>
          <w:rFonts w:hint="eastAsia"/>
        </w:rPr>
        <w:t xml:space="preserve">招募替补司机成本高昂。美国劳工统计局报告称，2025年重型及联结式卡车司机人数超过200万，年薪中位数接近59,700美元。该机构预测未来十年内每年将新增约237,600个职位空缺，主要原因是员工退休或离职。PrairieLine估计，招募、入职培训以及让一名新司机达到正常生产力水平的成本为9,000美元至14,000美元，还不包括牵引车闲置期间损失的营收。</w:t>
      </w:r>
    </w:p>
    <w:bookmarkStart w:id="10" w:name="图-1.-prairieline运营概况"/>
    <w:p>
      <w:pPr>
        <w:pStyle w:val="Heading2"/>
      </w:pPr>
      <w:r>
        <w:rPr>
          <w:rFonts w:hint="eastAsia"/>
        </w:rPr>
        <w:t xml:space="preserve">图</w:t>
      </w:r>
      <w:r>
        <w:t xml:space="preserve"> 1. </w:t>
      </w:r>
      <w:r>
        <w:rPr>
          <w:rFonts w:hint="eastAsia"/>
        </w:rPr>
        <w:t xml:space="preserve">PrairieLine运营概况</w:t>
      </w:r>
    </w:p>
    <w:tbl>
      <w:tblPr>
        <w:tblStyle w:val="Table"/>
        <w:tblW w:type="pct" w:w="4861"/>
        <w:tblLayout w:type="fixed"/>
        <w:tblLook w:firstRow="1" w:lastRow="0" w:firstColumn="0" w:lastColumn="0" w:noHBand="0" w:noVBand="0" w:val="0020"/>
      </w:tblPr>
      <w:tblGrid>
        <w:gridCol w:w="3960"/>
        <w:gridCol w:w="1210"/>
        <w:gridCol w:w="1210"/>
        <w:gridCol w:w="132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2024年</w:t>
            </w:r>
          </w:p>
        </w:tc>
        <w:tc>
          <w:tcPr/>
          <w:p>
            <w:pPr>
              <w:pStyle w:val="Compact"/>
              <w:jc w:val="right"/>
            </w:pPr>
            <w:r>
              <w:rPr>
                <w:rFonts w:hint="eastAsia"/>
              </w:rPr>
              <w:t xml:space="preserve">2025年</w:t>
            </w:r>
          </w:p>
        </w:tc>
        <w:tc>
          <w:tcPr/>
          <w:p>
            <w:pPr>
              <w:pStyle w:val="Compact"/>
              <w:jc w:val="right"/>
            </w:pPr>
            <w:r>
              <w:rPr>
                <w:rFonts w:hint="eastAsia"/>
              </w:rPr>
              <w:t xml:space="preserve">2026年年初至今</w:t>
            </w:r>
          </w:p>
        </w:tc>
      </w:tr>
      <w:tr>
        <w:tc>
          <w:tcPr/>
          <w:p>
            <w:pPr>
              <w:pStyle w:val="Compact"/>
              <w:jc w:val="left"/>
            </w:pPr>
            <w:r>
              <w:rPr>
                <w:rFonts w:hint="eastAsia"/>
              </w:rPr>
              <w:t xml:space="preserve">平均在岗牵引车数量</w:t>
            </w:r>
          </w:p>
        </w:tc>
        <w:tc>
          <w:tcPr/>
          <w:p>
            <w:pPr>
              <w:pStyle w:val="Compact"/>
              <w:jc w:val="right"/>
            </w:pPr>
            <w:r>
              <w:t xml:space="preserve">1,108</w:t>
            </w:r>
          </w:p>
        </w:tc>
        <w:tc>
          <w:tcPr/>
          <w:p>
            <w:pPr>
              <w:pStyle w:val="Compact"/>
              <w:jc w:val="right"/>
            </w:pPr>
            <w:r>
              <w:t xml:space="preserve">1,176</w:t>
            </w:r>
          </w:p>
        </w:tc>
        <w:tc>
          <w:tcPr/>
          <w:p>
            <w:pPr>
              <w:pStyle w:val="Compact"/>
              <w:jc w:val="right"/>
            </w:pPr>
            <w:r>
              <w:t xml:space="preserve">1,184</w:t>
            </w:r>
          </w:p>
        </w:tc>
      </w:tr>
      <w:tr>
        <w:tc>
          <w:tcPr/>
          <w:p>
            <w:pPr>
              <w:pStyle w:val="Compact"/>
              <w:jc w:val="left"/>
            </w:pPr>
            <w:r>
              <w:rPr>
                <w:rFonts w:hint="eastAsia"/>
              </w:rPr>
              <w:t xml:space="preserve">每装载英里营收</w:t>
            </w:r>
          </w:p>
        </w:tc>
        <w:tc>
          <w:tcPr/>
          <w:p>
            <w:pPr>
              <w:pStyle w:val="Compact"/>
              <w:jc w:val="right"/>
            </w:pPr>
            <w:r>
              <w:t xml:space="preserve">$2.49</w:t>
            </w:r>
          </w:p>
        </w:tc>
        <w:tc>
          <w:tcPr/>
          <w:p>
            <w:pPr>
              <w:pStyle w:val="Compact"/>
              <w:jc w:val="right"/>
            </w:pPr>
            <w:r>
              <w:t xml:space="preserve">$2.42</w:t>
            </w:r>
          </w:p>
        </w:tc>
        <w:tc>
          <w:tcPr/>
          <w:p>
            <w:pPr>
              <w:pStyle w:val="Compact"/>
              <w:jc w:val="right"/>
            </w:pPr>
            <w:r>
              <w:t xml:space="preserve">$2.46</w:t>
            </w:r>
          </w:p>
        </w:tc>
      </w:tr>
      <w:tr>
        <w:tc>
          <w:tcPr/>
          <w:p>
            <w:pPr>
              <w:pStyle w:val="Compact"/>
              <w:jc w:val="left"/>
            </w:pPr>
            <w:r>
              <w:rPr>
                <w:rFonts w:hint="eastAsia"/>
              </w:rPr>
              <w:t xml:space="preserve">每总英里运营成本</w:t>
            </w:r>
          </w:p>
        </w:tc>
        <w:tc>
          <w:tcPr/>
          <w:p>
            <w:pPr>
              <w:pStyle w:val="Compact"/>
              <w:jc w:val="right"/>
            </w:pPr>
            <w:r>
              <w:t xml:space="preserve">$2.07</w:t>
            </w:r>
          </w:p>
        </w:tc>
        <w:tc>
          <w:tcPr/>
          <w:p>
            <w:pPr>
              <w:pStyle w:val="Compact"/>
              <w:jc w:val="right"/>
            </w:pPr>
            <w:r>
              <w:t xml:space="preserve">$2.10</w:t>
            </w:r>
          </w:p>
        </w:tc>
        <w:tc>
          <w:tcPr/>
          <w:p>
            <w:pPr>
              <w:pStyle w:val="Compact"/>
              <w:jc w:val="right"/>
            </w:pPr>
            <w:r>
              <w:t xml:space="preserve">$2.16</w:t>
            </w:r>
          </w:p>
        </w:tc>
      </w:tr>
      <w:tr>
        <w:tc>
          <w:tcPr/>
          <w:p>
            <w:pPr>
              <w:pStyle w:val="Compact"/>
              <w:jc w:val="left"/>
            </w:pPr>
            <w:r>
              <w:rPr>
                <w:rFonts w:hint="eastAsia"/>
              </w:rPr>
              <w:t xml:space="preserve">空驶英里占总英里比例</w:t>
            </w:r>
          </w:p>
        </w:tc>
        <w:tc>
          <w:tcPr/>
          <w:p>
            <w:pPr>
              <w:pStyle w:val="Compact"/>
              <w:jc w:val="right"/>
            </w:pPr>
            <w:r>
              <w:t xml:space="preserve">12.8%</w:t>
            </w:r>
          </w:p>
        </w:tc>
        <w:tc>
          <w:tcPr/>
          <w:p>
            <w:pPr>
              <w:pStyle w:val="Compact"/>
              <w:jc w:val="right"/>
            </w:pPr>
            <w:r>
              <w:t xml:space="preserve">13.6%</w:t>
            </w:r>
          </w:p>
        </w:tc>
        <w:tc>
          <w:tcPr/>
          <w:p>
            <w:pPr>
              <w:pStyle w:val="Compact"/>
              <w:jc w:val="right"/>
            </w:pPr>
            <w:r>
              <w:t xml:space="preserve">14.4%</w:t>
            </w:r>
          </w:p>
        </w:tc>
      </w:tr>
      <w:tr>
        <w:tc>
          <w:tcPr/>
          <w:p>
            <w:pPr>
              <w:pStyle w:val="Compact"/>
              <w:jc w:val="left"/>
            </w:pPr>
            <w:r>
              <w:rPr>
                <w:rFonts w:hint="eastAsia"/>
              </w:rPr>
              <w:t xml:space="preserve">每司机每周平均英里数</w:t>
            </w:r>
          </w:p>
        </w:tc>
        <w:tc>
          <w:tcPr/>
          <w:p>
            <w:pPr>
              <w:pStyle w:val="Compact"/>
              <w:jc w:val="right"/>
            </w:pPr>
            <w:r>
              <w:t xml:space="preserve">2,216</w:t>
            </w:r>
          </w:p>
        </w:tc>
        <w:tc>
          <w:tcPr/>
          <w:p>
            <w:pPr>
              <w:pStyle w:val="Compact"/>
              <w:jc w:val="right"/>
            </w:pPr>
            <w:r>
              <w:t xml:space="preserve">2,162</w:t>
            </w:r>
          </w:p>
        </w:tc>
        <w:tc>
          <w:tcPr/>
          <w:p>
            <w:pPr>
              <w:pStyle w:val="Compact"/>
              <w:jc w:val="right"/>
            </w:pPr>
            <w:r>
              <w:t xml:space="preserve">2,118</w:t>
            </w:r>
          </w:p>
        </w:tc>
      </w:tr>
      <w:tr>
        <w:tc>
          <w:tcPr/>
          <w:p>
            <w:pPr>
              <w:pStyle w:val="Compact"/>
              <w:jc w:val="left"/>
            </w:pPr>
            <w:r>
              <w:rPr>
                <w:rFonts w:hint="eastAsia"/>
              </w:rPr>
              <w:t xml:space="preserve">准时提货与送货率</w:t>
            </w:r>
          </w:p>
        </w:tc>
        <w:tc>
          <w:tcPr/>
          <w:p>
            <w:pPr>
              <w:pStyle w:val="Compact"/>
              <w:jc w:val="right"/>
            </w:pPr>
            <w:r>
              <w:t xml:space="preserve">96.1%</w:t>
            </w:r>
          </w:p>
        </w:tc>
        <w:tc>
          <w:tcPr/>
          <w:p>
            <w:pPr>
              <w:pStyle w:val="Compact"/>
              <w:jc w:val="right"/>
            </w:pPr>
            <w:r>
              <w:t xml:space="preserve">95.4%</w:t>
            </w:r>
          </w:p>
        </w:tc>
        <w:tc>
          <w:tcPr/>
          <w:p>
            <w:pPr>
              <w:pStyle w:val="Compact"/>
              <w:jc w:val="right"/>
            </w:pPr>
            <w:r>
              <w:t xml:space="preserve">94.7%</w:t>
            </w:r>
          </w:p>
        </w:tc>
      </w:tr>
      <w:tr>
        <w:tc>
          <w:tcPr/>
          <w:p>
            <w:pPr>
              <w:pStyle w:val="Compact"/>
              <w:jc w:val="left"/>
            </w:pPr>
            <w:r>
              <w:rPr>
                <w:rFonts w:hint="eastAsia"/>
              </w:rPr>
              <w:t xml:space="preserve">司机按承诺日期到家比例</w:t>
            </w:r>
          </w:p>
        </w:tc>
        <w:tc>
          <w:tcPr/>
          <w:p>
            <w:pPr>
              <w:pStyle w:val="Compact"/>
              <w:jc w:val="right"/>
            </w:pPr>
            <w:r>
              <w:t xml:space="preserve">91.8%</w:t>
            </w:r>
          </w:p>
        </w:tc>
        <w:tc>
          <w:tcPr/>
          <w:p>
            <w:pPr>
              <w:pStyle w:val="Compact"/>
              <w:jc w:val="right"/>
            </w:pPr>
            <w:r>
              <w:t xml:space="preserve">89.6%</w:t>
            </w:r>
          </w:p>
        </w:tc>
        <w:tc>
          <w:tcPr/>
          <w:p>
            <w:pPr>
              <w:pStyle w:val="Compact"/>
              <w:jc w:val="right"/>
            </w:pPr>
            <w:r>
              <w:t xml:space="preserve">87.9%</w:t>
            </w:r>
          </w:p>
        </w:tc>
      </w:tr>
      <w:tr>
        <w:tc>
          <w:tcPr/>
          <w:p>
            <w:pPr>
              <w:pStyle w:val="Compact"/>
              <w:jc w:val="left"/>
            </w:pPr>
            <w:r>
              <w:rPr>
                <w:rFonts w:hint="eastAsia"/>
              </w:rPr>
              <w:t xml:space="preserve">年化司机流失率</w:t>
            </w:r>
          </w:p>
        </w:tc>
        <w:tc>
          <w:tcPr/>
          <w:p>
            <w:pPr>
              <w:pStyle w:val="Compact"/>
              <w:jc w:val="right"/>
            </w:pPr>
            <w:r>
              <w:t xml:space="preserve">63%</w:t>
            </w:r>
          </w:p>
        </w:tc>
        <w:tc>
          <w:tcPr/>
          <w:p>
            <w:pPr>
              <w:pStyle w:val="Compact"/>
              <w:jc w:val="right"/>
            </w:pPr>
            <w:r>
              <w:t xml:space="preserve">69%</w:t>
            </w:r>
          </w:p>
        </w:tc>
        <w:tc>
          <w:tcPr/>
          <w:p>
            <w:pPr>
              <w:pStyle w:val="Compact"/>
              <w:jc w:val="right"/>
            </w:pPr>
            <w:r>
              <w:t xml:space="preserve">74%</w:t>
            </w:r>
          </w:p>
        </w:tc>
      </w:tr>
    </w:tbl>
    <w:p>
      <w:pPr>
        <w:pStyle w:val="BodyText"/>
      </w:pPr>
      <w:r>
        <w:rPr>
          <w:rFonts w:hint="eastAsia"/>
        </w:rPr>
        <w:t xml:space="preserve">来源：PrairieLine内部估算；所有数据均为虚构。</w:t>
      </w:r>
    </w:p>
    <w:bookmarkEnd w:id="10"/>
    <w:bookmarkEnd w:id="11"/>
    <w:bookmarkStart w:id="13" w:name="利润的地理学"/>
    <w:p>
      <w:pPr>
        <w:pStyle w:val="Heading1"/>
      </w:pPr>
      <w:r>
        <w:rPr>
          <w:rFonts w:hint="eastAsia"/>
        </w:rPr>
        <w:t xml:space="preserve">利润的地理学</w:t>
      </w:r>
    </w:p>
    <w:p>
      <w:pPr>
        <w:pStyle w:val="FirstParagraph"/>
      </w:pPr>
      <w:r>
        <w:rPr>
          <w:rFonts w:hint="eastAsia"/>
        </w:rPr>
        <w:t xml:space="preserve">整车货运很少能实现平衡的往返配对。PrairieLine从中西部向东北部和东南部运送家电和工业产品，能获得可观的运价。但返程往往缺乏吸引力。围绕纽约、费城、亚特兰大和佛罗里达的消费市场接收大量货物，但产出的高价出港货运却很少。送货到这些地区的司机可能需要等待、接受低价货运，或空载驶向更强劲的市场。</w:t>
      </w:r>
    </w:p>
    <w:p>
      <w:pPr>
        <w:pStyle w:val="BodyText"/>
      </w:pPr>
      <w:r>
        <w:rPr>
          <w:rFonts w:hint="eastAsia"/>
        </w:rPr>
        <w:t xml:space="preserve">因此，调度员评估的不仅仅是单一货运的利润率。一次利润可观的运输，如果目的地市场疲弱，可能会拉低司机随后数天的营收。反之，一单低价货运若能带司机驶向更强劲的市场或驶向家的方向，也可能是有价值的。一单货运的价值取决于交付之后会发生什么，但大部分未来的货运此时尚未被提供出来。</w:t>
      </w:r>
    </w:p>
    <w:p>
      <w:pPr>
        <w:pStyle w:val="BodyText"/>
      </w:pPr>
      <w:r>
        <w:rPr>
          <w:rFonts w:hint="eastAsia"/>
        </w:rPr>
        <w:t xml:space="preserve">燃油放大了空驶带来的后果。2025年，美国公路柴油零售价平均约为每加仑3.95美元，此前2022年平均为5.21美元，2023年平均为4.58美元。以每加仑6.8英里的油耗计算，按2025年平均油价，每100英里空驶将使PrairieLine花费约58美元燃油成本，这还不包括司机薪酬、维护、轮胎、保险以及占用合法驾驶时长所产生的机会成本。</w:t>
      </w:r>
    </w:p>
    <w:bookmarkStart w:id="12" w:name="图-2.-周五下午可选货运清单"/>
    <w:p>
      <w:pPr>
        <w:pStyle w:val="Heading2"/>
      </w:pPr>
      <w:r>
        <w:rPr>
          <w:rFonts w:hint="eastAsia"/>
        </w:rPr>
        <w:t xml:space="preserve">图</w:t>
      </w:r>
      <w:r>
        <w:t xml:space="preserve"> 2. </w:t>
      </w:r>
      <w:r>
        <w:rPr>
          <w:rFonts w:hint="eastAsia"/>
        </w:rPr>
        <w:t xml:space="preserve">周五下午可选货运清单</w:t>
      </w:r>
    </w:p>
    <w:tbl>
      <w:tblPr>
        <w:tblStyle w:val="Table"/>
        <w:tblW w:type="pct" w:w="4910"/>
        <w:tblLayout w:type="fixed"/>
        <w:tblLook w:firstRow="1" w:lastRow="0" w:firstColumn="0" w:lastColumn="0" w:noHBand="0" w:noVBand="0" w:val="0020"/>
      </w:tblPr>
      <w:tblGrid>
        <w:gridCol w:w="499"/>
        <w:gridCol w:w="2497"/>
        <w:gridCol w:w="713"/>
        <w:gridCol w:w="1070"/>
        <w:gridCol w:w="1712"/>
        <w:gridCol w:w="1284"/>
      </w:tblGrid>
      <w:tr>
        <w:trPr>
          <w:tblHeader w:val="on"/>
        </w:trPr>
        <w:tc>
          <w:tcPr/>
          <w:p>
            <w:pPr>
              <w:pStyle w:val="Compact"/>
            </w:pPr>
            <w:r>
              <w:rPr>
                <w:rFonts w:hint="eastAsia"/>
              </w:rPr>
              <w:t xml:space="preserve">货运编号</w:t>
            </w:r>
          </w:p>
        </w:tc>
        <w:tc>
          <w:tcPr/>
          <w:p>
            <w:pPr>
              <w:pStyle w:val="Compact"/>
              <w:jc w:val="center"/>
            </w:pPr>
            <w:r>
              <w:rPr>
                <w:rFonts w:hint="eastAsia"/>
              </w:rPr>
              <w:t xml:space="preserve">起点</w:t>
            </w:r>
            <w:r>
              <w:t xml:space="preserve"> → </w:t>
            </w:r>
            <w:r>
              <w:rPr>
                <w:rFonts w:hint="eastAsia"/>
              </w:rPr>
              <w:t xml:space="preserve">终点</w:t>
            </w:r>
          </w:p>
        </w:tc>
        <w:tc>
          <w:tcPr/>
          <w:p>
            <w:pPr>
              <w:pStyle w:val="Compact"/>
              <w:jc w:val="center"/>
            </w:pPr>
            <w:r>
              <w:rPr>
                <w:rFonts w:hint="eastAsia"/>
              </w:rPr>
              <w:t xml:space="preserve">营收</w:t>
            </w:r>
          </w:p>
        </w:tc>
        <w:tc>
          <w:tcPr/>
          <w:p>
            <w:pPr>
              <w:pStyle w:val="Compact"/>
              <w:jc w:val="center"/>
            </w:pPr>
            <w:r>
              <w:rPr>
                <w:rFonts w:hint="eastAsia"/>
              </w:rPr>
              <w:t xml:space="preserve">装载英里数</w:t>
            </w:r>
          </w:p>
        </w:tc>
        <w:tc>
          <w:tcPr/>
          <w:p>
            <w:pPr>
              <w:pStyle w:val="Compact"/>
              <w:jc w:val="center"/>
            </w:pPr>
            <w:r>
              <w:rPr>
                <w:rFonts w:hint="eastAsia"/>
              </w:rPr>
              <w:t xml:space="preserve">到提货点空驶英里数</w:t>
            </w:r>
          </w:p>
        </w:tc>
        <w:tc>
          <w:tcPr/>
          <w:p>
            <w:pPr>
              <w:pStyle w:val="Compact"/>
              <w:jc w:val="right"/>
            </w:pPr>
            <w:r>
              <w:rPr>
                <w:rFonts w:hint="eastAsia"/>
              </w:rPr>
              <w:t xml:space="preserve">提货截止时间</w:t>
            </w:r>
          </w:p>
        </w:tc>
      </w:tr>
      <w:tr>
        <w:tc>
          <w:tcPr/>
          <w:p>
            <w:pPr>
              <w:pStyle w:val="Compact"/>
            </w:pPr>
            <w:r>
              <w:t xml:space="preserve">A</w:t>
            </w:r>
          </w:p>
        </w:tc>
        <w:tc>
          <w:tcPr/>
          <w:p>
            <w:pPr>
              <w:pStyle w:val="Compact"/>
              <w:jc w:val="center"/>
            </w:pPr>
            <w:r>
              <w:rPr>
                <w:rFonts w:hint="eastAsia"/>
              </w:rPr>
              <w:t xml:space="preserve">哥伦布，俄亥俄州</w:t>
            </w:r>
            <w:r>
              <w:t xml:space="preserve"> → </w:t>
            </w:r>
            <w:r>
              <w:rPr>
                <w:rFonts w:hint="eastAsia"/>
              </w:rPr>
              <w:t xml:space="preserve">纽瓦克，新泽</w:t>
            </w:r>
          </w:p>
        </w:tc>
        <w:tc>
          <w:tcPr/>
          <w:p>
            <w:pPr>
              <w:pStyle w:val="Compact"/>
              <w:jc w:val="center"/>
            </w:pPr>
            <w:r>
              <w:rPr>
                <w:rFonts w:hint="eastAsia"/>
              </w:rPr>
              <w:t xml:space="preserve">西州</w:t>
            </w:r>
            <w:r>
              <w:br/>
            </w:r>
          </w:p>
        </w:tc>
        <w:tc>
          <w:tcPr/>
          <w:p>
            <w:pPr>
              <w:pStyle w:val="Compact"/>
              <w:jc w:val="center"/>
            </w:pPr>
            <w:r>
              <w:t xml:space="preserve">$2,950 51</w:t>
            </w:r>
          </w:p>
        </w:tc>
        <w:tc>
          <w:tcPr/>
          <w:p>
            <w:pPr>
              <w:pStyle w:val="Compact"/>
              <w:jc w:val="center"/>
            </w:pPr>
            <w:r>
              <w:t xml:space="preserve">5 42</w:t>
            </w:r>
          </w:p>
        </w:tc>
        <w:tc>
          <w:tcPr/>
          <w:p>
            <w:pPr>
              <w:pStyle w:val="Compact"/>
              <w:jc w:val="right"/>
            </w:pPr>
            <w:r>
              <w:rPr>
                <w:rFonts w:hint="eastAsia"/>
              </w:rPr>
              <w:t xml:space="preserve">周五晚8:00</w:t>
            </w:r>
          </w:p>
        </w:tc>
      </w:tr>
      <w:tr>
        <w:tc>
          <w:tcPr/>
          <w:p>
            <w:pPr>
              <w:pStyle w:val="Compact"/>
            </w:pPr>
            <w:r>
              <w:t xml:space="preserve">B</w:t>
            </w:r>
          </w:p>
        </w:tc>
        <w:tc>
          <w:tcPr/>
          <w:p>
            <w:pPr>
              <w:pStyle w:val="Compact"/>
              <w:jc w:val="center"/>
            </w:pPr>
            <w:r>
              <w:rPr>
                <w:rFonts w:hint="eastAsia"/>
              </w:rPr>
              <w:t xml:space="preserve">亚特兰大，佐治亚州</w:t>
            </w:r>
            <w:r>
              <w:t xml:space="preserve"> → </w:t>
            </w:r>
            <w:r>
              <w:rPr>
                <w:rFonts w:hint="eastAsia"/>
              </w:rPr>
              <w:t xml:space="preserve">杰克逊维尔，</w:t>
            </w:r>
          </w:p>
        </w:tc>
        <w:tc>
          <w:tcPr/>
          <w:p>
            <w:pPr>
              <w:pStyle w:val="Compact"/>
              <w:jc w:val="center"/>
            </w:pPr>
            <w:r>
              <w:rPr>
                <w:rFonts w:hint="eastAsia"/>
              </w:rPr>
              <w:t xml:space="preserve">佛罗里达州</w:t>
            </w:r>
          </w:p>
        </w:tc>
        <w:tc>
          <w:tcPr/>
          <w:p>
            <w:pPr>
              <w:pStyle w:val="Compact"/>
              <w:jc w:val="center"/>
            </w:pPr>
            <w:r>
              <w:t xml:space="preserve">$1,080</w:t>
            </w:r>
          </w:p>
        </w:tc>
        <w:tc>
          <w:tcPr/>
          <w:p>
            <w:pPr>
              <w:pStyle w:val="Compact"/>
              <w:jc w:val="center"/>
            </w:pPr>
            <w:r>
              <w:t xml:space="preserve">346 1</w:t>
            </w:r>
          </w:p>
        </w:tc>
        <w:tc>
          <w:tcPr/>
          <w:p>
            <w:pPr>
              <w:pStyle w:val="Compact"/>
              <w:jc w:val="right"/>
            </w:pPr>
            <w:r>
              <w:t xml:space="preserve">8 </w:t>
            </w:r>
            <w:r>
              <w:rPr>
                <w:rFonts w:hint="eastAsia"/>
              </w:rPr>
              <w:t xml:space="preserve">周六早7:00</w:t>
            </w:r>
          </w:p>
        </w:tc>
      </w:tr>
      <w:tr>
        <w:tc>
          <w:tcPr/>
          <w:p>
            <w:pPr>
              <w:pStyle w:val="Compact"/>
            </w:pPr>
            <w:r>
              <w:t xml:space="preserve">C</w:t>
            </w:r>
          </w:p>
        </w:tc>
        <w:tc>
          <w:tcPr/>
          <w:p>
            <w:pPr>
              <w:pStyle w:val="Compact"/>
              <w:jc w:val="center"/>
            </w:pPr>
            <w:r>
              <w:rPr>
                <w:rFonts w:hint="eastAsia"/>
              </w:rPr>
              <w:t xml:space="preserve">锡达拉皮兹，爱荷华州</w:t>
            </w:r>
            <w:r>
              <w:t xml:space="preserve"> → </w:t>
            </w:r>
            <w:r>
              <w:rPr>
                <w:rFonts w:hint="eastAsia"/>
              </w:rPr>
              <w:t xml:space="preserve">纳什维尔，田</w:t>
            </w:r>
          </w:p>
        </w:tc>
        <w:tc>
          <w:tcPr/>
          <w:p>
            <w:pPr>
              <w:pStyle w:val="Compact"/>
              <w:jc w:val="center"/>
            </w:pPr>
            <w:r>
              <w:rPr>
                <w:rFonts w:hint="eastAsia"/>
              </w:rPr>
              <w:t xml:space="preserve">纳西州</w:t>
            </w:r>
            <w:r>
              <w:br/>
            </w:r>
          </w:p>
        </w:tc>
        <w:tc>
          <w:tcPr/>
          <w:p>
            <w:pPr>
              <w:pStyle w:val="Compact"/>
              <w:jc w:val="center"/>
            </w:pPr>
            <w:r>
              <w:t xml:space="preserve">$2,720 62</w:t>
            </w:r>
          </w:p>
        </w:tc>
        <w:tc>
          <w:tcPr/>
          <w:p>
            <w:pPr>
              <w:pStyle w:val="Compact"/>
              <w:jc w:val="center"/>
            </w:pPr>
            <w:r>
              <w:t xml:space="preserve">0 96</w:t>
            </w:r>
          </w:p>
        </w:tc>
        <w:tc>
          <w:tcPr/>
          <w:p>
            <w:pPr>
              <w:pStyle w:val="Compact"/>
              <w:jc w:val="right"/>
            </w:pPr>
            <w:r>
              <w:rPr>
                <w:rFonts w:hint="eastAsia"/>
              </w:rPr>
              <w:t xml:space="preserve">周六正午</w:t>
            </w:r>
          </w:p>
        </w:tc>
      </w:tr>
      <w:tr>
        <w:tc>
          <w:tcPr/>
          <w:p>
            <w:pPr>
              <w:pStyle w:val="Compact"/>
            </w:pPr>
            <w:r>
              <w:t xml:space="preserve">D</w:t>
            </w:r>
          </w:p>
        </w:tc>
        <w:tc>
          <w:tcPr/>
          <w:p>
            <w:pPr>
              <w:pStyle w:val="Compact"/>
              <w:jc w:val="center"/>
            </w:pPr>
            <w:r>
              <w:rPr>
                <w:rFonts w:hint="eastAsia"/>
              </w:rPr>
              <w:t xml:space="preserve">阿伦敦，宾夕法尼亚州</w:t>
            </w:r>
            <w:r>
              <w:t xml:space="preserve"> → </w:t>
            </w:r>
            <w:r>
              <w:rPr>
                <w:rFonts w:hint="eastAsia"/>
              </w:rPr>
              <w:t xml:space="preserve">芝加哥，伊</w:t>
            </w:r>
          </w:p>
        </w:tc>
        <w:tc>
          <w:tcPr/>
          <w:p>
            <w:pPr>
              <w:pStyle w:val="Compact"/>
              <w:jc w:val="center"/>
            </w:pPr>
            <w:r>
              <w:rPr>
                <w:rFonts w:hint="eastAsia"/>
              </w:rPr>
              <w:t xml:space="preserve">利诺伊州</w:t>
            </w:r>
          </w:p>
        </w:tc>
        <w:tc>
          <w:tcPr/>
          <w:p>
            <w:pPr>
              <w:pStyle w:val="Compact"/>
              <w:jc w:val="center"/>
            </w:pPr>
            <w:r>
              <w:t xml:space="preserve">$2,410</w:t>
            </w:r>
          </w:p>
        </w:tc>
        <w:tc>
          <w:tcPr/>
          <w:p>
            <w:pPr>
              <w:pStyle w:val="Compact"/>
              <w:jc w:val="center"/>
            </w:pPr>
            <w:r>
              <w:t xml:space="preserve">735 2</w:t>
            </w:r>
          </w:p>
        </w:tc>
        <w:tc>
          <w:tcPr/>
          <w:p>
            <w:pPr>
              <w:pStyle w:val="Compact"/>
              <w:jc w:val="right"/>
            </w:pPr>
            <w:r>
              <w:t xml:space="preserve">1 </w:t>
            </w:r>
            <w:r>
              <w:rPr>
                <w:rFonts w:hint="eastAsia"/>
              </w:rPr>
              <w:t xml:space="preserve">周五晚11:00</w:t>
            </w:r>
          </w:p>
        </w:tc>
      </w:tr>
      <w:tr>
        <w:tc>
          <w:tcPr/>
          <w:p>
            <w:pPr>
              <w:pStyle w:val="Compact"/>
            </w:pPr>
            <w:r>
              <w:t xml:space="preserve">E</w:t>
            </w:r>
          </w:p>
        </w:tc>
        <w:tc>
          <w:tcPr/>
          <w:p>
            <w:pPr>
              <w:pStyle w:val="Compact"/>
              <w:jc w:val="center"/>
            </w:pPr>
            <w:r>
              <w:rPr>
                <w:rFonts w:hint="eastAsia"/>
              </w:rPr>
              <w:t xml:space="preserve">孟菲斯，田纳西州</w:t>
            </w:r>
            <w:r>
              <w:t xml:space="preserve"> → </w:t>
            </w:r>
            <w:r>
              <w:rPr>
                <w:rFonts w:hint="eastAsia"/>
              </w:rPr>
              <w:t xml:space="preserve">达拉斯，得克</w:t>
            </w:r>
          </w:p>
        </w:tc>
        <w:tc>
          <w:tcPr/>
          <w:p>
            <w:pPr>
              <w:pStyle w:val="Compact"/>
              <w:jc w:val="center"/>
            </w:pPr>
            <w:r>
              <w:rPr>
                <w:rFonts w:hint="eastAsia"/>
              </w:rPr>
              <w:t xml:space="preserve">萨斯州</w:t>
            </w:r>
          </w:p>
        </w:tc>
        <w:tc>
          <w:tcPr/>
          <w:p>
            <w:pPr>
              <w:pStyle w:val="Compact"/>
              <w:jc w:val="center"/>
            </w:pPr>
            <w:r>
              <w:t xml:space="preserve">$2,180</w:t>
            </w:r>
          </w:p>
        </w:tc>
        <w:tc>
          <w:tcPr/>
          <w:p>
            <w:pPr>
              <w:pStyle w:val="Compact"/>
              <w:jc w:val="center"/>
            </w:pPr>
            <w:r>
              <w:t xml:space="preserve">455 64</w:t>
            </w:r>
          </w:p>
        </w:tc>
        <w:tc>
          <w:tcPr/>
          <w:p>
            <w:pPr>
              <w:pStyle w:val="Compact"/>
              <w:jc w:val="right"/>
            </w:pPr>
            <w:r>
              <w:rPr>
                <w:rFonts w:hint="eastAsia"/>
              </w:rPr>
              <w:t xml:space="preserve">周六早9:00</w:t>
            </w:r>
          </w:p>
        </w:tc>
      </w:tr>
      <w:tr>
        <w:tc>
          <w:tcPr/>
          <w:p>
            <w:pPr>
              <w:pStyle w:val="Compact"/>
            </w:pPr>
            <w:r>
              <w:t xml:space="preserve">F</w:t>
            </w:r>
          </w:p>
        </w:tc>
        <w:tc>
          <w:tcPr/>
          <w:p>
            <w:pPr>
              <w:pStyle w:val="Compact"/>
              <w:jc w:val="center"/>
            </w:pPr>
            <w:r>
              <w:rPr>
                <w:rFonts w:hint="eastAsia"/>
              </w:rPr>
              <w:t xml:space="preserve">纽瓦克，新泽西州</w:t>
            </w:r>
            <w:r>
              <w:t xml:space="preserve"> → </w:t>
            </w:r>
            <w:r>
              <w:rPr>
                <w:rFonts w:hint="eastAsia"/>
              </w:rPr>
              <w:t xml:space="preserve">哈里斯堡，宾夕</w:t>
            </w:r>
          </w:p>
        </w:tc>
        <w:tc>
          <w:tcPr/>
          <w:p>
            <w:pPr>
              <w:pStyle w:val="Compact"/>
              <w:jc w:val="center"/>
            </w:pPr>
            <w:r>
              <w:rPr>
                <w:rFonts w:hint="eastAsia"/>
              </w:rPr>
              <w:t xml:space="preserve">法尼亚州</w:t>
            </w:r>
          </w:p>
        </w:tc>
        <w:tc>
          <w:tcPr/>
          <w:p>
            <w:pPr>
              <w:pStyle w:val="Compact"/>
              <w:jc w:val="center"/>
            </w:pPr>
            <w:r>
              <w:t xml:space="preserve">$620</w:t>
            </w:r>
          </w:p>
        </w:tc>
        <w:tc>
          <w:tcPr/>
          <w:p>
            <w:pPr>
              <w:pStyle w:val="Compact"/>
              <w:jc w:val="center"/>
            </w:pPr>
            <w:r>
              <w:t xml:space="preserve">165 1</w:t>
            </w:r>
          </w:p>
        </w:tc>
        <w:tc>
          <w:tcPr/>
          <w:p>
            <w:pPr>
              <w:pStyle w:val="Compact"/>
              <w:jc w:val="right"/>
            </w:pPr>
            <w:r>
              <w:t xml:space="preserve">1 </w:t>
            </w:r>
            <w:r>
              <w:rPr>
                <w:rFonts w:hint="eastAsia"/>
              </w:rPr>
              <w:t xml:space="preserve">周六早6:00</w:t>
            </w:r>
          </w:p>
        </w:tc>
      </w:tr>
      <w:tr>
        <w:tc>
          <w:tcPr/>
          <w:p>
            <w:pPr>
              <w:pStyle w:val="Compact"/>
            </w:pPr>
            <w:r>
              <w:t xml:space="preserve">G</w:t>
            </w:r>
          </w:p>
        </w:tc>
        <w:tc>
          <w:tcPr/>
          <w:p>
            <w:pPr>
              <w:pStyle w:val="Compact"/>
              <w:jc w:val="center"/>
            </w:pPr>
            <w:r>
              <w:rPr>
                <w:rFonts w:hint="eastAsia"/>
              </w:rPr>
              <w:t xml:space="preserve">印第安纳波利斯，印第安纳州</w:t>
            </w:r>
            <w:r>
              <w:t xml:space="preserve"> → </w:t>
            </w:r>
            <w:r>
              <w:rPr>
                <w:rFonts w:hint="eastAsia"/>
              </w:rPr>
              <w:t xml:space="preserve">亚特</w:t>
            </w:r>
          </w:p>
        </w:tc>
        <w:tc>
          <w:tcPr/>
          <w:p>
            <w:pPr>
              <w:pStyle w:val="Compact"/>
              <w:jc w:val="center"/>
            </w:pPr>
            <w:r>
              <w:rPr>
                <w:rFonts w:hint="eastAsia"/>
              </w:rPr>
              <w:t xml:space="preserve">兰大，佐治</w:t>
            </w:r>
          </w:p>
        </w:tc>
        <w:tc>
          <w:tcPr/>
          <w:p>
            <w:pPr>
              <w:pStyle w:val="Compact"/>
              <w:jc w:val="center"/>
            </w:pPr>
            <w:r>
              <w:rPr>
                <w:rFonts w:hint="eastAsia"/>
              </w:rPr>
              <w:t xml:space="preserve">亚州</w:t>
            </w:r>
            <w:r>
              <w:t xml:space="preserve"> $2,060</w:t>
            </w:r>
          </w:p>
        </w:tc>
        <w:tc>
          <w:tcPr/>
          <w:p>
            <w:pPr>
              <w:pStyle w:val="Compact"/>
              <w:jc w:val="center"/>
            </w:pPr>
            <w:r>
              <w:t xml:space="preserve">535</w:t>
            </w:r>
          </w:p>
        </w:tc>
        <w:tc>
          <w:tcPr/>
          <w:p>
            <w:pPr>
              <w:pStyle w:val="Compact"/>
              <w:jc w:val="right"/>
            </w:pPr>
            <w:r>
              <w:t xml:space="preserve">33 </w:t>
            </w:r>
            <w:r>
              <w:rPr>
                <w:rFonts w:hint="eastAsia"/>
              </w:rPr>
              <w:t xml:space="preserve">周六下午2:00</w:t>
            </w:r>
          </w:p>
        </w:tc>
      </w:tr>
    </w:tbl>
    <w:p>
      <w:pPr>
        <w:pStyle w:val="BodyText"/>
      </w:pPr>
      <w:r>
        <w:rPr>
          <w:rFonts w:hint="eastAsia"/>
        </w:rPr>
        <w:t xml:space="preserve">来源：PrairieLine调度看板；数据为虚构，未含燃油附加费。</w:t>
      </w:r>
    </w:p>
    <w:bookmarkEnd w:id="12"/>
    <w:bookmarkEnd w:id="13"/>
    <w:bookmarkStart w:id="15" w:name="迟到电话的客户们"/>
    <w:p>
      <w:pPr>
        <w:pStyle w:val="Heading1"/>
      </w:pPr>
      <w:r>
        <w:rPr>
          <w:rFonts w:hint="eastAsia"/>
        </w:rPr>
        <w:t xml:space="preserve">迟到电话的客户们</w:t>
      </w:r>
    </w:p>
    <w:p>
      <w:pPr>
        <w:pStyle w:val="FirstParagraph"/>
      </w:pPr>
      <w:r>
        <w:rPr>
          <w:rFonts w:hint="eastAsia"/>
        </w:rPr>
        <w:t xml:space="preserve">PrairieLine最大的客户无法提前很久提供完整的排期安排。有些货运会在提货前五到七天下单，但许多货运仅提前一到三天下单。促销活动、生产延误、天气因素以及客户库存变化，都会造成临时性的波动。一个大型托运人可能周一提供40单货运，而下周同一航线又提供75单。</w:t>
      </w:r>
    </w:p>
    <w:p>
      <w:pPr>
        <w:pStyle w:val="BodyText"/>
      </w:pPr>
      <w:r>
        <w:rPr>
          <w:rFonts w:hint="eastAsia"/>
        </w:rPr>
        <w:t xml:space="preserve">承运商必须迅速决定是否接受每一笔货运邀约。拒绝过多货运可能降低其服务评分，减少下一次年度招标中获得的货运量。接受过多货运则可能导致运力覆盖失败，迫使PrairieLine购买昂贵的外部运力，或令另一位客户失望。一些调度员因预期会有更多货运出现，而将司机留在重要工厂附近待命。当货运没有出现时，司机便损失了里程数，怨气也随之增加。</w:t>
      </w:r>
    </w:p>
    <w:p>
      <w:pPr>
        <w:pStyle w:val="BodyText"/>
      </w:pPr>
      <w:r>
        <w:rPr>
          <w:rFonts w:hint="eastAsia"/>
        </w:rPr>
        <w:t xml:space="preserve">公共货运信息板提供了一个泄压阀。PrairieLine可以通过其经纪业务部门购买或出售运输服务，或者寻找一次性货运以重新调配司机位置。但货运信息板上的机会瞬息万变。下午2点45分还能看到的货运，可能到2点48分就已消失。交易对手方的可靠性参差不齐，屏幕上显示的运价也无法揭示滞留风险、收货时间的不便，或托运人是否会取消订单。</w:t>
      </w:r>
    </w:p>
    <w:bookmarkStart w:id="14" w:name="图-3.-客户承诺情况选录"/>
    <w:p>
      <w:pPr>
        <w:pStyle w:val="Heading2"/>
      </w:pPr>
      <w:r>
        <w:rPr>
          <w:rFonts w:hint="eastAsia"/>
        </w:rPr>
        <w:t xml:space="preserve">图</w:t>
      </w:r>
      <w:r>
        <w:t xml:space="preserve"> 3. </w:t>
      </w:r>
      <w:r>
        <w:rPr>
          <w:rFonts w:hint="eastAsia"/>
        </w:rPr>
        <w:t xml:space="preserve">客户承诺情况选录</w:t>
      </w:r>
    </w:p>
    <w:tbl>
      <w:tblPr>
        <w:tblStyle w:val="Table"/>
        <w:tblW w:type="pct" w:w="4918"/>
        <w:tblLayout w:type="fixed"/>
        <w:tblLook w:firstRow="1" w:lastRow="0" w:firstColumn="0" w:lastColumn="0" w:noHBand="0" w:noVBand="0" w:val="0020"/>
      </w:tblPr>
      <w:tblGrid>
        <w:gridCol w:w="1752"/>
        <w:gridCol w:w="1817"/>
        <w:gridCol w:w="1233"/>
        <w:gridCol w:w="1622"/>
        <w:gridCol w:w="1363"/>
      </w:tblGrid>
      <w:tr>
        <w:trPr>
          <w:tblHeader w:val="on"/>
        </w:trPr>
        <w:tc>
          <w:tcPr/>
          <w:p>
            <w:pPr>
              <w:pStyle w:val="Compact"/>
              <w:jc w:val="left"/>
            </w:pPr>
            <w:r>
              <w:rPr>
                <w:rFonts w:hint="eastAsia"/>
              </w:rPr>
              <w:t xml:space="preserve">客户细分</w:t>
            </w:r>
          </w:p>
        </w:tc>
        <w:tc>
          <w:tcPr/>
          <w:p>
            <w:pPr>
              <w:pStyle w:val="Compact"/>
              <w:jc w:val="right"/>
            </w:pPr>
            <w:r>
              <w:rPr>
                <w:rFonts w:hint="eastAsia"/>
              </w:rPr>
              <w:t xml:space="preserve">合同营收占比</w:t>
            </w:r>
            <w:r>
              <w:t xml:space="preserve"> </w:t>
            </w:r>
            <w:r>
              <w:rPr>
                <w:rFonts w:hint="eastAsia"/>
              </w:rPr>
              <w:t xml:space="preserve">下单</w:t>
            </w:r>
          </w:p>
        </w:tc>
        <w:tc>
          <w:tcPr/>
          <w:p>
            <w:pPr>
              <w:pStyle w:val="Compact"/>
            </w:pPr>
            <w:r>
              <w:rPr>
                <w:rFonts w:hint="eastAsia"/>
              </w:rPr>
              <w:t xml:space="preserve">提前期</w:t>
            </w:r>
            <w:r>
              <w:t xml:space="preserve"> </w:t>
            </w:r>
            <w:r>
              <w:rPr>
                <w:rFonts w:hint="eastAsia"/>
              </w:rPr>
              <w:t xml:space="preserve">2026年</w:t>
            </w:r>
          </w:p>
        </w:tc>
        <w:tc>
          <w:tcPr/>
          <w:p>
            <w:pPr>
              <w:pStyle w:val="Compact"/>
            </w:pPr>
            <w:r>
              <w:rPr>
                <w:rFonts w:hint="eastAsia"/>
              </w:rPr>
              <w:t xml:space="preserve">接受率目标</w:t>
            </w:r>
            <w:r>
              <w:t xml:space="preserve"> </w:t>
            </w:r>
            <w:r>
              <w:rPr>
                <w:rFonts w:hint="eastAsia"/>
              </w:rPr>
              <w:t xml:space="preserve">当前</w:t>
            </w:r>
          </w:p>
        </w:tc>
        <w:tc>
          <w:tcPr/>
          <w:p>
            <w:pPr>
              <w:pStyle w:val="Compact"/>
              <w:jc w:val="left"/>
            </w:pPr>
            <w:r>
              <w:rPr>
                <w:rFonts w:hint="eastAsia"/>
              </w:rPr>
              <w:t xml:space="preserve">接受率</w:t>
            </w:r>
          </w:p>
        </w:tc>
      </w:tr>
      <w:tr>
        <w:tc>
          <w:tcPr/>
          <w:p>
            <w:pPr>
              <w:pStyle w:val="Compact"/>
              <w:jc w:val="left"/>
            </w:pPr>
            <w:r>
              <w:rPr>
                <w:rFonts w:hint="eastAsia"/>
              </w:rPr>
              <w:t xml:space="preserve">工业制造</w:t>
            </w:r>
          </w:p>
        </w:tc>
        <w:tc>
          <w:tcPr/>
          <w:p>
            <w:pPr>
              <w:pStyle w:val="Compact"/>
              <w:jc w:val="right"/>
            </w:pPr>
            <w:r>
              <w:t xml:space="preserve">27% 1–3</w:t>
            </w:r>
          </w:p>
        </w:tc>
        <w:tc>
          <w:tcPr/>
          <w:p>
            <w:pPr>
              <w:pStyle w:val="Compact"/>
            </w:pPr>
            <w:r>
              <w:rPr>
                <w:rFonts w:hint="eastAsia"/>
              </w:rPr>
              <w:t xml:space="preserve">天</w:t>
            </w:r>
            <w:r>
              <w:t xml:space="preserve"> 9</w:t>
            </w:r>
          </w:p>
        </w:tc>
        <w:tc>
          <w:tcPr/>
          <w:p>
            <w:pPr>
              <w:pStyle w:val="Compact"/>
            </w:pPr>
            <w:r>
              <w:t xml:space="preserve">5% 92%</w:t>
            </w:r>
          </w:p>
        </w:tc>
        <w:tc>
          <w:tcPr/>
          <w:p>
            <w:pPr>
              <w:pStyle w:val="Compact"/>
            </w:pPr>
          </w:p>
        </w:tc>
      </w:tr>
      <w:tr>
        <w:tc>
          <w:tcPr/>
          <w:p>
            <w:pPr>
              <w:pStyle w:val="Compact"/>
              <w:jc w:val="left"/>
            </w:pPr>
            <w:r>
              <w:rPr>
                <w:rFonts w:hint="eastAsia"/>
              </w:rPr>
              <w:t xml:space="preserve">零售分销</w:t>
            </w:r>
          </w:p>
        </w:tc>
        <w:tc>
          <w:tcPr/>
          <w:p>
            <w:pPr>
              <w:pStyle w:val="Compact"/>
              <w:jc w:val="right"/>
            </w:pPr>
            <w:r>
              <w:t xml:space="preserve">21% 2–5</w:t>
            </w:r>
          </w:p>
        </w:tc>
        <w:tc>
          <w:tcPr/>
          <w:p>
            <w:pPr>
              <w:pStyle w:val="Compact"/>
            </w:pPr>
            <w:r>
              <w:rPr>
                <w:rFonts w:hint="eastAsia"/>
              </w:rPr>
              <w:t xml:space="preserve">天</w:t>
            </w:r>
            <w:r>
              <w:t xml:space="preserve"> 9</w:t>
            </w:r>
          </w:p>
        </w:tc>
        <w:tc>
          <w:tcPr/>
          <w:p>
            <w:pPr>
              <w:pStyle w:val="Compact"/>
            </w:pPr>
            <w:r>
              <w:t xml:space="preserve">3% 94%</w:t>
            </w:r>
          </w:p>
        </w:tc>
        <w:tc>
          <w:tcPr/>
          <w:p>
            <w:pPr>
              <w:pStyle w:val="Compact"/>
            </w:pPr>
          </w:p>
        </w:tc>
      </w:tr>
      <w:tr>
        <w:tc>
          <w:tcPr/>
          <w:p>
            <w:pPr>
              <w:pStyle w:val="Compact"/>
              <w:jc w:val="left"/>
            </w:pPr>
            <w:r>
              <w:rPr>
                <w:rFonts w:hint="eastAsia"/>
              </w:rPr>
              <w:t xml:space="preserve">食品与饮料</w:t>
            </w:r>
          </w:p>
        </w:tc>
        <w:tc>
          <w:tcPr/>
          <w:p>
            <w:pPr>
              <w:pStyle w:val="Compact"/>
              <w:jc w:val="right"/>
            </w:pPr>
            <w:r>
              <w:t xml:space="preserve">18% </w:t>
            </w:r>
            <w:r>
              <w:rPr>
                <w:rFonts w:hint="eastAsia"/>
              </w:rPr>
              <w:t xml:space="preserve">当天–2</w:t>
            </w:r>
          </w:p>
        </w:tc>
        <w:tc>
          <w:tcPr/>
          <w:p>
            <w:pPr>
              <w:pStyle w:val="Compact"/>
            </w:pPr>
            <w:r>
              <w:rPr>
                <w:rFonts w:hint="eastAsia"/>
              </w:rPr>
              <w:t xml:space="preserve">天</w:t>
            </w:r>
            <w:r>
              <w:t xml:space="preserve"> 97%</w:t>
            </w:r>
          </w:p>
        </w:tc>
        <w:tc>
          <w:tcPr/>
          <w:p>
            <w:pPr>
              <w:pStyle w:val="Compact"/>
            </w:pPr>
            <w:r>
              <w:t xml:space="preserve">93%</w:t>
            </w:r>
          </w:p>
        </w:tc>
        <w:tc>
          <w:tcPr/>
          <w:p>
            <w:pPr>
              <w:pStyle w:val="Compact"/>
            </w:pPr>
          </w:p>
        </w:tc>
      </w:tr>
      <w:tr>
        <w:tc>
          <w:tcPr/>
          <w:p>
            <w:pPr>
              <w:pStyle w:val="Compact"/>
              <w:jc w:val="left"/>
            </w:pPr>
            <w:r>
              <w:rPr>
                <w:rFonts w:hint="eastAsia"/>
              </w:rPr>
              <w:t xml:space="preserve">建筑材料</w:t>
            </w:r>
          </w:p>
        </w:tc>
        <w:tc>
          <w:tcPr/>
          <w:p>
            <w:pPr>
              <w:pStyle w:val="Compact"/>
              <w:jc w:val="right"/>
            </w:pPr>
            <w:r>
              <w:t xml:space="preserve">14% 1–4</w:t>
            </w:r>
          </w:p>
        </w:tc>
        <w:tc>
          <w:tcPr/>
          <w:p>
            <w:pPr>
              <w:pStyle w:val="Compact"/>
            </w:pPr>
            <w:r>
              <w:rPr>
                <w:rFonts w:hint="eastAsia"/>
              </w:rPr>
              <w:t xml:space="preserve">天</w:t>
            </w:r>
            <w:r>
              <w:t xml:space="preserve"> 9</w:t>
            </w:r>
          </w:p>
        </w:tc>
        <w:tc>
          <w:tcPr/>
          <w:p>
            <w:pPr>
              <w:pStyle w:val="Compact"/>
            </w:pPr>
            <w:r>
              <w:t xml:space="preserve">2% 89%</w:t>
            </w:r>
          </w:p>
        </w:tc>
        <w:tc>
          <w:tcPr/>
          <w:p>
            <w:pPr>
              <w:pStyle w:val="Compact"/>
            </w:pPr>
          </w:p>
        </w:tc>
      </w:tr>
      <w:tr>
        <w:tc>
          <w:tcPr/>
          <w:p>
            <w:pPr>
              <w:pStyle w:val="Compact"/>
              <w:jc w:val="left"/>
            </w:pPr>
            <w:r>
              <w:rPr>
                <w:rFonts w:hint="eastAsia"/>
              </w:rPr>
              <w:t xml:space="preserve">消费品</w:t>
            </w:r>
          </w:p>
        </w:tc>
        <w:tc>
          <w:tcPr/>
          <w:p>
            <w:pPr>
              <w:pStyle w:val="Compact"/>
              <w:jc w:val="right"/>
            </w:pPr>
            <w:r>
              <w:t xml:space="preserve">11% 3–7</w:t>
            </w:r>
          </w:p>
        </w:tc>
        <w:tc>
          <w:tcPr/>
          <w:p>
            <w:pPr>
              <w:pStyle w:val="Compact"/>
            </w:pPr>
            <w:r>
              <w:rPr>
                <w:rFonts w:hint="eastAsia"/>
              </w:rPr>
              <w:t xml:space="preserve">天</w:t>
            </w:r>
            <w:r>
              <w:t xml:space="preserve"> 9</w:t>
            </w:r>
          </w:p>
        </w:tc>
        <w:tc>
          <w:tcPr/>
          <w:p>
            <w:pPr>
              <w:pStyle w:val="Compact"/>
            </w:pPr>
            <w:r>
              <w:t xml:space="preserve">0% 91%</w:t>
            </w:r>
          </w:p>
        </w:tc>
        <w:tc>
          <w:tcPr/>
          <w:p>
            <w:pPr>
              <w:pStyle w:val="Compact"/>
            </w:pPr>
          </w:p>
        </w:tc>
      </w:tr>
      <w:tr>
        <w:tc>
          <w:tcPr/>
          <w:p>
            <w:pPr>
              <w:pStyle w:val="Compact"/>
              <w:jc w:val="left"/>
            </w:pPr>
            <w:r>
              <w:rPr>
                <w:rFonts w:hint="eastAsia"/>
              </w:rPr>
              <w:t xml:space="preserve">其他</w:t>
            </w:r>
          </w:p>
        </w:tc>
        <w:tc>
          <w:tcPr/>
          <w:p>
            <w:pPr>
              <w:pStyle w:val="Compact"/>
              <w:jc w:val="right"/>
            </w:pPr>
            <w:r>
              <w:t xml:space="preserve">9% </w:t>
            </w:r>
            <w:r>
              <w:rPr>
                <w:rFonts w:hint="eastAsia"/>
              </w:rPr>
              <w:t xml:space="preserve">不</w:t>
            </w:r>
          </w:p>
        </w:tc>
        <w:tc>
          <w:tcPr/>
          <w:p>
            <w:pPr>
              <w:pStyle w:val="Compact"/>
            </w:pPr>
            <w:r>
              <w:rPr>
                <w:rFonts w:hint="eastAsia"/>
              </w:rPr>
              <w:t xml:space="preserve">定</w:t>
            </w:r>
          </w:p>
        </w:tc>
        <w:tc>
          <w:tcPr/>
          <w:p>
            <w:pPr>
              <w:pStyle w:val="Compact"/>
            </w:pPr>
            <w:r>
              <w:t xml:space="preserve">— –</w:t>
            </w:r>
          </w:p>
        </w:tc>
        <w:tc>
          <w:tcPr/>
          <w:p>
            <w:pPr>
              <w:pStyle w:val="Compact"/>
              <w:jc w:val="left"/>
            </w:pPr>
            <w:r>
              <w:t xml:space="preserve">-</w:t>
            </w:r>
          </w:p>
        </w:tc>
      </w:tr>
    </w:tbl>
    <w:p>
      <w:pPr>
        <w:pStyle w:val="BodyText"/>
      </w:pPr>
      <w:r>
        <w:rPr>
          <w:rFonts w:hint="eastAsia"/>
        </w:rPr>
        <w:t xml:space="preserve">来源：PrairieLine内部客户记分卡；虚构数据。</w:t>
      </w:r>
    </w:p>
    <w:bookmarkEnd w:id="14"/>
    <w:bookmarkEnd w:id="15"/>
    <w:bookmarkStart w:id="17" w:name="司机的时钟"/>
    <w:p>
      <w:pPr>
        <w:pStyle w:val="Heading1"/>
      </w:pPr>
      <w:r>
        <w:rPr>
          <w:rFonts w:hint="eastAsia"/>
        </w:rPr>
        <w:t xml:space="preserve">司机的时钟</w:t>
      </w:r>
    </w:p>
    <w:p>
      <w:pPr>
        <w:pStyle w:val="FirstParagraph"/>
      </w:pPr>
      <w:r>
        <w:rPr>
          <w:rFonts w:hint="eastAsia"/>
        </w:rPr>
        <w:t xml:space="preserve">一台牵引车只有在配对了可用司机时才具备实际用途。联邦工时服务规定通常允许货运司机在连续休息10小时后，于14小时的执勤窗口内驾驶最多11小时。在客户处等待，即便卡车没有在行驶，也会消耗执勤窗口时间。一个延误的装货预约，可能使一项本来可行的任务安排变得需要过夜停留，或造成服务失败。</w:t>
      </w:r>
    </w:p>
    <w:p>
      <w:pPr>
        <w:pStyle w:val="BodyText"/>
      </w:pPr>
      <w:r>
        <w:rPr>
          <w:rFonts w:hint="eastAsia"/>
        </w:rPr>
        <w:t xml:space="preserve">调度员还必须尊重司机的偏好与到家承诺。一名在亚特兰大附近的司机曾承诺出席女儿周日下午在诺克斯维尔举行的毕业典礼。一名在宾夕法尼亚州的司机则愿意，如果被分配西行任务，多在外滞留一周。第三名司机在经历两次困难的送货之后，拒绝了纽约市的货运任务。规划系统能显示合法工时和司机所在位置，但并不总能捕捉到司机偏好的强烈程度，或调度员曾做出的非正式承诺。</w:t>
      </w:r>
    </w:p>
    <w:p>
      <w:pPr>
        <w:pStyle w:val="BodyText"/>
      </w:pPr>
      <w:r>
        <w:rPr>
          <w:rFonts w:hint="eastAsia"/>
        </w:rPr>
        <w:t xml:space="preserve">管理层在调度员应拥有多大自主裁量权的问题上意见不一。陈认为，各地不一致的判断是空驶英里数上升的原因之一。安全副总裁则辩称，一项在系统中看似高效的任务安排，在考虑天气、停车位可用性、客户延误和司机疲劳等因素后，可能并不现实。招聘主管警告说，强制安排任务或许能提升本周的利用率，却可能在未来六个月内加剧人员流失。</w:t>
      </w:r>
    </w:p>
    <w:bookmarkStart w:id="16" w:name="图-4.-周五若干市场的司机可用情况"/>
    <w:p>
      <w:pPr>
        <w:pStyle w:val="Heading2"/>
      </w:pPr>
      <w:r>
        <w:rPr>
          <w:rFonts w:hint="eastAsia"/>
        </w:rPr>
        <w:t xml:space="preserve">图</w:t>
      </w:r>
      <w:r>
        <w:t xml:space="preserve"> 4. </w:t>
      </w:r>
      <w:r>
        <w:rPr>
          <w:rFonts w:hint="eastAsia"/>
        </w:rPr>
        <w:t xml:space="preserve">周五若干市场的司机可用情况</w:t>
      </w:r>
    </w:p>
    <w:tbl>
      <w:tblPr>
        <w:tblStyle w:val="Table"/>
        <w:tblW w:type="pct" w:w="4935"/>
        <w:tblLayout w:type="fixed"/>
        <w:tblLook w:firstRow="1" w:lastRow="0" w:firstColumn="0" w:lastColumn="0" w:noHBand="0" w:noVBand="0" w:val="0020"/>
      </w:tblPr>
      <w:tblGrid>
        <w:gridCol w:w="1863"/>
        <w:gridCol w:w="1708"/>
        <w:gridCol w:w="931"/>
        <w:gridCol w:w="1397"/>
        <w:gridCol w:w="1915"/>
      </w:tblGrid>
      <w:tr>
        <w:trPr>
          <w:tblHeader w:val="on"/>
        </w:trPr>
        <w:tc>
          <w:tcPr/>
          <w:p>
            <w:pPr>
              <w:pStyle w:val="Compact"/>
            </w:pPr>
            <w:r>
              <w:rPr>
                <w:rFonts w:hint="eastAsia"/>
              </w:rPr>
              <w:t xml:space="preserve">市场</w:t>
            </w:r>
            <w:r>
              <w:t xml:space="preserve"> </w:t>
            </w:r>
            <w:r>
              <w:rPr>
                <w:rFonts w:hint="eastAsia"/>
              </w:rPr>
              <w:t xml:space="preserve">周六</w:t>
            </w:r>
          </w:p>
        </w:tc>
        <w:tc>
          <w:tcPr/>
          <w:p>
            <w:pPr>
              <w:pStyle w:val="Compact"/>
            </w:pPr>
            <w:r>
              <w:rPr>
                <w:rFonts w:hint="eastAsia"/>
              </w:rPr>
              <w:t xml:space="preserve">正午前可用司机数</w:t>
            </w:r>
            <w:r>
              <w:t xml:space="preserve"> </w:t>
            </w:r>
            <w:r>
              <w:rPr>
                <w:rFonts w:hint="eastAsia"/>
              </w:rPr>
              <w:t xml:space="preserve">已承诺货运数</w:t>
            </w:r>
          </w:p>
        </w:tc>
        <w:tc>
          <w:tcPr/>
          <w:p>
            <w:pPr>
              <w:pStyle w:val="Compact"/>
              <w:jc w:val="right"/>
            </w:pPr>
            <w:r>
              <w:rPr>
                <w:rFonts w:hint="eastAsia"/>
              </w:rPr>
              <w:t xml:space="preserve">未分配的已提供货</w:t>
            </w:r>
          </w:p>
        </w:tc>
        <w:tc>
          <w:tcPr/>
          <w:p>
            <w:pPr>
              <w:pStyle w:val="Compact"/>
            </w:pPr>
            <w:r>
              <w:rPr>
                <w:rFonts w:hint="eastAsia"/>
              </w:rPr>
              <w:t xml:space="preserve">运数</w:t>
            </w:r>
            <w:r>
              <w:t xml:space="preserve"> </w:t>
            </w:r>
            <w:r>
              <w:rPr>
                <w:rFonts w:hint="eastAsia"/>
              </w:rPr>
              <w:t xml:space="preserve">周日前有到家期限的司</w:t>
            </w:r>
          </w:p>
        </w:tc>
        <w:tc>
          <w:tcPr/>
          <w:p>
            <w:pPr>
              <w:pStyle w:val="Compact"/>
              <w:jc w:val="left"/>
            </w:pPr>
            <w:r>
              <w:rPr>
                <w:rFonts w:hint="eastAsia"/>
              </w:rPr>
              <w:t xml:space="preserve">机数</w:t>
            </w:r>
          </w:p>
        </w:tc>
      </w:tr>
      <w:tr>
        <w:tc>
          <w:tcPr/>
          <w:p>
            <w:pPr>
              <w:pStyle w:val="Compact"/>
            </w:pPr>
            <w:r>
              <w:rPr>
                <w:rFonts w:hint="eastAsia"/>
              </w:rPr>
              <w:t xml:space="preserve">亚特兰大</w:t>
            </w:r>
            <w:r>
              <w:t xml:space="preserve"> / </w:t>
            </w:r>
            <w:r>
              <w:rPr>
                <w:rFonts w:hint="eastAsia"/>
              </w:rPr>
              <w:t xml:space="preserve">佐治亚州北部</w:t>
            </w:r>
          </w:p>
        </w:tc>
        <w:tc>
          <w:tcPr/>
          <w:p>
            <w:pPr>
              <w:pStyle w:val="Compact"/>
            </w:pPr>
            <w:r>
              <w:t xml:space="preserve">47</w:t>
            </w:r>
          </w:p>
        </w:tc>
        <w:tc>
          <w:tcPr/>
          <w:p>
            <w:pPr>
              <w:pStyle w:val="Compact"/>
              <w:jc w:val="right"/>
            </w:pPr>
            <w:r>
              <w:t xml:space="preserve">29</w:t>
            </w:r>
          </w:p>
        </w:tc>
        <w:tc>
          <w:tcPr/>
          <w:p>
            <w:pPr>
              <w:pStyle w:val="Compact"/>
            </w:pPr>
            <w:r>
              <w:t xml:space="preserve">18</w:t>
            </w:r>
          </w:p>
        </w:tc>
        <w:tc>
          <w:tcPr/>
          <w:p>
            <w:pPr>
              <w:pStyle w:val="Compact"/>
              <w:jc w:val="left"/>
            </w:pPr>
            <w:r>
              <w:t xml:space="preserve">21</w:t>
            </w:r>
          </w:p>
        </w:tc>
      </w:tr>
      <w:tr>
        <w:tc>
          <w:tcPr/>
          <w:p>
            <w:pPr>
              <w:pStyle w:val="Compact"/>
            </w:pPr>
            <w:r>
              <w:rPr>
                <w:rFonts w:hint="eastAsia"/>
              </w:rPr>
              <w:t xml:space="preserve">新泽西</w:t>
            </w:r>
            <w:r>
              <w:t xml:space="preserve"> / </w:t>
            </w:r>
            <w:r>
              <w:rPr>
                <w:rFonts w:hint="eastAsia"/>
              </w:rPr>
              <w:t xml:space="preserve">宾夕法尼亚州东部</w:t>
            </w:r>
          </w:p>
        </w:tc>
        <w:tc>
          <w:tcPr/>
          <w:p>
            <w:pPr>
              <w:pStyle w:val="Compact"/>
            </w:pPr>
            <w:r>
              <w:t xml:space="preserve">39</w:t>
            </w:r>
          </w:p>
        </w:tc>
        <w:tc>
          <w:tcPr/>
          <w:p>
            <w:pPr>
              <w:pStyle w:val="Compact"/>
              <w:jc w:val="right"/>
            </w:pPr>
            <w:r>
              <w:t xml:space="preserve">25</w:t>
            </w:r>
          </w:p>
        </w:tc>
        <w:tc>
          <w:tcPr/>
          <w:p>
            <w:pPr>
              <w:pStyle w:val="Compact"/>
            </w:pPr>
            <w:r>
              <w:t xml:space="preserve">12</w:t>
            </w:r>
          </w:p>
        </w:tc>
        <w:tc>
          <w:tcPr/>
          <w:p>
            <w:pPr>
              <w:pStyle w:val="Compact"/>
              <w:jc w:val="left"/>
            </w:pPr>
            <w:r>
              <w:t xml:space="preserve">16</w:t>
            </w:r>
          </w:p>
        </w:tc>
      </w:tr>
      <w:tr>
        <w:tc>
          <w:tcPr/>
          <w:p>
            <w:pPr>
              <w:pStyle w:val="Compact"/>
            </w:pPr>
            <w:r>
              <w:rPr>
                <w:rFonts w:hint="eastAsia"/>
              </w:rPr>
              <w:t xml:space="preserve">俄亥俄州中部</w:t>
            </w:r>
          </w:p>
        </w:tc>
        <w:tc>
          <w:tcPr/>
          <w:p>
            <w:pPr>
              <w:pStyle w:val="Compact"/>
            </w:pPr>
            <w:r>
              <w:t xml:space="preserve">22</w:t>
            </w:r>
          </w:p>
        </w:tc>
        <w:tc>
          <w:tcPr/>
          <w:p>
            <w:pPr>
              <w:pStyle w:val="Compact"/>
              <w:jc w:val="right"/>
            </w:pPr>
            <w:r>
              <w:t xml:space="preserve">31</w:t>
            </w:r>
          </w:p>
        </w:tc>
        <w:tc>
          <w:tcPr/>
          <w:p>
            <w:pPr>
              <w:pStyle w:val="Compact"/>
            </w:pPr>
            <w:r>
              <w:t xml:space="preserve">27</w:t>
            </w:r>
          </w:p>
        </w:tc>
        <w:tc>
          <w:tcPr/>
          <w:p>
            <w:pPr>
              <w:pStyle w:val="Compact"/>
              <w:jc w:val="left"/>
            </w:pPr>
            <w:r>
              <w:t xml:space="preserve">8</w:t>
            </w:r>
          </w:p>
        </w:tc>
      </w:tr>
      <w:tr>
        <w:tc>
          <w:tcPr/>
          <w:p>
            <w:pPr>
              <w:pStyle w:val="Compact"/>
            </w:pPr>
            <w:r>
              <w:rPr>
                <w:rFonts w:hint="eastAsia"/>
              </w:rPr>
              <w:t xml:space="preserve">爱荷华州</w:t>
            </w:r>
            <w:r>
              <w:t xml:space="preserve"> / </w:t>
            </w:r>
            <w:r>
              <w:rPr>
                <w:rFonts w:hint="eastAsia"/>
              </w:rPr>
              <w:t xml:space="preserve">明尼苏达州南部</w:t>
            </w:r>
          </w:p>
        </w:tc>
        <w:tc>
          <w:tcPr/>
          <w:p>
            <w:pPr>
              <w:pStyle w:val="Compact"/>
            </w:pPr>
            <w:r>
              <w:t xml:space="preserve">14</w:t>
            </w:r>
          </w:p>
        </w:tc>
        <w:tc>
          <w:tcPr/>
          <w:p>
            <w:pPr>
              <w:pStyle w:val="Compact"/>
              <w:jc w:val="right"/>
            </w:pPr>
            <w:r>
              <w:t xml:space="preserve">21</w:t>
            </w:r>
          </w:p>
        </w:tc>
        <w:tc>
          <w:tcPr/>
          <w:p>
            <w:pPr>
              <w:pStyle w:val="Compact"/>
            </w:pPr>
            <w:r>
              <w:t xml:space="preserve">19</w:t>
            </w:r>
          </w:p>
        </w:tc>
        <w:tc>
          <w:tcPr/>
          <w:p>
            <w:pPr>
              <w:pStyle w:val="Compact"/>
              <w:jc w:val="left"/>
            </w:pPr>
            <w:r>
              <w:t xml:space="preserve">4</w:t>
            </w:r>
          </w:p>
        </w:tc>
      </w:tr>
      <w:tr>
        <w:tc>
          <w:tcPr/>
          <w:p>
            <w:pPr>
              <w:pStyle w:val="Compact"/>
            </w:pPr>
            <w:r>
              <w:rPr>
                <w:rFonts w:hint="eastAsia"/>
              </w:rPr>
              <w:t xml:space="preserve">孟菲斯</w:t>
            </w:r>
            <w:r>
              <w:t xml:space="preserve"> / </w:t>
            </w:r>
            <w:r>
              <w:rPr>
                <w:rFonts w:hint="eastAsia"/>
              </w:rPr>
              <w:t xml:space="preserve">田纳西州西部</w:t>
            </w:r>
          </w:p>
        </w:tc>
        <w:tc>
          <w:tcPr/>
          <w:p>
            <w:pPr>
              <w:pStyle w:val="Compact"/>
            </w:pPr>
            <w:r>
              <w:t xml:space="preserve">19</w:t>
            </w:r>
          </w:p>
        </w:tc>
        <w:tc>
          <w:tcPr/>
          <w:p>
            <w:pPr>
              <w:pStyle w:val="Compact"/>
              <w:jc w:val="right"/>
            </w:pPr>
            <w:r>
              <w:t xml:space="preserve">18</w:t>
            </w:r>
          </w:p>
        </w:tc>
        <w:tc>
          <w:tcPr/>
          <w:p>
            <w:pPr>
              <w:pStyle w:val="Compact"/>
            </w:pPr>
            <w:r>
              <w:t xml:space="preserve">23</w:t>
            </w:r>
          </w:p>
        </w:tc>
        <w:tc>
          <w:tcPr/>
          <w:p>
            <w:pPr>
              <w:pStyle w:val="Compact"/>
              <w:jc w:val="left"/>
            </w:pPr>
            <w:r>
              <w:t xml:space="preserve">7</w:t>
            </w:r>
          </w:p>
        </w:tc>
      </w:tr>
      <w:tr>
        <w:tc>
          <w:tcPr/>
          <w:p>
            <w:pPr>
              <w:pStyle w:val="Compact"/>
            </w:pPr>
            <w:r>
              <w:rPr>
                <w:rFonts w:hint="eastAsia"/>
              </w:rPr>
              <w:t xml:space="preserve">达拉斯</w:t>
            </w:r>
            <w:r>
              <w:t xml:space="preserve"> / </w:t>
            </w:r>
            <w:r>
              <w:rPr>
                <w:rFonts w:hint="eastAsia"/>
              </w:rPr>
              <w:t xml:space="preserve">得克萨斯州北部</w:t>
            </w:r>
          </w:p>
        </w:tc>
        <w:tc>
          <w:tcPr/>
          <w:p>
            <w:pPr>
              <w:pStyle w:val="Compact"/>
            </w:pPr>
            <w:r>
              <w:t xml:space="preserve">31</w:t>
            </w:r>
          </w:p>
        </w:tc>
        <w:tc>
          <w:tcPr/>
          <w:p>
            <w:pPr>
              <w:pStyle w:val="Compact"/>
              <w:jc w:val="right"/>
            </w:pPr>
            <w:r>
              <w:t xml:space="preserve">28</w:t>
            </w:r>
          </w:p>
        </w:tc>
        <w:tc>
          <w:tcPr/>
          <w:p>
            <w:pPr>
              <w:pStyle w:val="Compact"/>
            </w:pPr>
            <w:r>
              <w:t xml:space="preserve">16</w:t>
            </w:r>
          </w:p>
        </w:tc>
        <w:tc>
          <w:tcPr/>
          <w:p>
            <w:pPr>
              <w:pStyle w:val="Compact"/>
              <w:jc w:val="left"/>
            </w:pPr>
            <w:r>
              <w:t xml:space="preserve">11</w:t>
            </w:r>
          </w:p>
        </w:tc>
      </w:tr>
      <w:tr>
        <w:tc>
          <w:tcPr/>
          <w:p>
            <w:pPr>
              <w:pStyle w:val="Compact"/>
            </w:pPr>
            <w:r>
              <w:rPr>
                <w:rFonts w:hint="eastAsia"/>
              </w:rPr>
              <w:t xml:space="preserve">印第安纳波利斯</w:t>
            </w:r>
            <w:r>
              <w:t xml:space="preserve"> / </w:t>
            </w:r>
            <w:r>
              <w:rPr>
                <w:rFonts w:hint="eastAsia"/>
              </w:rPr>
              <w:t xml:space="preserve">路易斯维尔</w:t>
            </w:r>
          </w:p>
        </w:tc>
        <w:tc>
          <w:tcPr/>
          <w:p>
            <w:pPr>
              <w:pStyle w:val="Compact"/>
            </w:pPr>
            <w:r>
              <w:t xml:space="preserve">28</w:t>
            </w:r>
          </w:p>
        </w:tc>
        <w:tc>
          <w:tcPr/>
          <w:p>
            <w:pPr>
              <w:pStyle w:val="Compact"/>
              <w:jc w:val="right"/>
            </w:pPr>
            <w:r>
              <w:t xml:space="preserve">34</w:t>
            </w:r>
          </w:p>
        </w:tc>
        <w:tc>
          <w:tcPr/>
          <w:p>
            <w:pPr>
              <w:pStyle w:val="Compact"/>
            </w:pPr>
            <w:r>
              <w:t xml:space="preserve">23</w:t>
            </w:r>
          </w:p>
        </w:tc>
        <w:tc>
          <w:tcPr/>
          <w:p>
            <w:pPr>
              <w:pStyle w:val="Compact"/>
              <w:jc w:val="left"/>
            </w:pPr>
            <w:r>
              <w:t xml:space="preserve">13</w:t>
            </w:r>
          </w:p>
        </w:tc>
      </w:tr>
    </w:tbl>
    <w:p>
      <w:pPr>
        <w:pStyle w:val="BodyText"/>
      </w:pPr>
      <w:r>
        <w:rPr>
          <w:rFonts w:hint="eastAsia"/>
        </w:rPr>
        <w:t xml:space="preserve">来源：PrairieLine下午2点40分规划快照；虚构数据。</w:t>
      </w:r>
    </w:p>
    <w:bookmarkEnd w:id="16"/>
    <w:bookmarkEnd w:id="17"/>
    <w:bookmarkStart w:id="19" w:name="招标季"/>
    <w:p>
      <w:pPr>
        <w:pStyle w:val="Heading1"/>
      </w:pPr>
      <w:r>
        <w:rPr>
          <w:rFonts w:hint="eastAsia"/>
        </w:rPr>
        <w:t xml:space="preserve">招标季</w:t>
      </w:r>
    </w:p>
    <w:p>
      <w:pPr>
        <w:pStyle w:val="FirstParagraph"/>
      </w:pPr>
      <w:r>
        <w:rPr>
          <w:rFonts w:hint="eastAsia"/>
        </w:rPr>
        <w:t xml:space="preserve">眼下的调度难题正逢年度招标季展开。托运人正要求承运商为来年数千条起讫点航线报价并提供预期运力。中标某条航线并不能保证预测的货运量真正实现，但价格和承诺的接受水平将在未来数月塑造PrairieLine的网络布局。</w:t>
      </w:r>
    </w:p>
    <w:p>
      <w:pPr>
        <w:pStyle w:val="BodyText"/>
      </w:pPr>
      <w:r>
        <w:rPr>
          <w:rFonts w:hint="eastAsia"/>
        </w:rPr>
        <w:t xml:space="preserve">销售团队希望在需求似乎正在复苏的中西部出港航线上报出激进价格。运营部门则担心，若赢得过多东向货运，将使更多司机滞留于疲弱的出港市场。财务部门更倾向于扩大经纪业务的角色，使公司能够在不必拥有足以覆盖每个高峰期运力的牵引车数量的情况下承接客户货运。司机招聘部门提议在俄亥俄州和田纳西州设立新的驻点，但每个驻点都需要足够的货运流量，才能可靠地让司机按时回家。</w:t>
      </w:r>
    </w:p>
    <w:p>
      <w:pPr>
        <w:pStyle w:val="BodyText"/>
      </w:pPr>
      <w:r>
        <w:rPr>
          <w:rFonts w:hint="eastAsia"/>
        </w:rPr>
        <w:t xml:space="preserve">公司还必须决定运营多少台牵引车和挂车。新牵引车能提高燃油经济性和可靠性，但在利润率微薄之际需要投入资本。停放闲置牵引车能保留灵活性，却会产生折旧和融资成本。缩减车队规模可能提升利用率，但若货运需求意外回升，PrairieLine将面临运力不足的风险。</w:t>
      </w:r>
    </w:p>
    <w:bookmarkStart w:id="18" w:name="图-5.-2027年管理层提案"/>
    <w:p>
      <w:pPr>
        <w:pStyle w:val="Heading2"/>
      </w:pPr>
      <w:r>
        <w:rPr>
          <w:rFonts w:hint="eastAsia"/>
        </w:rPr>
        <w:t xml:space="preserve">图</w:t>
      </w:r>
      <w:r>
        <w:t xml:space="preserve"> 5. </w:t>
      </w:r>
      <w:r>
        <w:rPr>
          <w:rFonts w:hint="eastAsia"/>
        </w:rPr>
        <w:t xml:space="preserve">2027年管理层提案</w:t>
      </w:r>
    </w:p>
    <w:tbl>
      <w:tblPr>
        <w:tblStyle w:val="Table"/>
        <w:tblW w:type="pct" w:w="4944"/>
        <w:tblLayout w:type="fixed"/>
        <w:tblLook w:firstRow="1" w:lastRow="0" w:firstColumn="0" w:lastColumn="0" w:noHBand="0" w:noVBand="0" w:val="0020"/>
      </w:tblPr>
      <w:tblGrid>
        <w:gridCol w:w="1913"/>
        <w:gridCol w:w="1334"/>
        <w:gridCol w:w="2180"/>
        <w:gridCol w:w="2402"/>
      </w:tblGrid>
      <w:tr>
        <w:trPr>
          <w:tblHeader w:val="on"/>
        </w:trPr>
        <w:tc>
          <w:tcPr/>
          <w:p>
            <w:pPr>
              <w:pStyle w:val="Compact"/>
            </w:pPr>
            <w:r>
              <w:rPr>
                <w:rFonts w:hint="eastAsia"/>
              </w:rPr>
              <w:t xml:space="preserve">提案</w:t>
            </w:r>
            <w:r>
              <w:t xml:space="preserve"> </w:t>
            </w:r>
            <w:r>
              <w:rPr>
                <w:rFonts w:hint="eastAsia"/>
              </w:rPr>
              <w:t xml:space="preserve">预计</w:t>
            </w:r>
          </w:p>
        </w:tc>
        <w:tc>
          <w:tcPr/>
          <w:p>
            <w:pPr>
              <w:pStyle w:val="Compact"/>
              <w:jc w:val="left"/>
            </w:pPr>
            <w:r>
              <w:rPr>
                <w:rFonts w:hint="eastAsia"/>
              </w:rPr>
              <w:t xml:space="preserve">年度投入</w:t>
            </w:r>
          </w:p>
        </w:tc>
        <w:tc>
          <w:tcPr/>
          <w:p>
            <w:pPr>
              <w:pStyle w:val="Compact"/>
              <w:jc w:val="right"/>
            </w:pPr>
            <w:r>
              <w:rPr>
                <w:rFonts w:hint="eastAsia"/>
              </w:rPr>
              <w:t xml:space="preserve">预期优势</w:t>
            </w:r>
            <w:r>
              <w:t xml:space="preserve"> </w:t>
            </w:r>
            <w:r>
              <w:rPr>
                <w:rFonts w:hint="eastAsia"/>
              </w:rPr>
              <w:t xml:space="preserve">主</w:t>
            </w:r>
          </w:p>
        </w:tc>
        <w:tc>
          <w:tcPr/>
          <w:p>
            <w:pPr>
              <w:pStyle w:val="Compact"/>
              <w:jc w:val="left"/>
            </w:pPr>
            <w:r>
              <w:rPr>
                <w:rFonts w:hint="eastAsia"/>
              </w:rPr>
              <w:t xml:space="preserve">要顾虑</w:t>
            </w:r>
          </w:p>
        </w:tc>
      </w:tr>
      <w:tr>
        <w:tc>
          <w:tcPr/>
          <w:p>
            <w:pPr>
              <w:pStyle w:val="Compact"/>
            </w:pPr>
            <w:r>
              <w:rPr>
                <w:rFonts w:hint="eastAsia"/>
              </w:rPr>
              <w:t xml:space="preserve">在俄亥俄州和田纳西州增加90名司机</w:t>
            </w:r>
          </w:p>
        </w:tc>
        <w:tc>
          <w:tcPr/>
          <w:p>
            <w:pPr>
              <w:pStyle w:val="Compact"/>
              <w:jc w:val="left"/>
            </w:pPr>
            <w:r>
              <w:t xml:space="preserve">$7.8 million </w:t>
            </w:r>
            <w:r>
              <w:rPr>
                <w:rFonts w:hint="eastAsia"/>
              </w:rPr>
              <w:t xml:space="preserve">改</w:t>
            </w:r>
          </w:p>
        </w:tc>
        <w:tc>
          <w:tcPr/>
          <w:p>
            <w:pPr>
              <w:pStyle w:val="Compact"/>
              <w:jc w:val="right"/>
            </w:pPr>
            <w:r>
              <w:rPr>
                <w:rFonts w:hint="eastAsia"/>
              </w:rPr>
              <w:t xml:space="preserve">善强出港市场的运力覆盖</w:t>
            </w:r>
            <w:r>
              <w:t xml:space="preserve"> </w:t>
            </w:r>
            <w:r>
              <w:rPr>
                <w:rFonts w:hint="eastAsia"/>
              </w:rPr>
              <w:t xml:space="preserve">招募成功</w:t>
            </w:r>
          </w:p>
        </w:tc>
        <w:tc>
          <w:tcPr/>
          <w:p>
            <w:pPr>
              <w:pStyle w:val="Compact"/>
              <w:jc w:val="left"/>
            </w:pPr>
            <w:r>
              <w:rPr>
                <w:rFonts w:hint="eastAsia"/>
              </w:rPr>
              <w:t xml:space="preserve">率与回程货运存在不确定性</w:t>
            </w:r>
          </w:p>
        </w:tc>
      </w:tr>
      <w:tr>
        <w:tc>
          <w:tcPr/>
          <w:p>
            <w:pPr>
              <w:pStyle w:val="Compact"/>
            </w:pPr>
            <w:r>
              <w:rPr>
                <w:rFonts w:hint="eastAsia"/>
              </w:rPr>
              <w:t xml:space="preserve">扩大经纪运力</w:t>
            </w:r>
          </w:p>
        </w:tc>
        <w:tc>
          <w:tcPr/>
          <w:p>
            <w:pPr>
              <w:pStyle w:val="Compact"/>
              <w:jc w:val="left"/>
            </w:pPr>
            <w:r>
              <w:t xml:space="preserve">$3.2 million </w:t>
            </w:r>
            <w:r>
              <w:rPr>
                <w:rFonts w:hint="eastAsia"/>
              </w:rPr>
              <w:t xml:space="preserve">在</w:t>
            </w:r>
          </w:p>
        </w:tc>
        <w:tc>
          <w:tcPr/>
          <w:p>
            <w:pPr>
              <w:pStyle w:val="Compact"/>
              <w:jc w:val="right"/>
            </w:pPr>
            <w:r>
              <w:rPr>
                <w:rFonts w:hint="eastAsia"/>
              </w:rPr>
              <w:t xml:space="preserve">不拥有全部设备的情况下覆盖高峰需求</w:t>
            </w:r>
          </w:p>
        </w:tc>
        <w:tc>
          <w:tcPr/>
          <w:p>
            <w:pPr>
              <w:pStyle w:val="Compact"/>
              <w:jc w:val="left"/>
            </w:pPr>
            <w:r>
              <w:rPr>
                <w:rFonts w:hint="eastAsia"/>
              </w:rPr>
              <w:t xml:space="preserve">对服务与采购运价的掌控力下降</w:t>
            </w:r>
          </w:p>
        </w:tc>
      </w:tr>
      <w:tr>
        <w:tc>
          <w:tcPr/>
          <w:p>
            <w:pPr>
              <w:pStyle w:val="Compact"/>
            </w:pPr>
            <w:r>
              <w:rPr>
                <w:rFonts w:hint="eastAsia"/>
              </w:rPr>
              <w:t xml:space="preserve">削减75台牵引车</w:t>
            </w:r>
            <w:r>
              <w:br/>
            </w:r>
          </w:p>
        </w:tc>
        <w:tc>
          <w:tcPr/>
          <w:p>
            <w:pPr>
              <w:pStyle w:val="Compact"/>
              <w:jc w:val="left"/>
            </w:pPr>
            <w:r>
              <w:t xml:space="preserve">$1.9 </w:t>
            </w:r>
            <w:r>
              <w:rPr>
                <w:rFonts w:hint="eastAsia"/>
              </w:rPr>
              <w:t xml:space="preserve">million（节省额）</w:t>
            </w:r>
          </w:p>
        </w:tc>
        <w:tc>
          <w:tcPr/>
          <w:p>
            <w:pPr>
              <w:pStyle w:val="Compact"/>
              <w:jc w:val="right"/>
            </w:pPr>
            <w:r>
              <w:rPr>
                <w:rFonts w:hint="eastAsia"/>
              </w:rPr>
              <w:t xml:space="preserve">提升利用率和现金流</w:t>
            </w:r>
            <w:r>
              <w:t xml:space="preserve"> </w:t>
            </w:r>
            <w:r>
              <w:rPr>
                <w:rFonts w:hint="eastAsia"/>
              </w:rPr>
              <w:t xml:space="preserve">若货</w:t>
            </w:r>
          </w:p>
        </w:tc>
        <w:tc>
          <w:tcPr/>
          <w:p>
            <w:pPr>
              <w:pStyle w:val="Compact"/>
              <w:jc w:val="left"/>
            </w:pPr>
            <w:r>
              <w:rPr>
                <w:rFonts w:hint="eastAsia"/>
              </w:rPr>
              <w:t xml:space="preserve">运回暖，运力将不足</w:t>
            </w:r>
          </w:p>
        </w:tc>
      </w:tr>
      <w:tr>
        <w:tc>
          <w:tcPr/>
          <w:p>
            <w:pPr>
              <w:pStyle w:val="Compact"/>
            </w:pPr>
            <w:r>
              <w:rPr>
                <w:rFonts w:hint="eastAsia"/>
              </w:rPr>
              <w:t xml:space="preserve">投入调度优化平台</w:t>
            </w:r>
          </w:p>
        </w:tc>
        <w:tc>
          <w:tcPr/>
          <w:p>
            <w:pPr>
              <w:pStyle w:val="Compact"/>
              <w:jc w:val="left"/>
            </w:pPr>
            <w:r>
              <w:t xml:space="preserve">$2.6 million </w:t>
            </w:r>
            <w:r>
              <w:rPr>
                <w:rFonts w:hint="eastAsia"/>
              </w:rPr>
              <w:t xml:space="preserve">减少</w:t>
            </w:r>
          </w:p>
        </w:tc>
        <w:tc>
          <w:tcPr/>
          <w:p>
            <w:pPr>
              <w:pStyle w:val="Compact"/>
              <w:jc w:val="right"/>
            </w:pPr>
            <w:r>
              <w:rPr>
                <w:rFonts w:hint="eastAsia"/>
              </w:rPr>
              <w:t xml:space="preserve">空驶英里数并使任务安排标准化</w:t>
            </w:r>
            <w:r>
              <w:t xml:space="preserve"> </w:t>
            </w:r>
            <w:r>
              <w:rPr>
                <w:rFonts w:hint="eastAsia"/>
              </w:rPr>
              <w:t xml:space="preserve">调度员和</w:t>
            </w:r>
          </w:p>
        </w:tc>
        <w:tc>
          <w:tcPr/>
          <w:p>
            <w:pPr>
              <w:pStyle w:val="Compact"/>
              <w:jc w:val="left"/>
            </w:pPr>
            <w:r>
              <w:rPr>
                <w:rFonts w:hint="eastAsia"/>
              </w:rPr>
              <w:t xml:space="preserve">司机的接受度问题</w:t>
            </w:r>
          </w:p>
        </w:tc>
      </w:tr>
      <w:tr>
        <w:tc>
          <w:tcPr/>
          <w:p>
            <w:pPr>
              <w:pStyle w:val="Compact"/>
            </w:pPr>
            <w:r>
              <w:rPr>
                <w:rFonts w:hint="eastAsia"/>
              </w:rPr>
              <w:t xml:space="preserve">提供到家时间保障溢价</w:t>
            </w:r>
          </w:p>
        </w:tc>
        <w:tc>
          <w:tcPr/>
          <w:p>
            <w:pPr>
              <w:pStyle w:val="Compact"/>
              <w:jc w:val="left"/>
            </w:pPr>
            <w:r>
              <w:t xml:space="preserve">$4.1 million</w:t>
            </w:r>
          </w:p>
        </w:tc>
        <w:tc>
          <w:tcPr/>
          <w:p>
            <w:pPr>
              <w:pStyle w:val="Compact"/>
              <w:jc w:val="right"/>
            </w:pPr>
            <w:r>
              <w:rPr>
                <w:rFonts w:hint="eastAsia"/>
              </w:rPr>
              <w:t xml:space="preserve">改善招募和留任情况</w:t>
            </w:r>
            <w:r>
              <w:t xml:space="preserve"> </w:t>
            </w:r>
            <w:r>
              <w:rPr>
                <w:rFonts w:hint="eastAsia"/>
              </w:rPr>
              <w:t xml:space="preserve">可能限制货运选择并</w:t>
            </w:r>
          </w:p>
        </w:tc>
        <w:tc>
          <w:tcPr/>
          <w:p>
            <w:pPr>
              <w:pStyle w:val="Compact"/>
              <w:jc w:val="left"/>
            </w:pPr>
            <w:r>
              <w:rPr>
                <w:rFonts w:hint="eastAsia"/>
              </w:rPr>
              <w:t xml:space="preserve">增加空驶英里数</w:t>
            </w:r>
          </w:p>
        </w:tc>
      </w:tr>
      <w:tr>
        <w:tc>
          <w:tcPr/>
          <w:p>
            <w:pPr>
              <w:pStyle w:val="Compact"/>
            </w:pPr>
            <w:r>
              <w:rPr>
                <w:rFonts w:hint="eastAsia"/>
              </w:rPr>
              <w:t xml:space="preserve">增加即期市场参与度</w:t>
            </w:r>
          </w:p>
        </w:tc>
        <w:tc>
          <w:tcPr/>
          <w:p>
            <w:pPr>
              <w:pStyle w:val="Compact"/>
              <w:jc w:val="left"/>
            </w:pPr>
            <w:r>
              <w:rPr>
                <w:rFonts w:hint="eastAsia"/>
              </w:rPr>
              <w:t xml:space="preserve">可变</w:t>
            </w:r>
            <w:r>
              <w:t xml:space="preserve"> </w:t>
            </w:r>
            <w:r>
              <w:rPr>
                <w:rFonts w:hint="eastAsia"/>
              </w:rPr>
              <w:t xml:space="preserve">抓</w:t>
            </w:r>
          </w:p>
        </w:tc>
        <w:tc>
          <w:tcPr/>
          <w:p>
            <w:pPr>
              <w:pStyle w:val="Compact"/>
              <w:jc w:val="right"/>
            </w:pPr>
            <w:r>
              <w:rPr>
                <w:rFonts w:hint="eastAsia"/>
              </w:rPr>
              <w:t xml:space="preserve">住高运价的短期机会</w:t>
            </w:r>
            <w:r>
              <w:t xml:space="preserve"> </w:t>
            </w:r>
            <w:r>
              <w:rPr>
                <w:rFonts w:hint="eastAsia"/>
              </w:rPr>
              <w:t xml:space="preserve">波动性增</w:t>
            </w:r>
          </w:p>
        </w:tc>
        <w:tc>
          <w:tcPr/>
          <w:p>
            <w:pPr>
              <w:pStyle w:val="Compact"/>
              <w:jc w:val="left"/>
            </w:pPr>
            <w:r>
              <w:rPr>
                <w:rFonts w:hint="eastAsia"/>
              </w:rPr>
              <w:t xml:space="preserve">加与合同服务水平下降</w:t>
            </w:r>
          </w:p>
        </w:tc>
      </w:tr>
    </w:tbl>
    <w:p>
      <w:pPr>
        <w:pStyle w:val="BodyText"/>
      </w:pPr>
      <w:r>
        <w:rPr>
          <w:rFonts w:hint="eastAsia"/>
        </w:rPr>
        <w:t xml:space="preserve">来源：PrairieLine初步规划估算；虚构数据。</w:t>
      </w:r>
    </w:p>
    <w:bookmarkEnd w:id="18"/>
    <w:bookmarkEnd w:id="19"/>
    <w:bookmarkStart w:id="20" w:name="四种问题视角"/>
    <w:p>
      <w:pPr>
        <w:pStyle w:val="Heading1"/>
      </w:pPr>
      <w:r>
        <w:rPr>
          <w:rFonts w:hint="eastAsia"/>
        </w:rPr>
        <w:t xml:space="preserve">四种问题视角</w:t>
      </w:r>
    </w:p>
    <w:p>
      <w:pPr>
        <w:pStyle w:val="FirstParagraph"/>
      </w:pPr>
      <w:r>
        <w:rPr>
          <w:rFonts w:hint="eastAsia"/>
        </w:rPr>
        <w:t xml:space="preserve">陈将其视为一个网络协调问题。她认为PrairieLine在评估货运和司机时过于局限于局部，未能充分关注每项任务安排最终会将车队置于何处。她希望公司为可能出现的未来货运预留部分司机，更系统地运用经纪运力，并为调度员提供一个衡量每项任务安排下游价值的通用指标。</w:t>
      </w:r>
    </w:p>
    <w:p>
      <w:pPr>
        <w:pStyle w:val="BodyText"/>
      </w:pPr>
      <w:r>
        <w:rPr>
          <w:rFonts w:hint="eastAsia"/>
        </w:rPr>
        <w:t xml:space="preserve">首席商务官拉斐尔·托雷斯（Rafael</w:t>
      </w:r>
      <w:r>
        <w:t xml:space="preserve"> </w:t>
      </w:r>
      <w:r>
        <w:rPr>
          <w:rFonts w:hint="eastAsia"/>
        </w:rPr>
        <w:t xml:space="preserve">Torres）将其视为一个客户问题。他认为，承运商必须为那些最有可能在2027年提供高利润货运的客户维护接受率和准时服务水平。今天拒绝一单边际货运，可能在下一轮招标中损失整条航线。他希望运营部门能够区分战略客户货运与机会型交易，而不是仅按即时经济效益来对待每一单货运。</w:t>
      </w:r>
    </w:p>
    <w:p>
      <w:pPr>
        <w:pStyle w:val="BodyText"/>
      </w:pPr>
      <w:r>
        <w:rPr>
          <w:rFonts w:hint="eastAsia"/>
        </w:rPr>
        <w:t xml:space="preserve">首席人事官达娜·威尔克斯（Dana</w:t>
      </w:r>
      <w:r>
        <w:t xml:space="preserve"> </w:t>
      </w:r>
      <w:r>
        <w:rPr>
          <w:rFonts w:hint="eastAsia"/>
        </w:rPr>
        <w:t xml:space="preserve">Wilkes）将其视为一个司机问题。PrairieLine关于可预测到家时间的承诺已经弱化，人员流失率正在上升。她主张缩小运营区域范围、明确到家时间承诺，并制定薪酬安排以补偿司机的等待时间和不受欢迎的任务安排。她承认这些政策可能降低网络的灵活性，但认为一台无人驾驶的牵引车根本不会产生任何营收。</w:t>
      </w:r>
    </w:p>
    <w:p>
      <w:pPr>
        <w:pStyle w:val="BodyText"/>
      </w:pPr>
      <w:r>
        <w:rPr>
          <w:rFonts w:hint="eastAsia"/>
        </w:rPr>
        <w:t xml:space="preserve">首席财务官埃文·布鲁克斯（Evan</w:t>
      </w:r>
      <w:r>
        <w:t xml:space="preserve"> </w:t>
      </w:r>
      <w:r>
        <w:rPr>
          <w:rFonts w:hint="eastAsia"/>
        </w:rPr>
        <w:t xml:space="preserve">Brooks）将其视为一个资本与风险问题。他质疑PrairieLine是否应该拥有足够的设备来覆盖不确定的高峰需求。他倾向于削减牵引车数量、扩大经纪业务，并在货运量趋势变得更加明朗之前采用更短期的客户承诺。其他高管则担心，缩小自有车队规模会削弱服务掌控力，并使公司恰恰在运力趋紧之时暴露于即期价格风险之下。</w:t>
      </w:r>
    </w:p>
    <w:bookmarkEnd w:id="20"/>
    <w:bookmarkStart w:id="21" w:name="周五的决策"/>
    <w:p>
      <w:pPr>
        <w:pStyle w:val="Heading1"/>
      </w:pPr>
      <w:r>
        <w:rPr>
          <w:rFonts w:hint="eastAsia"/>
        </w:rPr>
        <w:t xml:space="preserve">周五的决策</w:t>
      </w:r>
    </w:p>
    <w:p>
      <w:pPr>
        <w:pStyle w:val="FirstParagraph"/>
      </w:pPr>
      <w:r>
        <w:rPr>
          <w:rFonts w:hint="eastAsia"/>
        </w:rPr>
        <w:t xml:space="preserve">到下午3点15分，未答复的货运邀约数量已升至151单。一位食品客户新增了11单从爱荷华州运往东南部的冷藏货运。一位建材客户则撤销了六单俄亥俄州货运，因为其工厂已停产。一条从新泽西到俄亥俄的货运信息板挂牌价格上涨了250美元，但在PrairieLine的经纪人完成通话之前，该货运便已消失。</w:t>
      </w:r>
    </w:p>
    <w:p>
      <w:pPr>
        <w:pStyle w:val="BodyText"/>
      </w:pPr>
      <w:r>
        <w:rPr>
          <w:rFonts w:hint="eastAsia"/>
        </w:rPr>
        <w:t xml:space="preserve">陈必须给当晚的调度团队指明方向。她可以强调可见货运中最高的贡献率，保护最重要的合同客户，优先安排能带司机驶向家的任务，或者为尚未出现的预期货运预留司机。每一条原则都会产生不同的赢家和输家。一种折中方案听起来合情合理，但没有人能就权重达成一致，而形势变化的速度比会议能够解决问题的速度还要快。</w:t>
      </w:r>
    </w:p>
    <w:p>
      <w:pPr>
        <w:pStyle w:val="BodyText"/>
      </w:pPr>
      <w:r>
        <w:rPr>
          <w:rFonts w:hint="eastAsia"/>
        </w:rPr>
        <w:t xml:space="preserve">到了周一，管理团队还将开始审议2027年的航线招标、驻点变更、经纪业务扩张、车队规模，以及一个拟议中的调度平台。周五的这些任务安排，在一家每周做出成千上万个决策的公司中，或许只是其中几百个决定，但它们却暴露出一个更深层的问题：PrairieLine希望自己的网络成为什么样子？为了实现这一目标，公司又愿意牺牲多少短期业绩？</w:t>
      </w:r>
    </w:p>
    <w:bookmarkEnd w:id="21"/>
    <w:bookmarkStart w:id="22" w:name="讨论题"/>
    <w:p>
      <w:pPr>
        <w:pStyle w:val="Heading1"/>
      </w:pPr>
      <w:r>
        <w:rPr>
          <w:rFonts w:hint="eastAsia"/>
        </w:rPr>
        <w:t xml:space="preserve">讨论题</w:t>
      </w:r>
    </w:p>
    <w:p>
      <w:pPr>
        <w:numPr>
          <w:ilvl w:val="0"/>
          <w:numId w:val="1001"/>
        </w:numPr>
      </w:pPr>
      <w:r>
        <w:rPr>
          <w:rFonts w:hint="eastAsia"/>
        </w:rPr>
        <w:t xml:space="preserve">周五下午PrairieLine面临的核心问题是什么？</w:t>
      </w:r>
    </w:p>
    <w:p>
      <w:pPr>
        <w:numPr>
          <w:ilvl w:val="0"/>
          <w:numId w:val="1001"/>
        </w:numPr>
      </w:pPr>
      <w:r>
        <w:rPr>
          <w:rFonts w:hint="eastAsia"/>
        </w:rPr>
        <w:t xml:space="preserve">当一单货运的即期利润率具有吸引力，但其目的地的出港货运疲弱时，管理层应如何评估这单货运？</w:t>
      </w:r>
    </w:p>
    <w:p>
      <w:pPr>
        <w:numPr>
          <w:ilvl w:val="0"/>
          <w:numId w:val="1001"/>
        </w:numPr>
      </w:pPr>
      <w:r>
        <w:rPr>
          <w:rFonts w:hint="eastAsia"/>
        </w:rPr>
        <w:t xml:space="preserve">当运力不足以覆盖每一笔货运邀约时，哪些客户承诺应获得优先权？</w:t>
      </w:r>
    </w:p>
    <w:p>
      <w:pPr>
        <w:numPr>
          <w:ilvl w:val="0"/>
          <w:numId w:val="1001"/>
        </w:numPr>
      </w:pPr>
      <w:r>
        <w:rPr>
          <w:rFonts w:hint="eastAsia"/>
        </w:rPr>
        <w:t xml:space="preserve">司机的到家时间承诺和任务偏好应如何影响调度决策？</w:t>
      </w:r>
    </w:p>
    <w:p>
      <w:pPr>
        <w:numPr>
          <w:ilvl w:val="0"/>
          <w:numId w:val="1001"/>
        </w:numPr>
      </w:pPr>
      <w:r>
        <w:rPr>
          <w:rFonts w:hint="eastAsia"/>
        </w:rPr>
        <w:t xml:space="preserve">在什么情况下，PrairieLine应该让司机空载行驶，而不是接受一单低价的重新定位货运？</w:t>
      </w:r>
    </w:p>
    <w:p>
      <w:pPr>
        <w:numPr>
          <w:ilvl w:val="0"/>
          <w:numId w:val="1001"/>
        </w:numPr>
      </w:pPr>
      <w:r>
        <w:rPr>
          <w:rFonts w:hint="eastAsia"/>
        </w:rPr>
        <w:t xml:space="preserve">周五的调度看板上缺失了哪些可能实质性改变某项任务安排的信息？</w:t>
      </w:r>
    </w:p>
    <w:p>
      <w:pPr>
        <w:numPr>
          <w:ilvl w:val="0"/>
          <w:numId w:val="1001"/>
        </w:numPr>
      </w:pPr>
      <w:r>
        <w:rPr>
          <w:rFonts w:hint="eastAsia"/>
        </w:rPr>
        <w:t xml:space="preserve">公司应如何在自有司机与外部经纪运力之间分配货运？</w:t>
      </w:r>
    </w:p>
    <w:p>
      <w:pPr>
        <w:numPr>
          <w:ilvl w:val="0"/>
          <w:numId w:val="1001"/>
        </w:numPr>
      </w:pPr>
      <w:r>
        <w:rPr>
          <w:rFonts w:hint="eastAsia"/>
        </w:rPr>
        <w:t xml:space="preserve">在按航线进行年度价格和运力承诺投标时，PrairieLine应考虑哪些因素？</w:t>
      </w:r>
    </w:p>
    <w:p>
      <w:pPr>
        <w:numPr>
          <w:ilvl w:val="0"/>
          <w:numId w:val="1001"/>
        </w:numPr>
      </w:pPr>
      <w:r>
        <w:rPr>
          <w:rFonts w:hint="eastAsia"/>
        </w:rPr>
        <w:t xml:space="preserve">在俄亥俄州和田纳西州增加司机，是会改善网络状况，还是仅仅将失衡转移到别处？</w:t>
      </w:r>
    </w:p>
    <w:p>
      <w:pPr>
        <w:numPr>
          <w:ilvl w:val="0"/>
          <w:numId w:val="1001"/>
        </w:numPr>
      </w:pPr>
      <w:r>
        <w:rPr>
          <w:rFonts w:hint="eastAsia"/>
        </w:rPr>
        <w:t xml:space="preserve">PrairieLine应如何判断拟议中的调度平台是在真正提升绩效，而不是在客户、司机与未来时期之间转移成本？</w:t>
      </w:r>
    </w:p>
    <w:bookmarkEnd w:id="22"/>
    <w:bookmarkStart w:id="28" w:name="决策框架问题"/>
    <w:p>
      <w:pPr>
        <w:pStyle w:val="Heading1"/>
      </w:pPr>
      <w:r>
        <w:rPr>
          <w:rFonts w:hint="eastAsia"/>
        </w:rPr>
        <w:t xml:space="preserve">决策框架问题</w:t>
      </w:r>
    </w:p>
    <w:p>
      <w:pPr>
        <w:numPr>
          <w:ilvl w:val="0"/>
          <w:numId w:val="1002"/>
        </w:numPr>
      </w:pPr>
      <w:r>
        <w:rPr>
          <w:rFonts w:hint="eastAsia"/>
        </w:rPr>
        <w:t xml:space="preserve">识别并描述决策者的职责范围。这将界定该问题的研究范围。</w:t>
      </w:r>
    </w:p>
    <w:p>
      <w:pPr>
        <w:numPr>
          <w:ilvl w:val="0"/>
          <w:numId w:val="1002"/>
        </w:numPr>
      </w:pPr>
      <w:r>
        <w:rPr>
          <w:rFonts w:hint="eastAsia"/>
        </w:rPr>
        <w:t xml:space="preserve">使用</w:t>
      </w:r>
      <w:hyperlink r:id="rId23">
        <w:r>
          <w:rPr>
            <w:rStyle w:val="Hyperlink"/>
            <w:rFonts w:hint="eastAsia"/>
          </w:rPr>
          <w:t xml:space="preserve">指标金字塔工具</w:t>
        </w:r>
      </w:hyperlink>
      <w:r>
        <w:rPr>
          <w:rFonts w:hint="eastAsia"/>
        </w:rPr>
        <w:t xml:space="preserve">来识别并排定不同绩效指标的优先级。点击承载该指标的椭圆形，以标明该指标是需要最大化的指标（绿色）、需要最小化的指标（红色）、作为下限的目标（浅绿色）、作为上限的目标（浅红色），还是一个目标值（紫色）。</w:t>
      </w:r>
    </w:p>
    <w:p>
      <w:pPr>
        <w:numPr>
          <w:ilvl w:val="0"/>
          <w:numId w:val="1002"/>
        </w:numPr>
      </w:pPr>
      <w:r>
        <w:rPr>
          <w:rFonts w:hint="eastAsia"/>
        </w:rPr>
        <w:t xml:space="preserve">使用</w:t>
      </w:r>
      <w:hyperlink r:id="rId24">
        <w:r>
          <w:rPr>
            <w:rStyle w:val="Hyperlink"/>
            <w:rFonts w:hint="eastAsia"/>
          </w:rPr>
          <w:t xml:space="preserve">决策优先级排序工具</w:t>
        </w:r>
      </w:hyperlink>
      <w:r>
        <w:rPr>
          <w:rFonts w:hint="eastAsia"/>
        </w:rPr>
        <w:t xml:space="preserve">，首先列出不同类型的决策（可参考</w:t>
      </w:r>
      <w:hyperlink r:id="rId25">
        <w:r>
          <w:rPr>
            <w:rStyle w:val="Hyperlink"/>
            <w:rFonts w:hint="eastAsia"/>
          </w:rPr>
          <w:t xml:space="preserve">决策类型</w:t>
        </w:r>
      </w:hyperlink>
      <w:r>
        <w:rPr>
          <w:rFonts w:hint="eastAsia"/>
        </w:rPr>
        <w:t xml:space="preserve">作为指引）。这些决策将填入右侧矩阵的各行，而矩阵的各列则按上方金字塔中的优先级从左到右排列绩效指标。点击每个单元格，标明该决策对每项绩效指标的影响程度：高（红色）、中（橙色）、低（黄色）或无影响（白色）。</w:t>
      </w:r>
    </w:p>
    <w:p>
      <w:pPr>
        <w:numPr>
          <w:ilvl w:val="0"/>
          <w:numId w:val="1002"/>
        </w:numPr>
      </w:pPr>
      <w:r>
        <w:rPr>
          <w:rFonts w:hint="eastAsia"/>
        </w:rPr>
        <w:t xml:space="preserve">你可以抓住每行最左侧的手柄（三条横杠）将其上下移动。对各行进行排序，使对最重要指标影响最大的决策排在最上方。左上角的单元格应集中了最多的红色和橙色单元格。此时，请识别出在你的研究中最应予以关注的决策。如果你没有任何决策对最重要指标产生中等或高等影响，请重新审视你所列出的决策清单。</w:t>
      </w:r>
    </w:p>
    <w:p>
      <w:pPr>
        <w:numPr>
          <w:ilvl w:val="0"/>
          <w:numId w:val="1002"/>
        </w:numPr>
      </w:pPr>
      <w:r>
        <w:rPr>
          <w:rFonts w:hint="eastAsia"/>
        </w:rPr>
        <w:t xml:space="preserve">使用</w:t>
      </w:r>
      <w:hyperlink r:id="rId26">
        <w:r>
          <w:rPr>
            <w:rStyle w:val="Hyperlink"/>
            <w:rFonts w:hint="eastAsia"/>
          </w:rPr>
          <w:t xml:space="preserve">不确定性优先级排序工具</w:t>
        </w:r>
      </w:hyperlink>
      <w:r>
        <w:rPr>
          <w:rFonts w:hint="eastAsia"/>
        </w:rPr>
        <w:t xml:space="preserve">，重复上述过程，列出并排定不确定性因素的优先级。可参考</w:t>
      </w:r>
      <w:hyperlink r:id="rId27">
        <w:r>
          <w:rPr>
            <w:rStyle w:val="Hyperlink"/>
            <w:rFonts w:hint="eastAsia"/>
          </w:rPr>
          <w:t xml:space="preserve">不确定性的分类</w:t>
        </w:r>
      </w:hyperlink>
      <w:r>
        <w:rPr>
          <w:rFonts w:hint="eastAsia"/>
        </w:rPr>
        <w:t xml:space="preserve">以帮助你进行识别。</w:t>
      </w:r>
    </w:p>
    <w:p>
      <w:pPr>
        <w:numPr>
          <w:ilvl w:val="0"/>
          <w:numId w:val="1002"/>
        </w:numPr>
      </w:pPr>
      <w:r>
        <w:rPr>
          <w:rFonts w:hint="eastAsia"/>
        </w:rPr>
        <w:t xml:space="preserve">区分那些可以通过平均表现来评估的不确定性，与那些属于风险事件的不确定性，这一点十分重要：</w:t>
      </w:r>
    </w:p>
    <w:p>
      <w:pPr>
        <w:numPr>
          <w:ilvl w:val="1"/>
          <w:numId w:val="1003"/>
        </w:numPr>
      </w:pPr>
      <w:r>
        <w:rPr>
          <w:rFonts w:hint="eastAsia"/>
        </w:rPr>
        <w:t xml:space="preserve">哪些不确定性来源适合通过一段时间内的平均绩效来加以捕捉？</w:t>
      </w:r>
    </w:p>
    <w:p>
      <w:pPr>
        <w:numPr>
          <w:ilvl w:val="1"/>
          <w:numId w:val="1003"/>
        </w:numPr>
      </w:pPr>
      <w:r>
        <w:rPr>
          <w:rFonts w:hint="eastAsia"/>
        </w:rPr>
        <w:t xml:space="preserve">哪些不确定性来源代表了无法通过平均值恰当捕捉的风险形式？</w:t>
      </w:r>
    </w:p>
    <w:p>
      <w:pPr>
        <w:numPr>
          <w:ilvl w:val="0"/>
          <w:numId w:val="1002"/>
        </w:numPr>
      </w:pPr>
      <w:r>
        <w:rPr>
          <w:rFonts w:hint="eastAsia"/>
        </w:rPr>
        <w:t xml:space="preserve">选择一个看起来对最重要指标影响最大的单一决策。</w:t>
      </w:r>
    </w:p>
    <w:p>
      <w:pPr>
        <w:numPr>
          <w:ilvl w:val="1"/>
          <w:numId w:val="1004"/>
        </w:numPr>
      </w:pPr>
      <w:r>
        <w:rPr>
          <w:rFonts w:hint="eastAsia"/>
        </w:rPr>
        <w:t xml:space="preserve">你认为应采用什么方法来做出这项决策？</w:t>
      </w:r>
    </w:p>
    <w:p>
      <w:pPr>
        <w:numPr>
          <w:ilvl w:val="1"/>
          <w:numId w:val="1004"/>
        </w:numPr>
      </w:pPr>
      <w:r>
        <w:rPr>
          <w:rFonts w:hint="eastAsia"/>
        </w:rPr>
        <w:t xml:space="preserve">做出这项决策似乎需要哪些数据，包括计算该决策具有高或中等影响的任何绩效指标所需的数据。</w:t>
      </w:r>
    </w:p>
    <w:p>
      <w:pPr>
        <w:numPr>
          <w:ilvl w:val="0"/>
          <w:numId w:val="1002"/>
        </w:numPr>
      </w:pPr>
      <w:r>
        <w:rPr>
          <w:rFonts w:hint="eastAsia"/>
        </w:rPr>
        <w:t xml:space="preserve">针对你在第(7)题中所确定的同一决策，识别出你需要与之协作以实施该决策的人员、部门、团队或组织。</w:t>
      </w:r>
    </w:p>
    <w:bookmarkEnd w:id="28"/>
    <w:bookmarkStart w:id="31" w:name="chatgpt-说明"/>
    <w:p>
      <w:pPr>
        <w:pStyle w:val="Heading1"/>
      </w:pPr>
      <w:r>
        <w:t xml:space="preserve">ChatGPT </w:t>
      </w:r>
      <w:r>
        <w:rPr>
          <w:rFonts w:hint="eastAsia"/>
        </w:rPr>
        <w:t xml:space="preserve">说明</w:t>
      </w:r>
    </w:p>
    <w:bookmarkStart w:id="29" w:name="提示词"/>
    <w:p>
      <w:pPr>
        <w:pStyle w:val="Heading2"/>
      </w:pPr>
      <w:r>
        <w:rPr>
          <w:rFonts w:hint="eastAsia"/>
        </w:rPr>
        <w:t xml:space="preserve">提示词</w:t>
      </w:r>
    </w:p>
    <w:p>
      <w:pPr>
        <w:pStyle w:val="FirstParagraph"/>
      </w:pPr>
      <w:r>
        <w:rPr>
          <w:rFonts w:hint="eastAsia"/>
        </w:rPr>
        <w:t xml:space="preserve">请根据</w:t>
      </w:r>
      <w:r>
        <w:t xml:space="preserve"> https://warrenpowell.org/bridging-vol1/chapter-2/#truckload-fleet-management </w:t>
      </w:r>
      <w:r>
        <w:rPr>
          <w:rFonts w:hint="eastAsia"/>
        </w:rPr>
        <w:t xml:space="preserve">该节中的内容，撰写一篇4-6页的案例研究。请基于该节中的指标、决策和不确定性构建背景情境，但不要明确提及这些内容本身。请为你的案例赋予合理的动因</w:t>
      </w:r>
      <w:r>
        <w:t xml:space="preserve"> Bottom of Form</w:t>
      </w:r>
    </w:p>
    <w:bookmarkEnd w:id="29"/>
    <w:bookmarkStart w:id="30" w:name="摘要"/>
    <w:p>
      <w:pPr>
        <w:pStyle w:val="Heading2"/>
      </w:pPr>
      <w:r>
        <w:rPr>
          <w:rFonts w:hint="eastAsia"/>
        </w:rPr>
        <w:t xml:space="preserve">摘要</w:t>
      </w:r>
    </w:p>
    <w:p>
      <w:pPr>
        <w:pStyle w:val="FirstParagraph"/>
      </w:pPr>
      <w:r>
        <w:rPr>
          <w:rFonts w:hint="eastAsia"/>
        </w:rPr>
        <w:t xml:space="preserve">本案例讲述了一家虚构的中型整车运输承运商，正试图协调日常货运接受、司机分配、客户承诺、到家时间承诺、经纪运力、年度航线招标以及车队规模等事项。</w:t>
      </w:r>
    </w:p>
    <w:p>
      <w:pPr>
        <w:pStyle w:val="BodyText"/>
      </w:pPr>
      <w:r>
        <w:rPr>
          <w:rFonts w:hint="eastAsia"/>
        </w:rPr>
        <w:t xml:space="preserve">该情境的设定参考了行业数据，这些数据显示，2024年卡车运输了111.27亿吨美国货物，产生了约9,060亿美元的营收。本案例还参考了联邦司机就业、工时服务规定以及柴油价格方面的数据。</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2026-09-11T17:20:59Z</dcterms:created>
  <dcterms:modified xsi:type="dcterms:W3CDTF">2026-09-11T17:20:59Z</dcterms:modified>
</cp:coreProperties>
</file>

<file path=docProps/custom.xml><?xml version="1.0" encoding="utf-8"?>
<Properties xmlns="http://schemas.openxmlformats.org/officeDocument/2006/custom-properties" xmlns:vt="http://schemas.openxmlformats.org/officeDocument/2006/docPropsVTypes"/>
</file>