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红木基金的针眼难题"/>
    <w:p>
      <w:pPr>
        <w:pStyle w:val="Heading1"/>
      </w:pPr>
      <w:r>
        <w:rPr>
          <w:rFonts w:hint="eastAsia"/>
        </w:rPr>
        <w:t xml:space="preserve">红木基金的针眼难题</w:t>
      </w:r>
    </w:p>
    <w:p>
      <w:pPr>
        <w:pStyle w:val="FirstParagraph"/>
      </w:pPr>
      <w:r>
        <w:rPr>
          <w:rFonts w:hint="eastAsia"/>
        </w:rPr>
        <w:t xml:space="preserve">一家州立成瘾机构在纳洛酮、治疗、康复——与受限收入之间寻求平衡</w:t>
      </w:r>
    </w:p>
    <w:p>
      <w:pPr>
        <w:pStyle w:val="BodyText"/>
      </w:pPr>
      <w:r>
        <w:rPr>
          <w:rFonts w:hint="eastAsia"/>
        </w:rPr>
        <w:t xml:space="preserve">本案例为虚构案例。文中所引用的公共统计数据和联邦项目描述均取自文末所列来源。</w:t>
      </w:r>
    </w:p>
    <w:p>
      <w:pPr>
        <w:pStyle w:val="BodyText"/>
      </w:pPr>
      <w:r>
        <w:rPr>
          <w:rFonts w:hint="eastAsia"/>
          <w:b/>
          <w:bCs/>
        </w:rPr>
        <w:t xml:space="preserve">2026年10月7日——上午6:20。</w:t>
      </w:r>
      <w:r>
        <w:t xml:space="preserve"> </w:t>
      </w:r>
      <w:r>
        <w:rPr>
          <w:rFonts w:hint="eastAsia"/>
        </w:rPr>
        <w:t xml:space="preserve">红木州康复服务部（RDRS）专员Elena</w:t>
      </w:r>
      <w:r>
        <w:t xml:space="preserve"> </w:t>
      </w:r>
      <w:r>
        <w:rPr>
          <w:rFonts w:hint="eastAsia"/>
        </w:rPr>
        <w:t xml:space="preserve">Marquez博士的厨房桌上摊开着三张电子表格。第一张显示全州药物过量死亡人数正在下降。第二张显示预计存在1,860万美元的资金缺口。第三张列出了126个职位，除非州议会、联邦政府或私人捐助者采取行动，否则这些职位在6月之后将无法维持。</w:t>
      </w:r>
    </w:p>
    <w:p>
      <w:pPr>
        <w:pStyle w:val="BodyText"/>
      </w:pPr>
      <w:r>
        <w:rPr>
          <w:rFonts w:hint="eastAsia"/>
          <w:b/>
          <w:bCs/>
        </w:rPr>
        <w:t xml:space="preserve">死亡率表面上的改善使问题变得更加复杂，而非更加简单。</w:t>
      </w:r>
      <w:r>
        <w:t xml:space="preserve"> </w:t>
      </w:r>
      <w:r>
        <w:rPr>
          <w:rFonts w:hint="eastAsia"/>
        </w:rPr>
        <w:t xml:space="preserve">从全国来看，药物过量死亡人数已从疫情高峰期大幅下降，但每年仍有数万人死亡。美国疾病控制与预防中心（CDC）对截至2025年12月的12个月的初步估计约为69,973例死亡，比上一年下降13.9%。2024年最终数据显示有54,045例涉及阿片类药物的死亡，其中47,735例涉及甲基芬太尼以外的合成阿片类药物。与此同时，美国药物滥用和精神卫生服务管理局（SAMHSA）估计，2024年有480万12岁及以上的美国人患有阿片使用障碍，但只有17%接受了阿片使用障碍药物治疗。</w:t>
      </w:r>
    </w:p>
    <w:p>
      <w:pPr>
        <w:pStyle w:val="BodyText"/>
      </w:pPr>
      <w:r>
        <w:rPr>
          <w:rFonts w:hint="eastAsia"/>
        </w:rPr>
        <w:t xml:space="preserve">红木州州长希望看到证据表明当前可以削减应急投资。县官员希望获得更多纳洛酮。治疗服务提供者希望提高报销标准。康复组织希望获得住房和就业支持。联邦拨款数额依然庞大，但每一笔拨款都附带各自的合格人群、要求开展的活动、报告规则和绩效指标。地方捐助者比较灵活但规模较小——而且越来越倾向于资助短期的、可见的项目，而不是长期人员编制。</w:t>
      </w:r>
    </w:p>
    <w:p>
      <w:pPr>
        <w:pStyle w:val="BodyText"/>
      </w:pPr>
      <w:r>
        <w:rPr>
          <w:rFonts w:hint="eastAsia"/>
        </w:rPr>
        <w:t xml:space="preserve">上午9:00，Marquez将主持一场预算务虚会。问题不仅仅是如何筹集资金，而是如何构建一个资金组合，既能维持全州范围的员工队伍完整，又能服务那些需求无法恰好契合现有资金所附限制条件的人群。</w:t>
      </w:r>
    </w:p>
    <w:bookmarkEnd w:id="9"/>
    <w:bookmarkStart w:id="10" w:name="红木体系"/>
    <w:p>
      <w:pPr>
        <w:pStyle w:val="Heading1"/>
      </w:pPr>
      <w:r>
        <w:rPr>
          <w:rFonts w:hint="eastAsia"/>
        </w:rPr>
        <w:t xml:space="preserve">红木体系</w:t>
      </w:r>
    </w:p>
    <w:p>
      <w:pPr>
        <w:pStyle w:val="FirstParagraph"/>
      </w:pPr>
      <w:r>
        <w:rPr>
          <w:rFonts w:hint="eastAsia"/>
        </w:rPr>
        <w:t xml:space="preserve">红木州是一个虚构的州，有680万居民，包括两个大都市区、一条衰落的工业走廊、农业县、部落土地和偏远山区社区。RDRS由该州的药物过量预防办公室、成瘾治疗管理局和康复服务单位合并而成，五年前建立。此次合并承诺建立”单一连续护理体系”，但其融资体系依然是碎片化的。</w:t>
      </w:r>
    </w:p>
    <w:p>
      <w:pPr>
        <w:pStyle w:val="BodyText"/>
      </w:pPr>
      <w:r>
        <w:rPr>
          <w:rFonts w:hint="eastAsia"/>
        </w:rPr>
        <w:t xml:space="preserve">RDRS本身不运营医院。它雇用临床医生、药剂师、流行病学家、同伴康复专员、拨款管理人员、采购人员和区域协调员。它与社区服务提供者和县级机构签订合同，同时直接管理全州纳洛酮仓库、药物过量监测系统、治疗获取热线、流动临床团队和康复导航项目。</w:t>
      </w:r>
    </w:p>
    <w:p>
      <w:pPr>
        <w:pStyle w:val="BodyText"/>
      </w:pPr>
      <w:r>
        <w:rPr>
          <w:rFonts w:hint="eastAsia"/>
        </w:rPr>
        <w:t xml:space="preserve">人员是该机构最主要的成本。员工所做的不仅仅是提供服务：他们培训地方合作伙伴、维护常规医嘱、监督分包受助方、收集联邦数据、调查聚集性事件、协商服务提供者的接诊能力，并帮助人们从急诊护理转入治疗、住房、福利和就业。许多职位由拨款支持，这些拨款将其视为临时项目支出，尽管这些工作实际上已成为一项永久性的运营职责。</w:t>
      </w:r>
    </w:p>
    <w:p>
      <w:pPr>
        <w:pStyle w:val="BodyText"/>
      </w:pPr>
      <w:r>
        <w:rPr>
          <w:rFonts w:hint="eastAsia"/>
        </w:rPr>
        <w:t xml:space="preserve">图表1.</w:t>
      </w:r>
      <w:r>
        <w:t xml:space="preserve"> </w:t>
      </w:r>
      <w:r>
        <w:rPr>
          <w:rFonts w:hint="eastAsia"/>
        </w:rPr>
        <w:t xml:space="preserve">RDRS运营概况，FY2026</w:t>
      </w:r>
    </w:p>
    <w:tbl>
      <w:tblPr>
        <w:tblStyle w:val="Table"/>
        <w:tblW w:type="pct" w:w="4930"/>
        <w:tblLayout w:type="fixed"/>
        <w:tblLook w:firstRow="1" w:lastRow="0" w:firstColumn="0" w:lastColumn="0" w:noHBand="0" w:noVBand="0" w:val="0020"/>
      </w:tblPr>
      <w:tblGrid>
        <w:gridCol w:w="2270"/>
        <w:gridCol w:w="664"/>
        <w:gridCol w:w="996"/>
        <w:gridCol w:w="3876"/>
      </w:tblGrid>
      <w:tr>
        <w:trPr>
          <w:tblHeader w:val="on"/>
        </w:trPr>
        <w:tc>
          <w:tcPr/>
          <w:p>
            <w:pPr>
              <w:pStyle w:val="Compact"/>
              <w:jc w:val="left"/>
            </w:pPr>
            <w:r>
              <w:rPr>
                <w:rFonts w:hint="eastAsia"/>
              </w:rPr>
              <w:t xml:space="preserve">项目领域</w:t>
            </w:r>
          </w:p>
        </w:tc>
        <w:tc>
          <w:tcPr/>
          <w:p>
            <w:pPr>
              <w:pStyle w:val="Compact"/>
              <w:jc w:val="left"/>
            </w:pPr>
            <w:r>
              <w:rPr>
                <w:rFonts w:hint="eastAsia"/>
              </w:rPr>
              <w:t xml:space="preserve">员工人数</w:t>
            </w:r>
          </w:p>
        </w:tc>
        <w:tc>
          <w:tcPr/>
          <w:p>
            <w:pPr>
              <w:pStyle w:val="Compact"/>
              <w:jc w:val="center"/>
            </w:pPr>
            <w:r>
              <w:rPr>
                <w:rFonts w:hint="eastAsia"/>
              </w:rPr>
              <w:t xml:space="preserve">年度成本</w:t>
            </w:r>
          </w:p>
        </w:tc>
        <w:tc>
          <w:tcPr/>
          <w:p>
            <w:pPr>
              <w:pStyle w:val="Compact"/>
              <w:jc w:val="left"/>
            </w:pPr>
            <w:r>
              <w:rPr>
                <w:rFonts w:hint="eastAsia"/>
              </w:rPr>
              <w:t xml:space="preserve">FY2026部分产出</w:t>
            </w:r>
          </w:p>
        </w:tc>
      </w:tr>
      <w:tr>
        <w:tc>
          <w:tcPr/>
          <w:p>
            <w:pPr>
              <w:pStyle w:val="Compact"/>
              <w:jc w:val="left"/>
            </w:pPr>
            <w:r>
              <w:rPr>
                <w:rFonts w:hint="eastAsia"/>
              </w:rPr>
              <w:t xml:space="preserve">纳洛酮与减害</w:t>
            </w:r>
          </w:p>
        </w:tc>
        <w:tc>
          <w:tcPr/>
          <w:p>
            <w:pPr>
              <w:pStyle w:val="Compact"/>
              <w:jc w:val="left"/>
            </w:pPr>
            <w:r>
              <w:t xml:space="preserve">94</w:t>
            </w:r>
          </w:p>
        </w:tc>
        <w:tc>
          <w:tcPr/>
          <w:p>
            <w:pPr>
              <w:pStyle w:val="Compact"/>
              <w:jc w:val="center"/>
            </w:pPr>
            <w:r>
              <w:rPr>
                <w:rFonts w:hint="eastAsia"/>
              </w:rPr>
              <w:t xml:space="preserve">1,890万美元</w:t>
            </w:r>
          </w:p>
        </w:tc>
        <w:tc>
          <w:tcPr/>
          <w:p>
            <w:pPr>
              <w:pStyle w:val="Compact"/>
              <w:jc w:val="left"/>
            </w:pPr>
            <w:r>
              <w:rPr>
                <w:rFonts w:hint="eastAsia"/>
              </w:rPr>
              <w:t xml:space="preserve">发放428,000套双剂量试剂盒；培训31,400人</w:t>
            </w:r>
          </w:p>
        </w:tc>
      </w:tr>
      <w:tr>
        <w:tc>
          <w:tcPr/>
          <w:p>
            <w:pPr>
              <w:pStyle w:val="Compact"/>
              <w:jc w:val="left"/>
            </w:pPr>
            <w:r>
              <w:rPr>
                <w:rFonts w:hint="eastAsia"/>
              </w:rPr>
              <w:t xml:space="preserve">治疗获取与临床服务</w:t>
            </w:r>
          </w:p>
        </w:tc>
        <w:tc>
          <w:tcPr/>
          <w:p>
            <w:pPr>
              <w:pStyle w:val="Compact"/>
              <w:jc w:val="left"/>
            </w:pPr>
            <w:r>
              <w:t xml:space="preserve">171</w:t>
            </w:r>
          </w:p>
        </w:tc>
        <w:tc>
          <w:tcPr/>
          <w:p>
            <w:pPr>
              <w:pStyle w:val="Compact"/>
              <w:jc w:val="center"/>
            </w:pPr>
            <w:r>
              <w:rPr>
                <w:rFonts w:hint="eastAsia"/>
              </w:rPr>
              <w:t xml:space="preserve">4,370万美元</w:t>
            </w:r>
          </w:p>
        </w:tc>
        <w:tc>
          <w:tcPr/>
          <w:p>
            <w:pPr>
              <w:pStyle w:val="Compact"/>
              <w:jc w:val="left"/>
            </w:pPr>
            <w:r>
              <w:rPr>
                <w:rFonts w:hint="eastAsia"/>
              </w:rPr>
              <w:t xml:space="preserve">21,800次治疗启动；7,600次阿片使用障碍药物治疗启动</w:t>
            </w:r>
          </w:p>
        </w:tc>
      </w:tr>
      <w:tr>
        <w:tc>
          <w:tcPr/>
          <w:p>
            <w:pPr>
              <w:pStyle w:val="Compact"/>
              <w:jc w:val="left"/>
            </w:pPr>
            <w:r>
              <w:rPr>
                <w:rFonts w:hint="eastAsia"/>
              </w:rPr>
              <w:t xml:space="preserve">康复与稳定</w:t>
            </w:r>
          </w:p>
        </w:tc>
        <w:tc>
          <w:tcPr/>
          <w:p>
            <w:pPr>
              <w:pStyle w:val="Compact"/>
              <w:jc w:val="left"/>
            </w:pPr>
            <w:r>
              <w:t xml:space="preserve">116</w:t>
            </w:r>
          </w:p>
        </w:tc>
        <w:tc>
          <w:tcPr/>
          <w:p>
            <w:pPr>
              <w:pStyle w:val="Compact"/>
              <w:jc w:val="center"/>
            </w:pPr>
            <w:r>
              <w:rPr>
                <w:rFonts w:hint="eastAsia"/>
              </w:rPr>
              <w:t xml:space="preserve">2,540万美元</w:t>
            </w:r>
          </w:p>
        </w:tc>
        <w:tc>
          <w:tcPr/>
          <w:p>
            <w:pPr>
              <w:pStyle w:val="Compact"/>
              <w:jc w:val="left"/>
            </w:pPr>
            <w:r>
              <w:rPr>
                <w:rFonts w:hint="eastAsia"/>
              </w:rPr>
              <w:t xml:space="preserve">12,900名客户获得导航、住房或就业支持</w:t>
            </w:r>
          </w:p>
        </w:tc>
      </w:tr>
      <w:tr>
        <w:tc>
          <w:tcPr/>
          <w:p>
            <w:pPr>
              <w:pStyle w:val="Compact"/>
              <w:jc w:val="left"/>
            </w:pPr>
            <w:r>
              <w:rPr>
                <w:rFonts w:hint="eastAsia"/>
              </w:rPr>
              <w:t xml:space="preserve">监测、评估与拨款管理</w:t>
            </w:r>
          </w:p>
        </w:tc>
        <w:tc>
          <w:tcPr/>
          <w:p>
            <w:pPr>
              <w:pStyle w:val="Compact"/>
              <w:jc w:val="left"/>
            </w:pPr>
            <w:r>
              <w:t xml:space="preserve">73</w:t>
            </w:r>
          </w:p>
        </w:tc>
        <w:tc>
          <w:tcPr/>
          <w:p>
            <w:pPr>
              <w:pStyle w:val="Compact"/>
              <w:jc w:val="center"/>
            </w:pPr>
            <w:r>
              <w:rPr>
                <w:rFonts w:hint="eastAsia"/>
              </w:rPr>
              <w:t xml:space="preserve">1,680万美元</w:t>
            </w:r>
          </w:p>
        </w:tc>
        <w:tc>
          <w:tcPr/>
          <w:p>
            <w:pPr>
              <w:pStyle w:val="Compact"/>
              <w:jc w:val="left"/>
            </w:pPr>
            <w:r>
              <w:rPr>
                <w:rFonts w:hint="eastAsia"/>
              </w:rPr>
              <w:t xml:space="preserve">监督62项分包拨款；每周药物过量仪表盘</w:t>
            </w:r>
          </w:p>
        </w:tc>
      </w:tr>
      <w:tr>
        <w:tc>
          <w:tcPr/>
          <w:p>
            <w:pPr>
              <w:pStyle w:val="Compact"/>
              <w:jc w:val="left"/>
            </w:pPr>
            <w:r>
              <w:rPr>
                <w:rFonts w:hint="eastAsia"/>
              </w:rPr>
              <w:t xml:space="preserve">行政与共享服务</w:t>
            </w:r>
          </w:p>
        </w:tc>
        <w:tc>
          <w:tcPr/>
          <w:p>
            <w:pPr>
              <w:pStyle w:val="Compact"/>
              <w:jc w:val="left"/>
            </w:pPr>
            <w:r>
              <w:t xml:space="preserve">52</w:t>
            </w:r>
          </w:p>
        </w:tc>
        <w:tc>
          <w:tcPr/>
          <w:p>
            <w:pPr>
              <w:pStyle w:val="Compact"/>
              <w:jc w:val="center"/>
            </w:pPr>
            <w:r>
              <w:rPr>
                <w:rFonts w:hint="eastAsia"/>
              </w:rPr>
              <w:t xml:space="preserve">1,320万美元</w:t>
            </w:r>
          </w:p>
        </w:tc>
        <w:tc>
          <w:tcPr/>
          <w:p>
            <w:pPr>
              <w:pStyle w:val="Compact"/>
              <w:jc w:val="left"/>
            </w:pPr>
            <w:r>
              <w:rPr>
                <w:rFonts w:hint="eastAsia"/>
              </w:rPr>
              <w:t xml:space="preserve">采购、财务、信息技术、法务、人力资源</w:t>
            </w:r>
          </w:p>
        </w:tc>
      </w:tr>
      <w:tr>
        <w:tc>
          <w:tcPr/>
          <w:p>
            <w:pPr>
              <w:pStyle w:val="Compact"/>
              <w:jc w:val="left"/>
            </w:pPr>
            <w:r>
              <w:rPr>
                <w:rFonts w:hint="eastAsia"/>
              </w:rPr>
              <w:t xml:space="preserve">总计</w:t>
            </w:r>
          </w:p>
        </w:tc>
        <w:tc>
          <w:tcPr/>
          <w:p>
            <w:pPr>
              <w:pStyle w:val="Compact"/>
              <w:jc w:val="left"/>
            </w:pPr>
            <w:r>
              <w:t xml:space="preserve">506</w:t>
            </w:r>
          </w:p>
        </w:tc>
        <w:tc>
          <w:tcPr/>
          <w:p>
            <w:pPr>
              <w:pStyle w:val="Compact"/>
              <w:jc w:val="center"/>
            </w:pPr>
            <w:r>
              <w:rPr>
                <w:rFonts w:hint="eastAsia"/>
              </w:rPr>
              <w:t xml:space="preserve">11,800万美元</w:t>
            </w:r>
          </w:p>
        </w:tc>
        <w:tc>
          <w:tcPr/>
          <w:p>
            <w:pPr>
              <w:pStyle w:val="Compact"/>
              <w:jc w:val="left"/>
            </w:pPr>
            <w:r>
              <w:rPr>
                <w:rFonts w:hint="eastAsia"/>
              </w:rPr>
              <w:t xml:space="preserve">全州运营</w:t>
            </w:r>
          </w:p>
        </w:tc>
      </w:tr>
    </w:tbl>
    <w:p>
      <w:pPr>
        <w:pStyle w:val="BodyText"/>
      </w:pPr>
      <w:r>
        <w:rPr>
          <w:rFonts w:hint="eastAsia"/>
        </w:rPr>
        <w:t xml:space="preserve">注：所有红木州数据均为虚构。</w:t>
      </w:r>
      <w:r>
        <w:rPr>
          <w:rFonts w:hint="eastAsia"/>
        </w:rPr>
        <w:t xml:space="preserve">“年度成本”</w:t>
      </w:r>
      <w:r>
        <w:rPr>
          <w:rFonts w:hint="eastAsia"/>
        </w:rPr>
        <w:t xml:space="preserve">包括人员薪酬、福利、合同及分摊管理费用。</w:t>
      </w:r>
    </w:p>
    <w:bookmarkEnd w:id="10"/>
    <w:bookmarkStart w:id="11" w:name="更好的一年还是脆弱的改善"/>
    <w:p>
      <w:pPr>
        <w:pStyle w:val="Heading1"/>
      </w:pPr>
      <w:r>
        <w:rPr>
          <w:rFonts w:hint="eastAsia"/>
        </w:rPr>
        <w:t xml:space="preserve">更好的一年——还是脆弱的改善？</w:t>
      </w:r>
    </w:p>
    <w:p>
      <w:pPr>
        <w:pStyle w:val="FirstParagraph"/>
      </w:pPr>
      <w:r>
        <w:rPr>
          <w:rFonts w:hint="eastAsia"/>
        </w:rPr>
        <w:t xml:space="preserve">红木州药物过量死亡的临时统计数字已从2023年的2,180例下降至2025年的1,640例。急诊室药物过量就诊人数也有所下降，但降幅不那么明显。全州总数掩盖了持续存在的差异：城市死亡人数下降速度快于农村地区；45岁以上成年人的死亡人数下降缓慢；而涉及兴奋剂的药物过量事件正在占据案例中越来越大的比例。多个县报告称，在同一起事件中纳洛酮被多次使用的情况有所增加。</w:t>
      </w:r>
    </w:p>
    <w:p>
      <w:pPr>
        <w:pStyle w:val="BodyText"/>
      </w:pPr>
      <w:r>
        <w:rPr>
          <w:rFonts w:hint="eastAsia"/>
        </w:rPr>
        <w:t xml:space="preserve">Marquez的流行病学团队警告不要将这一下降视为危机已经过去的证据。全国性分析将近期的改善归因于多重因素，包括更广泛的纳洛酮分发、更好的治疗获取渠道、非法药物供应的变化、疫情后预防活动的恢复，以及持续的公共投资。如果因为结果改善而削减资金，该州可能会拆解一部分曾促成这些结果的能力。</w:t>
      </w:r>
    </w:p>
    <w:bookmarkEnd w:id="11"/>
    <w:bookmarkStart w:id="12" w:name="收入架构"/>
    <w:p>
      <w:pPr>
        <w:pStyle w:val="Heading1"/>
      </w:pPr>
      <w:r>
        <w:rPr>
          <w:rFonts w:hint="eastAsia"/>
        </w:rPr>
        <w:t xml:space="preserve">收入架构</w:t>
      </w:r>
    </w:p>
    <w:p>
      <w:pPr>
        <w:pStyle w:val="FirstParagraph"/>
      </w:pPr>
      <w:r>
        <w:rPr>
          <w:rFonts w:hint="eastAsia"/>
        </w:rPr>
        <w:t xml:space="preserve">从远处看，RDRS的预算显得多元化。但实际上，其中大部分是受限资金。联邦州级阿片类药物应对（SOR）项目支持预防、减害、治疗和康复服务，但延续拨款取决于国会拨款、目标进展、及时报告以及对拨款条件的合规情况。FY2024</w:t>
      </w:r>
      <w:r>
        <w:t xml:space="preserve"> </w:t>
      </w:r>
      <w:r>
        <w:rPr>
          <w:rFonts w:hint="eastAsia"/>
        </w:rPr>
        <w:t xml:space="preserve">SOR通知预计全国将提供14.805亿美元，最多授予59项拨款；美国卫生与公众服务部（HHS）随后宣布FY2025州及部落阿片类药物应对延续拨款超过15亿美元。这种表面上的稳定并未消除州一级每年面临的不确定性。</w:t>
      </w:r>
    </w:p>
    <w:p>
      <w:pPr>
        <w:pStyle w:val="BodyText"/>
      </w:pPr>
      <w:r>
        <w:rPr>
          <w:rFonts w:hint="eastAsia"/>
        </w:rPr>
        <w:t xml:space="preserve">其他联邦资金则专注于监测、整体拨款人群、涉及司法系统的个人、孕产人群、青少年预防，或特定的循证实践。州拨款更为灵活，但受制于年度预算周期。阿片类药物和解资金可用于损害补救，但受法律协议和政治监督约束。医疗补助（Medicaid）报销临床诊疗，但通常不支付大范围外展、公共场所配置纳洛酮、拨款合规或就业导航等费用。私人捐助者往往偏好具有可衡量、可见成果的冠名项目。</w:t>
      </w:r>
    </w:p>
    <w:p>
      <w:pPr>
        <w:pStyle w:val="BodyText"/>
      </w:pPr>
      <w:r>
        <w:rPr>
          <w:rFonts w:hint="eastAsia"/>
        </w:rPr>
        <w:t xml:space="preserve">图表2.</w:t>
      </w:r>
      <w:r>
        <w:t xml:space="preserve"> </w:t>
      </w:r>
      <w:r>
        <w:rPr>
          <w:rFonts w:hint="eastAsia"/>
        </w:rPr>
        <w:t xml:space="preserve">FY2027按资金来源的预计拨款</w:t>
      </w:r>
    </w:p>
    <w:tbl>
      <w:tblPr>
        <w:tblStyle w:val="Table"/>
        <w:tblW w:type="pct" w:w="4939"/>
        <w:tblLayout w:type="fixed"/>
        <w:tblLook w:firstRow="1" w:lastRow="0" w:firstColumn="0" w:lastColumn="0" w:noHBand="0" w:noVBand="0" w:val="0020"/>
      </w:tblPr>
      <w:tblGrid>
        <w:gridCol w:w="1488"/>
        <w:gridCol w:w="528"/>
        <w:gridCol w:w="1104"/>
        <w:gridCol w:w="4704"/>
      </w:tblGrid>
      <w:tr>
        <w:trPr>
          <w:tblHeader w:val="on"/>
        </w:trPr>
        <w:tc>
          <w:tcPr/>
          <w:p>
            <w:pPr>
              <w:pStyle w:val="Compact"/>
              <w:jc w:val="left"/>
            </w:pPr>
            <w:r>
              <w:rPr>
                <w:rFonts w:hint="eastAsia"/>
              </w:rPr>
              <w:t xml:space="preserve">来源</w:t>
            </w:r>
          </w:p>
        </w:tc>
        <w:tc>
          <w:tcPr/>
          <w:p>
            <w:pPr>
              <w:pStyle w:val="Compact"/>
              <w:jc w:val="center"/>
            </w:pPr>
            <w:r>
              <w:t xml:space="preserve">FY2026</w:t>
            </w:r>
          </w:p>
        </w:tc>
        <w:tc>
          <w:tcPr/>
          <w:p>
            <w:pPr>
              <w:pStyle w:val="Compact"/>
              <w:jc w:val="center"/>
            </w:pPr>
            <w:r>
              <w:rPr>
                <w:rFonts w:hint="eastAsia"/>
              </w:rPr>
              <w:t xml:space="preserve">FY2027规划方案</w:t>
            </w:r>
          </w:p>
        </w:tc>
        <w:tc>
          <w:tcPr/>
          <w:p>
            <w:pPr>
              <w:pStyle w:val="Compact"/>
              <w:jc w:val="center"/>
            </w:pPr>
            <w:r>
              <w:rPr>
                <w:rFonts w:hint="eastAsia"/>
              </w:rPr>
              <w:t xml:space="preserve">主要限制或不确定性</w:t>
            </w:r>
          </w:p>
        </w:tc>
      </w:tr>
      <w:tr>
        <w:tc>
          <w:tcPr/>
          <w:p>
            <w:pPr>
              <w:pStyle w:val="Compact"/>
              <w:jc w:val="left"/>
            </w:pPr>
            <w:r>
              <w:rPr>
                <w:rFonts w:hint="eastAsia"/>
              </w:rPr>
              <w:t xml:space="preserve">联邦SOR拨款</w:t>
            </w:r>
          </w:p>
        </w:tc>
        <w:tc>
          <w:tcPr/>
          <w:p>
            <w:pPr>
              <w:pStyle w:val="Compact"/>
              <w:jc w:val="center"/>
            </w:pPr>
            <w:r>
              <w:rPr>
                <w:rFonts w:hint="eastAsia"/>
              </w:rPr>
              <w:t xml:space="preserve">3,840万美元</w:t>
            </w:r>
          </w:p>
        </w:tc>
        <w:tc>
          <w:tcPr/>
          <w:p>
            <w:pPr>
              <w:pStyle w:val="Compact"/>
              <w:jc w:val="center"/>
            </w:pPr>
            <w:r>
              <w:rPr>
                <w:rFonts w:hint="eastAsia"/>
              </w:rPr>
              <w:t xml:space="preserve">3,100万–3,920万美元</w:t>
            </w:r>
          </w:p>
        </w:tc>
        <w:tc>
          <w:tcPr/>
          <w:p>
            <w:pPr>
              <w:pStyle w:val="Compact"/>
              <w:jc w:val="center"/>
            </w:pPr>
            <w:r>
              <w:rPr>
                <w:rFonts w:hint="eastAsia"/>
              </w:rPr>
              <w:t xml:space="preserve">年度延续；阿片类药物/兴奋剂目标；详细报告；分包受助方要求</w:t>
            </w:r>
          </w:p>
        </w:tc>
      </w:tr>
      <w:tr>
        <w:tc>
          <w:tcPr/>
          <w:p>
            <w:pPr>
              <w:pStyle w:val="Compact"/>
              <w:jc w:val="left"/>
            </w:pPr>
            <w:r>
              <w:rPr>
                <w:rFonts w:hint="eastAsia"/>
              </w:rPr>
              <w:t xml:space="preserve">其他联邦拨款</w:t>
            </w:r>
          </w:p>
        </w:tc>
        <w:tc>
          <w:tcPr/>
          <w:p>
            <w:pPr>
              <w:pStyle w:val="Compact"/>
              <w:jc w:val="center"/>
            </w:pPr>
            <w:r>
              <w:rPr>
                <w:rFonts w:hint="eastAsia"/>
              </w:rPr>
              <w:t xml:space="preserve">1,960万美</w:t>
            </w:r>
          </w:p>
        </w:tc>
        <w:tc>
          <w:tcPr/>
          <w:p>
            <w:pPr>
              <w:pStyle w:val="Compact"/>
              <w:jc w:val="center"/>
            </w:pPr>
            <w:r>
              <w:rPr>
                <w:rFonts w:hint="eastAsia"/>
              </w:rPr>
              <w:t xml:space="preserve">元</w:t>
            </w:r>
            <w:r>
              <w:t xml:space="preserve"> </w:t>
            </w:r>
            <w:r>
              <w:rPr>
                <w:rFonts w:hint="eastAsia"/>
              </w:rPr>
              <w:t xml:space="preserve">1,510万–2,040万美元</w:t>
            </w:r>
          </w:p>
        </w:tc>
        <w:tc>
          <w:tcPr/>
          <w:p>
            <w:pPr>
              <w:pStyle w:val="Compact"/>
              <w:jc w:val="center"/>
            </w:pPr>
            <w:r>
              <w:rPr>
                <w:rFonts w:hint="eastAsia"/>
              </w:rPr>
              <w:t xml:space="preserve">人群或活动范围狭窄；不同的拨款周期和间接成本规则</w:t>
            </w:r>
          </w:p>
        </w:tc>
      </w:tr>
      <w:tr>
        <w:tc>
          <w:tcPr/>
          <w:p>
            <w:pPr>
              <w:pStyle w:val="Compact"/>
              <w:jc w:val="left"/>
            </w:pPr>
            <w:r>
              <w:rPr>
                <w:rFonts w:hint="eastAsia"/>
              </w:rPr>
              <w:t xml:space="preserve">州普通基金</w:t>
            </w:r>
          </w:p>
        </w:tc>
        <w:tc>
          <w:tcPr/>
          <w:p>
            <w:pPr>
              <w:pStyle w:val="Compact"/>
              <w:jc w:val="center"/>
            </w:pPr>
            <w:r>
              <w:rPr>
                <w:rFonts w:hint="eastAsia"/>
              </w:rPr>
              <w:t xml:space="preserve">2,500万美</w:t>
            </w:r>
          </w:p>
        </w:tc>
        <w:tc>
          <w:tcPr/>
          <w:p>
            <w:pPr>
              <w:pStyle w:val="Compact"/>
              <w:jc w:val="center"/>
            </w:pPr>
            <w:r>
              <w:rPr>
                <w:rFonts w:hint="eastAsia"/>
              </w:rPr>
              <w:t xml:space="preserve">元</w:t>
            </w:r>
            <w:r>
              <w:t xml:space="preserve"> </w:t>
            </w:r>
            <w:r>
              <w:rPr>
                <w:rFonts w:hint="eastAsia"/>
              </w:rPr>
              <w:t xml:space="preserve">2,100万–3,000万美元</w:t>
            </w:r>
          </w:p>
        </w:tc>
        <w:tc>
          <w:tcPr/>
          <w:p>
            <w:pPr>
              <w:pStyle w:val="Compact"/>
              <w:jc w:val="center"/>
            </w:pPr>
            <w:r>
              <w:rPr>
                <w:rFonts w:hint="eastAsia"/>
              </w:rPr>
              <w:t xml:space="preserve">年度拨款；预算优先事项相互竞争</w:t>
            </w:r>
          </w:p>
        </w:tc>
      </w:tr>
      <w:tr>
        <w:tc>
          <w:tcPr/>
          <w:p>
            <w:pPr>
              <w:pStyle w:val="Compact"/>
              <w:jc w:val="left"/>
            </w:pPr>
            <w:r>
              <w:rPr>
                <w:rFonts w:hint="eastAsia"/>
              </w:rPr>
              <w:t xml:space="preserve">阿片类药物和解拨款</w:t>
            </w:r>
          </w:p>
        </w:tc>
        <w:tc>
          <w:tcPr/>
          <w:p>
            <w:pPr>
              <w:pStyle w:val="Compact"/>
              <w:jc w:val="center"/>
            </w:pPr>
            <w:r>
              <w:rPr>
                <w:rFonts w:hint="eastAsia"/>
              </w:rPr>
              <w:t xml:space="preserve">1,450万美</w:t>
            </w:r>
          </w:p>
        </w:tc>
        <w:tc>
          <w:tcPr/>
          <w:p>
            <w:pPr>
              <w:pStyle w:val="Compact"/>
              <w:jc w:val="center"/>
            </w:pPr>
            <w:r>
              <w:rPr>
                <w:rFonts w:hint="eastAsia"/>
              </w:rPr>
              <w:t xml:space="preserve">元</w:t>
            </w:r>
            <w:r>
              <w:t xml:space="preserve"> </w:t>
            </w:r>
            <w:r>
              <w:rPr>
                <w:rFonts w:hint="eastAsia"/>
              </w:rPr>
              <w:t xml:space="preserve">1,100万–1,600万美元</w:t>
            </w:r>
          </w:p>
        </w:tc>
        <w:tc>
          <w:tcPr/>
          <w:p>
            <w:pPr>
              <w:pStyle w:val="Compact"/>
              <w:jc w:val="center"/>
            </w:pPr>
            <w:r>
              <w:rPr>
                <w:rFonts w:hint="eastAsia"/>
              </w:rPr>
              <w:t xml:space="preserve">必须符合阿片类药物损害补救条件；受公众和法律监督</w:t>
            </w:r>
          </w:p>
        </w:tc>
      </w:tr>
      <w:tr>
        <w:tc>
          <w:tcPr/>
          <w:p>
            <w:pPr>
              <w:pStyle w:val="Compact"/>
              <w:jc w:val="left"/>
            </w:pPr>
            <w:r>
              <w:rPr>
                <w:rFonts w:hint="eastAsia"/>
              </w:rPr>
              <w:t xml:space="preserve">医疗补助及服务收入</w:t>
            </w:r>
          </w:p>
        </w:tc>
        <w:tc>
          <w:tcPr/>
          <w:p>
            <w:pPr>
              <w:pStyle w:val="Compact"/>
              <w:jc w:val="center"/>
            </w:pPr>
            <w:r>
              <w:rPr>
                <w:rFonts w:hint="eastAsia"/>
              </w:rPr>
              <w:t xml:space="preserve">1,310万美</w:t>
            </w:r>
          </w:p>
        </w:tc>
        <w:tc>
          <w:tcPr/>
          <w:p>
            <w:pPr>
              <w:pStyle w:val="Compact"/>
              <w:jc w:val="center"/>
            </w:pPr>
            <w:r>
              <w:rPr>
                <w:rFonts w:hint="eastAsia"/>
              </w:rPr>
              <w:t xml:space="preserve">元</w:t>
            </w:r>
            <w:r>
              <w:t xml:space="preserve"> </w:t>
            </w:r>
            <w:r>
              <w:rPr>
                <w:rFonts w:hint="eastAsia"/>
              </w:rPr>
              <w:t xml:space="preserve">1,380万–1,650万美元</w:t>
            </w:r>
          </w:p>
        </w:tc>
        <w:tc>
          <w:tcPr/>
          <w:p>
            <w:pPr>
              <w:pStyle w:val="Compact"/>
              <w:jc w:val="center"/>
            </w:pPr>
            <w:r>
              <w:rPr>
                <w:rFonts w:hint="eastAsia"/>
              </w:rPr>
              <w:t xml:space="preserve">取决于可计费诊疗、参保人数、费率及服务提供者接诊能力</w:t>
            </w:r>
          </w:p>
        </w:tc>
      </w:tr>
      <w:tr>
        <w:tc>
          <w:tcPr/>
          <w:p>
            <w:pPr>
              <w:pStyle w:val="Compact"/>
              <w:jc w:val="left"/>
            </w:pPr>
            <w:r>
              <w:rPr>
                <w:rFonts w:hint="eastAsia"/>
              </w:rPr>
              <w:t xml:space="preserve">基金会与地方捐助者</w:t>
            </w:r>
          </w:p>
        </w:tc>
        <w:tc>
          <w:tcPr/>
          <w:p>
            <w:pPr>
              <w:pStyle w:val="Compact"/>
              <w:jc w:val="center"/>
            </w:pPr>
            <w:r>
              <w:rPr>
                <w:rFonts w:hint="eastAsia"/>
              </w:rPr>
              <w:t xml:space="preserve">460万美元</w:t>
            </w:r>
          </w:p>
        </w:tc>
        <w:tc>
          <w:tcPr/>
          <w:p>
            <w:pPr>
              <w:pStyle w:val="Compact"/>
              <w:jc w:val="center"/>
            </w:pPr>
            <w:r>
              <w:rPr>
                <w:rFonts w:hint="eastAsia"/>
              </w:rPr>
              <w:t xml:space="preserve">300万–800万美元</w:t>
            </w:r>
          </w:p>
        </w:tc>
        <w:tc>
          <w:tcPr/>
          <w:p>
            <w:pPr>
              <w:pStyle w:val="Compact"/>
              <w:jc w:val="center"/>
            </w:pPr>
            <w:r>
              <w:rPr>
                <w:rFonts w:hint="eastAsia"/>
              </w:rPr>
              <w:t xml:space="preserve">小额拨款；捐助者偏好；对永久性薪酬支持的意愿有限</w:t>
            </w:r>
          </w:p>
        </w:tc>
      </w:tr>
      <w:tr>
        <w:tc>
          <w:tcPr/>
          <w:p>
            <w:pPr>
              <w:pStyle w:val="Compact"/>
              <w:jc w:val="left"/>
            </w:pPr>
            <w:r>
              <w:rPr>
                <w:rFonts w:hint="eastAsia"/>
              </w:rPr>
              <w:t xml:space="preserve">其他</w:t>
            </w:r>
          </w:p>
        </w:tc>
        <w:tc>
          <w:tcPr/>
          <w:p>
            <w:pPr>
              <w:pStyle w:val="Compact"/>
              <w:jc w:val="center"/>
            </w:pPr>
            <w:r>
              <w:rPr>
                <w:rFonts w:hint="eastAsia"/>
              </w:rPr>
              <w:t xml:space="preserve">280万美元</w:t>
            </w:r>
          </w:p>
        </w:tc>
        <w:tc>
          <w:tcPr/>
          <w:p>
            <w:pPr>
              <w:pStyle w:val="Compact"/>
              <w:jc w:val="center"/>
            </w:pPr>
            <w:r>
              <w:rPr>
                <w:rFonts w:hint="eastAsia"/>
              </w:rPr>
              <w:t xml:space="preserve">250万–300万美元</w:t>
            </w:r>
          </w:p>
        </w:tc>
        <w:tc>
          <w:tcPr/>
          <w:p>
            <w:pPr>
              <w:pStyle w:val="Compact"/>
              <w:jc w:val="center"/>
            </w:pPr>
            <w:r>
              <w:rPr>
                <w:rFonts w:hint="eastAsia"/>
              </w:rPr>
              <w:t xml:space="preserve">费用、培训、跨机构协议</w:t>
            </w:r>
          </w:p>
        </w:tc>
      </w:tr>
      <w:tr>
        <w:tc>
          <w:tcPr/>
          <w:p>
            <w:pPr>
              <w:pStyle w:val="Compact"/>
              <w:jc w:val="left"/>
            </w:pPr>
            <w:r>
              <w:rPr>
                <w:rFonts w:hint="eastAsia"/>
              </w:rPr>
              <w:t xml:space="preserve">总计</w:t>
            </w:r>
          </w:p>
        </w:tc>
        <w:tc>
          <w:tcPr/>
          <w:p>
            <w:pPr>
              <w:pStyle w:val="Compact"/>
              <w:jc w:val="center"/>
            </w:pPr>
            <w:r>
              <w:rPr>
                <w:rFonts w:hint="eastAsia"/>
              </w:rPr>
              <w:t xml:space="preserve">11,800万美</w:t>
            </w:r>
          </w:p>
        </w:tc>
        <w:tc>
          <w:tcPr/>
          <w:p>
            <w:pPr>
              <w:pStyle w:val="Compact"/>
              <w:jc w:val="center"/>
            </w:pPr>
            <w:r>
              <w:rPr>
                <w:rFonts w:hint="eastAsia"/>
              </w:rPr>
              <w:t xml:space="preserve">元</w:t>
            </w:r>
            <w:r>
              <w:t xml:space="preserve"> </w:t>
            </w:r>
            <w:r>
              <w:rPr>
                <w:rFonts w:hint="eastAsia"/>
              </w:rPr>
              <w:t xml:space="preserve">9,740万–13,310万美元</w:t>
            </w:r>
          </w:p>
        </w:tc>
        <w:tc>
          <w:tcPr/>
          <w:p>
            <w:pPr>
              <w:pStyle w:val="Compact"/>
              <w:jc w:val="center"/>
            </w:pPr>
            <w:r>
              <w:rPr>
                <w:rFonts w:hint="eastAsia"/>
              </w:rPr>
              <w:t xml:space="preserve">区间较宽；时机和限制条件与总额同样重要</w:t>
            </w:r>
          </w:p>
        </w:tc>
      </w:tr>
    </w:tbl>
    <w:p>
      <w:pPr>
        <w:pStyle w:val="BodyText"/>
      </w:pPr>
      <w:r>
        <w:rPr>
          <w:rFonts w:hint="eastAsia"/>
        </w:rPr>
        <w:t xml:space="preserve">美国政府问责局（GAO）近期报告称，联邦阿片类药物应对项目的受助方面临着不断变化的报告要求、拨款延迟、州级采购流程以及缩短的实施窗口期所带来的负担。一项新的法定要求提出，需要提供有关阿片类药物应对资金”最终受益人”的信息。RDRS的拨款管理主任估计，合规和分包受助方监督工作相当于消耗了29个全职职位——而捐助者很少愿意为此提供资金。</w:t>
      </w:r>
    </w:p>
    <w:bookmarkEnd w:id="12"/>
    <w:bookmarkStart w:id="13" w:name="应当服务谁"/>
    <w:p>
      <w:pPr>
        <w:pStyle w:val="Heading1"/>
      </w:pPr>
      <w:r>
        <w:rPr>
          <w:rFonts w:hint="eastAsia"/>
        </w:rPr>
        <w:t xml:space="preserve">应当服务谁？</w:t>
      </w:r>
    </w:p>
    <w:p>
      <w:pPr>
        <w:pStyle w:val="FirstParagraph"/>
      </w:pPr>
      <w:r>
        <w:rPr>
          <w:rFonts w:hint="eastAsia"/>
        </w:rPr>
        <w:t xml:space="preserve">资金问题无法与分配问题分割开来。RDRS无法向每个群体承诺相同的服务可及性。每一项额外的承诺都会产生超出启动该项目的拨款有效期之外的员工职责义务。</w:t>
      </w:r>
    </w:p>
    <w:p>
      <w:pPr>
        <w:pStyle w:val="BodyText"/>
      </w:pPr>
      <w:r>
        <w:rPr>
          <w:rFonts w:hint="eastAsia"/>
        </w:rPr>
        <w:t xml:space="preserve">县卫生部门主张纳洛酮应保持普遍免费提供。他们希望在图书馆、学校、庇护所、交通枢纽、矫正设施、治疗中心以及吸毒者及其家人手中都能配备试剂盒。纳洛酮如能及时施用，可以逆转阿片类药物过量反应，CDC强调应通过社区组织进行分发。但普遍可及性不仅需要采购药物，还需要仓储、有效期管理、培训、数据系统和地方技术援助。</w:t>
      </w:r>
    </w:p>
    <w:p>
      <w:pPr>
        <w:pStyle w:val="BodyText"/>
      </w:pPr>
      <w:r>
        <w:rPr>
          <w:rFonts w:hint="eastAsia"/>
        </w:rPr>
        <w:t xml:space="preserve">治疗领域的领导者强调疾病患病率与循证护理之间的差距。他们希望建立流动阿片使用障碍药物治疗团队、当日预约、交通接送、远程医疗，以及从急诊室和监狱到治疗机构的更好衔接。康复组织则认为，如果没有住房、身份证件、就业、儿童看护和持续的同伴支持，仅有治疗会导致太多人重新陷入危机。农村县希望即使人均成本较高，也能拥有巡回团队。来自郊区选区的议员希望加强青少年预防及对受成瘾问题影响的家庭的支持。</w:t>
      </w:r>
    </w:p>
    <w:p>
      <w:pPr>
        <w:pStyle w:val="BodyText"/>
      </w:pPr>
      <w:r>
        <w:rPr>
          <w:rFonts w:hint="eastAsia"/>
        </w:rPr>
        <w:t xml:space="preserve">图表3.</w:t>
      </w:r>
      <w:r>
        <w:t xml:space="preserve"> </w:t>
      </w:r>
      <w:r>
        <w:rPr>
          <w:rFonts w:hint="eastAsia"/>
        </w:rPr>
        <w:t xml:space="preserve">服务扩展方案示例</w:t>
      </w:r>
    </w:p>
    <w:tbl>
      <w:tblPr>
        <w:tblStyle w:val="Table"/>
        <w:tblW w:type="pct" w:w="4945"/>
        <w:tblLayout w:type="fixed"/>
        <w:tblLook w:firstRow="1" w:lastRow="0" w:firstColumn="0" w:lastColumn="0" w:noHBand="0" w:noVBand="0" w:val="0020"/>
      </w:tblPr>
      <w:tblGrid>
        <w:gridCol w:w="1881"/>
        <w:gridCol w:w="612"/>
        <w:gridCol w:w="743"/>
        <w:gridCol w:w="1575"/>
        <w:gridCol w:w="3019"/>
      </w:tblGrid>
      <w:tr>
        <w:trPr>
          <w:tblHeader w:val="on"/>
        </w:trPr>
        <w:tc>
          <w:tcPr/>
          <w:p>
            <w:pPr>
              <w:pStyle w:val="Compact"/>
              <w:jc w:val="left"/>
            </w:pPr>
            <w:r>
              <w:rPr>
                <w:rFonts w:hint="eastAsia"/>
              </w:rPr>
              <w:t xml:space="preserve">方案</w:t>
            </w:r>
          </w:p>
        </w:tc>
        <w:tc>
          <w:tcPr/>
          <w:p>
            <w:pPr>
              <w:pStyle w:val="Compact"/>
              <w:jc w:val="left"/>
            </w:pPr>
            <w:r>
              <w:rPr>
                <w:rFonts w:hint="eastAsia"/>
              </w:rPr>
              <w:t xml:space="preserve">年度成本</w:t>
            </w:r>
          </w:p>
        </w:tc>
        <w:tc>
          <w:tcPr/>
          <w:p>
            <w:pPr>
              <w:pStyle w:val="Compact"/>
              <w:jc w:val="left"/>
            </w:pPr>
            <w:r>
              <w:rPr>
                <w:rFonts w:hint="eastAsia"/>
              </w:rPr>
              <w:t xml:space="preserve">所需员工数</w:t>
            </w:r>
          </w:p>
        </w:tc>
        <w:tc>
          <w:tcPr/>
          <w:p>
            <w:pPr>
              <w:pStyle w:val="Compact"/>
              <w:jc w:val="center"/>
            </w:pPr>
            <w:r>
              <w:rPr>
                <w:rFonts w:hint="eastAsia"/>
              </w:rPr>
              <w:t xml:space="preserve">预计年度覆盖人数</w:t>
            </w:r>
          </w:p>
        </w:tc>
        <w:tc>
          <w:tcPr/>
          <w:p>
            <w:pPr>
              <w:pStyle w:val="Compact"/>
              <w:jc w:val="center"/>
            </w:pPr>
            <w:r>
              <w:rPr>
                <w:rFonts w:hint="eastAsia"/>
              </w:rPr>
              <w:t xml:space="preserve">资金匹配情况</w:t>
            </w:r>
          </w:p>
        </w:tc>
      </w:tr>
      <w:tr>
        <w:tc>
          <w:tcPr/>
          <w:p>
            <w:pPr>
              <w:pStyle w:val="Compact"/>
              <w:jc w:val="left"/>
            </w:pPr>
            <w:r>
              <w:rPr>
                <w:rFonts w:hint="eastAsia"/>
              </w:rPr>
              <w:t xml:space="preserve">维持纳洛酮普遍可及性</w:t>
            </w:r>
          </w:p>
        </w:tc>
        <w:tc>
          <w:tcPr/>
          <w:p>
            <w:pPr>
              <w:pStyle w:val="Compact"/>
              <w:jc w:val="left"/>
            </w:pPr>
            <w:r>
              <w:rPr>
                <w:rFonts w:hint="eastAsia"/>
              </w:rPr>
              <w:t xml:space="preserve">720万美元</w:t>
            </w:r>
          </w:p>
        </w:tc>
        <w:tc>
          <w:tcPr/>
          <w:p>
            <w:pPr>
              <w:pStyle w:val="Compact"/>
              <w:jc w:val="left"/>
            </w:pPr>
            <w:r>
              <w:t xml:space="preserve">31</w:t>
            </w:r>
          </w:p>
        </w:tc>
        <w:tc>
          <w:tcPr/>
          <w:p>
            <w:pPr>
              <w:pStyle w:val="Compact"/>
              <w:jc w:val="center"/>
            </w:pPr>
            <w:r>
              <w:rPr>
                <w:rFonts w:hint="eastAsia"/>
              </w:rPr>
              <w:t xml:space="preserve">额外发放160,000套试剂盒</w:t>
            </w:r>
          </w:p>
        </w:tc>
        <w:tc>
          <w:tcPr/>
          <w:p>
            <w:pPr>
              <w:pStyle w:val="Compact"/>
              <w:jc w:val="center"/>
            </w:pPr>
            <w:r>
              <w:rPr>
                <w:rFonts w:hint="eastAsia"/>
              </w:rPr>
              <w:t xml:space="preserve">与SOR/和解资金高度匹配；与医疗补助匹配度低</w:t>
            </w:r>
          </w:p>
        </w:tc>
      </w:tr>
      <w:tr>
        <w:tc>
          <w:tcPr/>
          <w:p>
            <w:pPr>
              <w:pStyle w:val="Compact"/>
              <w:jc w:val="left"/>
            </w:pPr>
            <w:r>
              <w:rPr>
                <w:rFonts w:hint="eastAsia"/>
              </w:rPr>
              <w:t xml:space="preserve">扩大当日阿片使用障碍药物治疗获取渠道</w:t>
            </w:r>
          </w:p>
        </w:tc>
        <w:tc>
          <w:tcPr/>
          <w:p>
            <w:pPr>
              <w:pStyle w:val="Compact"/>
              <w:jc w:val="left"/>
            </w:pPr>
            <w:r>
              <w:rPr>
                <w:rFonts w:hint="eastAsia"/>
              </w:rPr>
              <w:t xml:space="preserve">1,080万美元</w:t>
            </w:r>
          </w:p>
        </w:tc>
        <w:tc>
          <w:tcPr/>
          <w:p>
            <w:pPr>
              <w:pStyle w:val="Compact"/>
              <w:jc w:val="left"/>
            </w:pPr>
            <w:r>
              <w:t xml:space="preserve">49</w:t>
            </w:r>
          </w:p>
        </w:tc>
        <w:tc>
          <w:tcPr/>
          <w:p>
            <w:pPr>
              <w:pStyle w:val="Compact"/>
              <w:jc w:val="center"/>
            </w:pPr>
            <w:r>
              <w:rPr>
                <w:rFonts w:hint="eastAsia"/>
              </w:rPr>
              <w:t xml:space="preserve">新增3,200次治疗启动</w:t>
            </w:r>
          </w:p>
        </w:tc>
        <w:tc>
          <w:tcPr/>
          <w:p>
            <w:pPr>
              <w:pStyle w:val="Compact"/>
              <w:jc w:val="center"/>
            </w:pPr>
            <w:r>
              <w:rPr>
                <w:rFonts w:hint="eastAsia"/>
              </w:rPr>
              <w:t xml:space="preserve">SOR与医疗补助；存在临床计费风险</w:t>
            </w:r>
          </w:p>
        </w:tc>
      </w:tr>
      <w:tr>
        <w:tc>
          <w:tcPr/>
          <w:p>
            <w:pPr>
              <w:pStyle w:val="Compact"/>
              <w:jc w:val="left"/>
            </w:pPr>
            <w:r>
              <w:rPr>
                <w:rFonts w:hint="eastAsia"/>
              </w:rPr>
              <w:t xml:space="preserve">农村流动康复团队</w:t>
            </w:r>
          </w:p>
        </w:tc>
        <w:tc>
          <w:tcPr/>
          <w:p>
            <w:pPr>
              <w:pStyle w:val="Compact"/>
              <w:jc w:val="left"/>
            </w:pPr>
            <w:r>
              <w:rPr>
                <w:rFonts w:hint="eastAsia"/>
              </w:rPr>
              <w:t xml:space="preserve">860万美元</w:t>
            </w:r>
          </w:p>
        </w:tc>
        <w:tc>
          <w:tcPr/>
          <w:p>
            <w:pPr>
              <w:pStyle w:val="Compact"/>
              <w:jc w:val="left"/>
            </w:pPr>
            <w:r>
              <w:t xml:space="preserve">42</w:t>
            </w:r>
          </w:p>
        </w:tc>
        <w:tc>
          <w:tcPr/>
          <w:p>
            <w:pPr>
              <w:pStyle w:val="Compact"/>
              <w:jc w:val="center"/>
            </w:pPr>
            <w:r>
              <w:rPr>
                <w:rFonts w:hint="eastAsia"/>
              </w:rPr>
              <w:t xml:space="preserve">覆盖19个县2,100名客户</w:t>
            </w:r>
          </w:p>
        </w:tc>
        <w:tc>
          <w:tcPr/>
          <w:p>
            <w:pPr>
              <w:pStyle w:val="Compact"/>
              <w:jc w:val="center"/>
            </w:pPr>
            <w:r>
              <w:rPr>
                <w:rFonts w:hint="eastAsia"/>
              </w:rPr>
              <w:t xml:space="preserve">可能获得联邦/州支持；单位成本高</w:t>
            </w:r>
          </w:p>
        </w:tc>
      </w:tr>
      <w:tr>
        <w:tc>
          <w:tcPr/>
          <w:p>
            <w:pPr>
              <w:pStyle w:val="Compact"/>
              <w:jc w:val="left"/>
            </w:pPr>
            <w:r>
              <w:rPr>
                <w:rFonts w:hint="eastAsia"/>
              </w:rPr>
              <w:t xml:space="preserve">住房与就业稳定支持</w:t>
            </w:r>
          </w:p>
        </w:tc>
        <w:tc>
          <w:tcPr/>
          <w:p>
            <w:pPr>
              <w:pStyle w:val="Compact"/>
              <w:jc w:val="left"/>
            </w:pPr>
            <w:r>
              <w:rPr>
                <w:rFonts w:hint="eastAsia"/>
              </w:rPr>
              <w:t xml:space="preserve">940万美元</w:t>
            </w:r>
          </w:p>
        </w:tc>
        <w:tc>
          <w:tcPr/>
          <w:p>
            <w:pPr>
              <w:pStyle w:val="Compact"/>
              <w:jc w:val="left"/>
            </w:pPr>
            <w:r>
              <w:t xml:space="preserve">37</w:t>
            </w:r>
          </w:p>
        </w:tc>
        <w:tc>
          <w:tcPr/>
          <w:p>
            <w:pPr>
              <w:pStyle w:val="Compact"/>
              <w:jc w:val="center"/>
            </w:pPr>
            <w:r>
              <w:rPr>
                <w:rFonts w:hint="eastAsia"/>
              </w:rPr>
              <w:t xml:space="preserve">1,850名客户</w:t>
            </w:r>
          </w:p>
        </w:tc>
        <w:tc>
          <w:tcPr/>
          <w:p>
            <w:pPr>
              <w:pStyle w:val="Compact"/>
              <w:jc w:val="center"/>
            </w:pPr>
            <w:r>
              <w:rPr>
                <w:rFonts w:hint="eastAsia"/>
              </w:rPr>
              <w:t xml:space="preserve">康复拨款/捐助者；存在资格认定与成果归因问题</w:t>
            </w:r>
          </w:p>
        </w:tc>
      </w:tr>
      <w:tr>
        <w:tc>
          <w:tcPr/>
          <w:p>
            <w:pPr>
              <w:pStyle w:val="Compact"/>
              <w:jc w:val="left"/>
            </w:pPr>
            <w:r>
              <w:rPr>
                <w:rFonts w:hint="eastAsia"/>
              </w:rPr>
              <w:t xml:space="preserve">司法系统到治疗的衔接</w:t>
            </w:r>
          </w:p>
        </w:tc>
        <w:tc>
          <w:tcPr/>
          <w:p>
            <w:pPr>
              <w:pStyle w:val="Compact"/>
              <w:jc w:val="left"/>
            </w:pPr>
            <w:r>
              <w:rPr>
                <w:rFonts w:hint="eastAsia"/>
              </w:rPr>
              <w:t xml:space="preserve">610万美元</w:t>
            </w:r>
          </w:p>
        </w:tc>
        <w:tc>
          <w:tcPr/>
          <w:p>
            <w:pPr>
              <w:pStyle w:val="Compact"/>
              <w:jc w:val="left"/>
            </w:pPr>
            <w:r>
              <w:t xml:space="preserve">28</w:t>
            </w:r>
          </w:p>
        </w:tc>
        <w:tc>
          <w:tcPr/>
          <w:p>
            <w:pPr>
              <w:pStyle w:val="Compact"/>
              <w:jc w:val="center"/>
            </w:pPr>
            <w:r>
              <w:rPr>
                <w:rFonts w:hint="eastAsia"/>
              </w:rPr>
              <w:t xml:space="preserve">2,600名出狱人员</w:t>
            </w:r>
          </w:p>
        </w:tc>
        <w:tc>
          <w:tcPr/>
          <w:p>
            <w:pPr>
              <w:pStyle w:val="Compact"/>
              <w:jc w:val="center"/>
            </w:pPr>
            <w:r>
              <w:rPr>
                <w:rFonts w:hint="eastAsia"/>
              </w:rPr>
              <w:t xml:space="preserve">定向拨款；依赖跨机构协作</w:t>
            </w:r>
          </w:p>
        </w:tc>
      </w:tr>
      <w:tr>
        <w:tc>
          <w:tcPr/>
          <w:p>
            <w:pPr>
              <w:pStyle w:val="Compact"/>
              <w:jc w:val="left"/>
            </w:pPr>
            <w:r>
              <w:rPr>
                <w:rFonts w:hint="eastAsia"/>
              </w:rPr>
              <w:t xml:space="preserve">青少年与家庭预防倡议</w:t>
            </w:r>
          </w:p>
        </w:tc>
        <w:tc>
          <w:tcPr/>
          <w:p>
            <w:pPr>
              <w:pStyle w:val="Compact"/>
              <w:jc w:val="left"/>
            </w:pPr>
            <w:r>
              <w:rPr>
                <w:rFonts w:hint="eastAsia"/>
              </w:rPr>
              <w:t xml:space="preserve">530万美元</w:t>
            </w:r>
          </w:p>
        </w:tc>
        <w:tc>
          <w:tcPr/>
          <w:p>
            <w:pPr>
              <w:pStyle w:val="Compact"/>
              <w:jc w:val="left"/>
            </w:pPr>
            <w:r>
              <w:t xml:space="preserve">24</w:t>
            </w:r>
          </w:p>
        </w:tc>
        <w:tc>
          <w:tcPr/>
          <w:p>
            <w:pPr>
              <w:pStyle w:val="Compact"/>
              <w:jc w:val="center"/>
            </w:pPr>
            <w:r>
              <w:rPr>
                <w:rFonts w:hint="eastAsia"/>
              </w:rPr>
              <w:t xml:space="preserve">35,000名学生/家庭成员</w:t>
            </w:r>
          </w:p>
        </w:tc>
        <w:tc>
          <w:tcPr/>
          <w:p>
            <w:pPr>
              <w:pStyle w:val="Compact"/>
              <w:jc w:val="center"/>
            </w:pPr>
            <w:r>
              <w:rPr>
                <w:rFonts w:hint="eastAsia"/>
              </w:rPr>
              <w:t xml:space="preserve">预防拨款与捐助者；效益显现缓慢</w:t>
            </w:r>
          </w:p>
        </w:tc>
      </w:tr>
    </w:tbl>
    <w:p>
      <w:pPr>
        <w:pStyle w:val="BodyText"/>
      </w:pPr>
      <w:r>
        <w:rPr>
          <w:rFonts w:hint="eastAsia"/>
        </w:rPr>
        <w:t xml:space="preserve">这些方案并非相互排斥，但按照核心预测，机构无法为所有方案配备人员。此外，资金并不总能从一个项目转移到另一个项目。一笔受限拨款可能会有资金未被使用，而机构同时却在裁减从事必要但不符合资格的工作的员工。</w:t>
      </w:r>
    </w:p>
    <w:bookmarkEnd w:id="13"/>
    <w:bookmarkStart w:id="14" w:name="融资的针眼难题"/>
    <w:p>
      <w:pPr>
        <w:pStyle w:val="Heading1"/>
      </w:pPr>
      <w:r>
        <w:rPr>
          <w:rFonts w:hint="eastAsia"/>
        </w:rPr>
        <w:t xml:space="preserve">融资的针眼难题</w:t>
      </w:r>
    </w:p>
    <w:p>
      <w:pPr>
        <w:pStyle w:val="FirstParagraph"/>
      </w:pPr>
      <w:r>
        <w:rPr>
          <w:rFonts w:hint="eastAsia"/>
        </w:rPr>
        <w:t xml:space="preserve">Marquez要求团队制定备选方案。没有一个方案仅仅是一场筹款活动。</w:t>
      </w:r>
    </w:p>
    <w:p>
      <w:pPr>
        <w:pStyle w:val="BodyText"/>
      </w:pPr>
      <w:r>
        <w:rPr>
          <w:b/>
          <w:bCs/>
        </w:rPr>
        <w:t xml:space="preserve">1. </w:t>
      </w:r>
      <w:r>
        <w:rPr>
          <w:rFonts w:hint="eastAsia"/>
          <w:b/>
          <w:bCs/>
        </w:rPr>
        <w:t xml:space="preserve">保护核心员工队伍。</w:t>
      </w:r>
      <w:r>
        <w:t xml:space="preserve"> </w:t>
      </w:r>
      <w:r>
        <w:rPr>
          <w:rFonts w:hint="eastAsia"/>
        </w:rPr>
        <w:t xml:space="preserve">优先使用州普通基金和和解资金支付永久性员工薪酬，同时将联邦和慈善资金用于可变的项目支出。这可能提高工作的连续性，但也可能被批评为将灵活资金用于行政管理，而非可见的服务。</w:t>
      </w:r>
    </w:p>
    <w:p>
      <w:pPr>
        <w:pStyle w:val="BodyText"/>
      </w:pPr>
      <w:r>
        <w:rPr>
          <w:b/>
          <w:bCs/>
        </w:rPr>
        <w:t xml:space="preserve">2. </w:t>
      </w:r>
      <w:r>
        <w:rPr>
          <w:rFonts w:hint="eastAsia"/>
          <w:b/>
          <w:bCs/>
        </w:rPr>
        <w:t xml:space="preserve">围绕拨款资助的项目进行组织架构调整。</w:t>
      </w:r>
      <w:r>
        <w:t xml:space="preserve"> </w:t>
      </w:r>
      <w:r>
        <w:rPr>
          <w:rFonts w:hint="eastAsia"/>
        </w:rPr>
        <w:t xml:space="preserve">重组团队，使职位和活动直接对应联邦资助机会通知的内容。这可能会最大化申请的竞争力，但可能会使连续护理体系碎片化，并使优先事项随联邦措辞的变化而变化。</w:t>
      </w:r>
    </w:p>
    <w:p>
      <w:pPr>
        <w:pStyle w:val="BodyText"/>
      </w:pPr>
      <w:r>
        <w:rPr>
          <w:b/>
          <w:bCs/>
        </w:rPr>
        <w:t xml:space="preserve">3. </w:t>
      </w:r>
      <w:r>
        <w:rPr>
          <w:rFonts w:hint="eastAsia"/>
          <w:b/>
          <w:bCs/>
        </w:rPr>
        <w:t xml:space="preserve">构建交织型融资模式。</w:t>
      </w:r>
      <w:r>
        <w:t xml:space="preserve"> </w:t>
      </w:r>
      <w:r>
        <w:rPr>
          <w:rFonts w:hint="eastAsia"/>
        </w:rPr>
        <w:t xml:space="preserve">用多种资金来源共同支持每项服务——例如，用联邦资金支持外展、用医疗补助支付临床诊疗、用和解资金支持导航服务、用捐助资金支持紧急援助。交织融资可以维持服务，但需要复杂的时间分配、成本核算、资格审查和审计控制。</w:t>
      </w:r>
    </w:p>
    <w:p>
      <w:pPr>
        <w:pStyle w:val="BodyText"/>
      </w:pPr>
      <w:r>
        <w:rPr>
          <w:b/>
          <w:bCs/>
        </w:rPr>
        <w:t xml:space="preserve">4. </w:t>
      </w:r>
      <w:r>
        <w:rPr>
          <w:rFonts w:hint="eastAsia"/>
          <w:b/>
          <w:bCs/>
        </w:rPr>
        <w:t xml:space="preserve">将更多服务交付转移给地方合作伙伴。</w:t>
      </w:r>
      <w:r>
        <w:t xml:space="preserve"> </w:t>
      </w:r>
      <w:r>
        <w:rPr>
          <w:rFonts w:hint="eastAsia"/>
        </w:rPr>
        <w:t xml:space="preserve">缩减中央员工队伍，将资金分配给各县、医院、非营利组织和康复机构。地方组织可能更贴近客户，但RDRS将失去运营控制权，同时仍须承担监督职责。较小的组织可能没有足够的现金流或行政能力来管理报销和联邦合规事务。</w:t>
      </w:r>
    </w:p>
    <w:p>
      <w:pPr>
        <w:pStyle w:val="BodyText"/>
      </w:pPr>
      <w:r>
        <w:rPr>
          <w:b/>
          <w:bCs/>
        </w:rPr>
        <w:t xml:space="preserve">5. </w:t>
      </w:r>
      <w:r>
        <w:rPr>
          <w:rFonts w:hint="eastAsia"/>
          <w:b/>
          <w:bCs/>
        </w:rPr>
        <w:t xml:space="preserve">建立全州康复基金。</w:t>
      </w:r>
      <w:r>
        <w:t xml:space="preserve"> </w:t>
      </w:r>
      <w:r>
        <w:rPr>
          <w:rFonts w:hint="eastAsia"/>
        </w:rPr>
        <w:t xml:space="preserve">寻求医疗系统、雇主、保险公司、基金会和个人捐助者做出多年期承诺。一个统筹基金可以填补政府拨款未覆盖的空白，但私人参与者可能会要求治理权、地域偏好或快速见效的证据。</w:t>
      </w:r>
    </w:p>
    <w:p>
      <w:pPr>
        <w:pStyle w:val="BodyText"/>
      </w:pPr>
      <w:r>
        <w:rPr>
          <w:b/>
          <w:bCs/>
        </w:rPr>
        <w:t xml:space="preserve">6. </w:t>
      </w:r>
      <w:r>
        <w:rPr>
          <w:rFonts w:hint="eastAsia"/>
          <w:b/>
          <w:bCs/>
        </w:rPr>
        <w:t xml:space="preserve">缩小使命范围。</w:t>
      </w:r>
      <w:r>
        <w:t xml:space="preserve"> </w:t>
      </w:r>
      <w:r>
        <w:rPr>
          <w:rFonts w:hint="eastAsia"/>
        </w:rPr>
        <w:t xml:space="preserve">集中精力于纳洛酮、治疗获取渠道和拨款管理，同时削减住房、就业和长期康复功能。机构可能可以在急性阶段服务更多人，但可能会削弱旨在防止危机反复发生的支持体系。</w:t>
      </w:r>
    </w:p>
    <w:bookmarkEnd w:id="14"/>
    <w:bookmarkStart w:id="15" w:name="衡量问题"/>
    <w:p>
      <w:pPr>
        <w:pStyle w:val="Heading1"/>
      </w:pPr>
      <w:r>
        <w:rPr>
          <w:rFonts w:hint="eastAsia"/>
        </w:rPr>
        <w:t xml:space="preserve">衡量问题</w:t>
      </w:r>
    </w:p>
    <w:p>
      <w:pPr>
        <w:pStyle w:val="FirstParagraph"/>
      </w:pPr>
      <w:r>
        <w:rPr>
          <w:rFonts w:hint="eastAsia"/>
        </w:rPr>
        <w:t xml:space="preserve">该机构的成果难以归因。发放的纳洛酮试剂盒容易计数；被挽救的生命却不容易。治疗启动可以被衡量，但留存率取决于服务提供者、交通、住房、保险和药物供应情况。就业成果可能在拨款结束数月之后才显现。即使部分下降要归功于项目能力，死亡人数下降也可能削弱政治紧迫感。</w:t>
      </w:r>
    </w:p>
    <w:p>
      <w:pPr>
        <w:pStyle w:val="BodyText"/>
      </w:pPr>
      <w:r>
        <w:rPr>
          <w:rFonts w:hint="eastAsia"/>
        </w:rPr>
        <w:t xml:space="preserve">捐助者要求提供故事性内容和近期可见的成效指标。联邦机构要求标准化的产出数据和分包受助方数据。州预算官员希望看到人群层面的成果，以及项目不重复的证据。Marquez的团队担心，机构最终会优化那些可获得资金支持、可被计数的事项，而非客户真正需要的事项。</w:t>
      </w:r>
    </w:p>
    <w:p>
      <w:pPr>
        <w:pStyle w:val="BodyText"/>
      </w:pPr>
      <w:r>
        <w:rPr>
          <w:rFonts w:hint="eastAsia"/>
        </w:rPr>
        <w:t xml:space="preserve">图表4.</w:t>
      </w:r>
      <w:r>
        <w:t xml:space="preserve"> </w:t>
      </w:r>
      <w:r>
        <w:rPr>
          <w:rFonts w:hint="eastAsia"/>
        </w:rPr>
        <w:t xml:space="preserve">拟议的FY2027决策标准</w:t>
      </w:r>
    </w:p>
    <w:tbl>
      <w:tblPr>
        <w:tblStyle w:val="Table"/>
        <w:tblW w:type="pct" w:w="4935"/>
        <w:tblLayout w:type="fixed"/>
        <w:tblLook w:firstRow="1" w:lastRow="0" w:firstColumn="0" w:lastColumn="0" w:noHBand="0" w:noVBand="0" w:val="0020"/>
      </w:tblPr>
      <w:tblGrid>
        <w:gridCol w:w="1182"/>
        <w:gridCol w:w="3445"/>
        <w:gridCol w:w="3188"/>
      </w:tblGrid>
      <w:tr>
        <w:trPr>
          <w:tblHeader w:val="on"/>
        </w:trPr>
        <w:tc>
          <w:tcPr/>
          <w:p>
            <w:pPr>
              <w:pStyle w:val="Compact"/>
              <w:jc w:val="left"/>
            </w:pPr>
            <w:r>
              <w:rPr>
                <w:rFonts w:hint="eastAsia"/>
              </w:rPr>
              <w:t xml:space="preserve">标准</w:t>
            </w:r>
          </w:p>
        </w:tc>
        <w:tc>
          <w:tcPr/>
          <w:p>
            <w:pPr>
              <w:pStyle w:val="Compact"/>
              <w:jc w:val="center"/>
            </w:pPr>
            <w:r>
              <w:rPr>
                <w:rFonts w:hint="eastAsia"/>
              </w:rPr>
              <w:t xml:space="preserve">示例衡量指标</w:t>
            </w:r>
          </w:p>
        </w:tc>
        <w:tc>
          <w:tcPr/>
          <w:p>
            <w:pPr>
              <w:pStyle w:val="Compact"/>
              <w:jc w:val="center"/>
            </w:pPr>
            <w:r>
              <w:rPr>
                <w:rFonts w:hint="eastAsia"/>
              </w:rPr>
              <w:t xml:space="preserve">悬而未决的问题</w:t>
            </w:r>
          </w:p>
        </w:tc>
      </w:tr>
      <w:tr>
        <w:tc>
          <w:tcPr/>
          <w:p>
            <w:pPr>
              <w:pStyle w:val="Compact"/>
              <w:jc w:val="left"/>
            </w:pPr>
            <w:r>
              <w:rPr>
                <w:rFonts w:hint="eastAsia"/>
              </w:rPr>
              <w:t xml:space="preserve">生命与健康</w:t>
            </w:r>
          </w:p>
        </w:tc>
        <w:tc>
          <w:tcPr/>
          <w:p>
            <w:pPr>
              <w:pStyle w:val="Compact"/>
              <w:jc w:val="center"/>
            </w:pPr>
            <w:r>
              <w:rPr>
                <w:rFonts w:hint="eastAsia"/>
              </w:rPr>
              <w:t xml:space="preserve">药物过量死亡人数、非致命性过量事件、治疗留存率</w:t>
            </w:r>
          </w:p>
        </w:tc>
        <w:tc>
          <w:tcPr/>
          <w:p>
            <w:pPr>
              <w:pStyle w:val="Compact"/>
              <w:jc w:val="center"/>
            </w:pPr>
            <w:r>
              <w:rPr>
                <w:rFonts w:hint="eastAsia"/>
              </w:rPr>
              <w:t xml:space="preserve">有多少变化可以归因于RDRS？</w:t>
            </w:r>
          </w:p>
        </w:tc>
      </w:tr>
      <w:tr>
        <w:tc>
          <w:tcPr/>
          <w:p>
            <w:pPr>
              <w:pStyle w:val="Compact"/>
              <w:jc w:val="left"/>
            </w:pPr>
            <w:r>
              <w:rPr>
                <w:rFonts w:hint="eastAsia"/>
              </w:rPr>
              <w:t xml:space="preserve">可及性与公平</w:t>
            </w:r>
          </w:p>
        </w:tc>
        <w:tc>
          <w:tcPr/>
          <w:p>
            <w:pPr>
              <w:pStyle w:val="Compact"/>
              <w:jc w:val="center"/>
            </w:pPr>
            <w:r>
              <w:rPr>
                <w:rFonts w:hint="eastAsia"/>
              </w:rPr>
              <w:t xml:space="preserve">出行时间、等待时间、按地区和群体划分的服务比率</w:t>
            </w:r>
          </w:p>
        </w:tc>
        <w:tc>
          <w:tcPr/>
          <w:p>
            <w:pPr>
              <w:pStyle w:val="Compact"/>
              <w:jc w:val="center"/>
            </w:pPr>
            <w:r>
              <w:rPr>
                <w:rFonts w:hint="eastAsia"/>
              </w:rPr>
              <w:t xml:space="preserve">高成本的农村覆盖是否应优先于总服务量？</w:t>
            </w:r>
          </w:p>
        </w:tc>
      </w:tr>
      <w:tr>
        <w:tc>
          <w:tcPr/>
          <w:p>
            <w:pPr>
              <w:pStyle w:val="Compact"/>
              <w:jc w:val="left"/>
            </w:pPr>
            <w:r>
              <w:rPr>
                <w:rFonts w:hint="eastAsia"/>
              </w:rPr>
              <w:t xml:space="preserve">康复稳定性</w:t>
            </w:r>
          </w:p>
        </w:tc>
        <w:tc>
          <w:tcPr/>
          <w:p>
            <w:pPr>
              <w:pStyle w:val="Compact"/>
              <w:jc w:val="center"/>
            </w:pPr>
            <w:r>
              <w:rPr>
                <w:rFonts w:hint="eastAsia"/>
              </w:rPr>
              <w:t xml:space="preserve">住房、就业、司法涉入情况、重新与护理体系建立联系</w:t>
            </w:r>
          </w:p>
        </w:tc>
        <w:tc>
          <w:tcPr/>
          <w:p>
            <w:pPr>
              <w:pStyle w:val="Compact"/>
              <w:jc w:val="center"/>
            </w:pPr>
            <w:r>
              <w:rPr>
                <w:rFonts w:hint="eastAsia"/>
              </w:rPr>
              <w:t xml:space="preserve">哪些成果属于健康机构使命的范畴？</w:t>
            </w:r>
          </w:p>
        </w:tc>
      </w:tr>
      <w:tr>
        <w:tc>
          <w:tcPr/>
          <w:p>
            <w:pPr>
              <w:pStyle w:val="Compact"/>
              <w:jc w:val="left"/>
            </w:pPr>
            <w:r>
              <w:rPr>
                <w:rFonts w:hint="eastAsia"/>
              </w:rPr>
              <w:t xml:space="preserve">财务韧性</w:t>
            </w:r>
          </w:p>
        </w:tc>
        <w:tc>
          <w:tcPr/>
          <w:p>
            <w:pPr>
              <w:pStyle w:val="Compact"/>
              <w:jc w:val="center"/>
            </w:pPr>
            <w:r>
              <w:rPr>
                <w:rFonts w:hint="eastAsia"/>
              </w:rPr>
              <w:t xml:space="preserve">无限制薪酬支付月数；资金来源集中度</w:t>
            </w:r>
          </w:p>
        </w:tc>
        <w:tc>
          <w:tcPr/>
          <w:p>
            <w:pPr>
              <w:pStyle w:val="Compact"/>
              <w:jc w:val="center"/>
            </w:pPr>
            <w:r>
              <w:rPr>
                <w:rFonts w:hint="eastAsia"/>
              </w:rPr>
              <w:t xml:space="preserve">应牺牲多少服务来建立储备金？</w:t>
            </w:r>
          </w:p>
        </w:tc>
      </w:tr>
      <w:tr>
        <w:tc>
          <w:tcPr/>
          <w:p>
            <w:pPr>
              <w:pStyle w:val="Compact"/>
              <w:jc w:val="left"/>
            </w:pPr>
            <w:r>
              <w:rPr>
                <w:rFonts w:hint="eastAsia"/>
              </w:rPr>
              <w:t xml:space="preserve">员工连续性</w:t>
            </w:r>
          </w:p>
        </w:tc>
        <w:tc>
          <w:tcPr/>
          <w:p>
            <w:pPr>
              <w:pStyle w:val="Compact"/>
              <w:jc w:val="center"/>
            </w:pPr>
            <w:r>
              <w:rPr>
                <w:rFonts w:hint="eastAsia"/>
              </w:rPr>
              <w:t xml:space="preserve">空缺率、离职率、面临风险的拨款资助职位</w:t>
            </w:r>
          </w:p>
        </w:tc>
        <w:tc>
          <w:tcPr/>
          <w:p>
            <w:pPr>
              <w:pStyle w:val="Compact"/>
              <w:jc w:val="center"/>
            </w:pPr>
            <w:r>
              <w:rPr>
                <w:rFonts w:hint="eastAsia"/>
              </w:rPr>
              <w:t xml:space="preserve">永久性职位是否应该由临时性资金支持？</w:t>
            </w:r>
          </w:p>
        </w:tc>
      </w:tr>
      <w:tr>
        <w:tc>
          <w:tcPr/>
          <w:p>
            <w:pPr>
              <w:pStyle w:val="Compact"/>
              <w:jc w:val="left"/>
            </w:pPr>
            <w:r>
              <w:rPr>
                <w:rFonts w:hint="eastAsia"/>
              </w:rPr>
              <w:t xml:space="preserve">合规性</w:t>
            </w:r>
          </w:p>
        </w:tc>
        <w:tc>
          <w:tcPr/>
          <w:p>
            <w:pPr>
              <w:pStyle w:val="Compact"/>
              <w:jc w:val="center"/>
            </w:pPr>
            <w:r>
              <w:rPr>
                <w:rFonts w:hint="eastAsia"/>
              </w:rPr>
              <w:t xml:space="preserve">及时报告、审计发现、允许成本例外情况</w:t>
            </w:r>
          </w:p>
        </w:tc>
        <w:tc>
          <w:tcPr/>
          <w:p>
            <w:pPr>
              <w:pStyle w:val="Compact"/>
              <w:jc w:val="center"/>
            </w:pPr>
            <w:r>
              <w:rPr>
                <w:rFonts w:hint="eastAsia"/>
              </w:rPr>
              <w:t xml:space="preserve">多少行政能力才算充足？</w:t>
            </w:r>
          </w:p>
        </w:tc>
      </w:tr>
    </w:tbl>
    <w:bookmarkEnd w:id="15"/>
    <w:bookmarkStart w:id="16" w:name="务虚会"/>
    <w:p>
      <w:pPr>
        <w:pStyle w:val="Heading1"/>
      </w:pPr>
      <w:r>
        <w:rPr>
          <w:rFonts w:hint="eastAsia"/>
        </w:rPr>
        <w:t xml:space="preserve">务虚会</w:t>
      </w:r>
    </w:p>
    <w:p>
      <w:pPr>
        <w:pStyle w:val="FirstParagraph"/>
      </w:pPr>
      <w:r>
        <w:rPr>
          <w:rFonts w:hint="eastAsia"/>
        </w:rPr>
        <w:t xml:space="preserve">在务虚会上，首席医疗官支持保护治疗和纳洛酮运营。</w:t>
      </w:r>
      <w:r>
        <w:rPr>
          <w:rFonts w:hint="eastAsia"/>
        </w:rPr>
        <w:t xml:space="preserve">“更低的死亡人数是我们想要的结果，”</w:t>
      </w:r>
      <w:r>
        <w:rPr>
          <w:rFonts w:hint="eastAsia"/>
        </w:rPr>
        <w:t xml:space="preserve">她说，</w:t>
      </w:r>
      <w:r>
        <w:rPr>
          <w:rFonts w:hint="eastAsia"/>
        </w:rPr>
        <w:t xml:space="preserve">“但这并不能证明相关基础设施已不再需要。”</w:t>
      </w:r>
      <w:r>
        <w:rPr>
          <w:rFonts w:hint="eastAsia"/>
        </w:rPr>
        <w:t xml:space="preserve">首席财务官反驳道，机构不能将每一笔延续拨款都视为永久性收入。他希望建立一个相当于三个月薪酬的储备金，并制定一项政策，禁止在没有稳定资金来源的情况下新增永久性雇员。</w:t>
      </w:r>
    </w:p>
    <w:p>
      <w:pPr>
        <w:pStyle w:val="BodyText"/>
      </w:pPr>
      <w:r>
        <w:rPr>
          <w:rFonts w:hint="eastAsia"/>
        </w:rPr>
        <w:t xml:space="preserve">康复主任认为，拟议的储备金将通过对当前正处于危机中的人群克扣服务而积累起来。拨款主任警告说，除非RDRS承诺开展通知中指定的具体项目，否则几份联邦申请的评分将很低。一位县专员表示，州政府应停止从省会层面设计项目，而应向各县提供灵活的拨款。一位基金会代表提议召集捐助者，但也提醒说，慈善事业无法在规模上取代政府的作用。</w:t>
      </w:r>
    </w:p>
    <w:p>
      <w:pPr>
        <w:pStyle w:val="BodyText"/>
      </w:pPr>
      <w:r>
        <w:rPr>
          <w:rFonts w:hint="eastAsia"/>
        </w:rPr>
        <w:t xml:space="preserve">Marquez在白板上写下了四个问题：</w:t>
      </w:r>
    </w:p>
    <w:p>
      <w:pPr>
        <w:pStyle w:val="BlockText"/>
      </w:pPr>
      <w:r>
        <w:t xml:space="preserve">• </w:t>
      </w:r>
      <w:r>
        <w:rPr>
          <w:rFonts w:hint="eastAsia"/>
        </w:rPr>
        <w:t xml:space="preserve">哪些服务构成不可谈判的全州基础平台？</w:t>
      </w:r>
    </w:p>
    <w:p>
      <w:pPr>
        <w:pStyle w:val="BlockText"/>
      </w:pPr>
      <w:r>
        <w:t xml:space="preserve">• </w:t>
      </w:r>
      <w:r>
        <w:rPr>
          <w:rFonts w:hint="eastAsia"/>
        </w:rPr>
        <w:t xml:space="preserve">当受限资金无法重新调配时，哪些群体应获得优先服务？</w:t>
      </w:r>
    </w:p>
    <w:p>
      <w:pPr>
        <w:pStyle w:val="BlockText"/>
      </w:pPr>
      <w:r>
        <w:t xml:space="preserve">• </w:t>
      </w:r>
      <w:r>
        <w:rPr>
          <w:rFonts w:hint="eastAsia"/>
        </w:rPr>
        <w:t xml:space="preserve">应投入多少组织能力用于争取拨款和确保合规？</w:t>
      </w:r>
    </w:p>
    <w:p>
      <w:pPr>
        <w:pStyle w:val="BlockText"/>
      </w:pPr>
      <w:r>
        <w:t xml:space="preserve">• </w:t>
      </w:r>
      <w:r>
        <w:rPr>
          <w:rFonts w:hint="eastAsia"/>
        </w:rPr>
        <w:t xml:space="preserve">什么样的融资结构能让RDRS在政治优先事项和项目要求发生变化的情况下保留员工队伍？</w:t>
      </w:r>
    </w:p>
    <w:p>
      <w:pPr>
        <w:pStyle w:val="FirstParagraph"/>
      </w:pPr>
      <w:r>
        <w:rPr>
          <w:rFonts w:hint="eastAsia"/>
        </w:rPr>
        <w:t xml:space="preserve">州长预算办公室预期在三周内收到RDRS的建议。联邦延续通知可能在此之前送达——也可能要再过几个月。劳动协议要求某些裁员须提前90天通知。纳洛酮订单必须提前六个月下达才能获得优惠价格。两项主要的基金会申请将于11月到期，但二者都要求RDRS明确一个界定狭窄的项目及可衡量的三年期成果。</w:t>
      </w:r>
    </w:p>
    <w:p>
      <w:pPr>
        <w:pStyle w:val="BodyText"/>
      </w:pPr>
      <w:r>
        <w:rPr>
          <w:rFonts w:hint="eastAsia"/>
        </w:rPr>
        <w:t xml:space="preserve">Marquez可以提出单一策略、与资金结果挂钩的应急计划，或者一个服务与融资方案组合。无论她提出什么方案，都将揭示出一个更宏大问题的隐含答案：RDRS究竟是一个应急响应机构、一个治疗管理机构、一个长期康复机构，还是三者兼具的融资与协调平台？</w:t>
      </w:r>
    </w:p>
    <w:bookmarkEnd w:id="16"/>
    <w:bookmarkStart w:id="17" w:name="讨论题"/>
    <w:p>
      <w:pPr>
        <w:pStyle w:val="Heading1"/>
      </w:pPr>
      <w:r>
        <w:rPr>
          <w:rFonts w:hint="eastAsia"/>
        </w:rPr>
        <w:t xml:space="preserve">讨论题</w:t>
      </w:r>
    </w:p>
    <w:p>
      <w:pPr>
        <w:numPr>
          <w:ilvl w:val="0"/>
          <w:numId w:val="1001"/>
        </w:numPr>
      </w:pPr>
      <w:r>
        <w:rPr>
          <w:rFonts w:hint="eastAsia"/>
        </w:rPr>
        <w:t xml:space="preserve">Marquez专员面临的决策是什么？哪些决策属于战略性决策，哪些属于操作性决策？</w:t>
      </w:r>
    </w:p>
    <w:p>
      <w:pPr>
        <w:numPr>
          <w:ilvl w:val="0"/>
          <w:numId w:val="1001"/>
        </w:numPr>
      </w:pPr>
      <w:r>
        <w:rPr>
          <w:rFonts w:hint="eastAsia"/>
        </w:rPr>
        <w:t xml:space="preserve">RDRS应如何区分其核心运营平台与拨款资助的项目？</w:t>
      </w:r>
    </w:p>
    <w:p>
      <w:pPr>
        <w:numPr>
          <w:ilvl w:val="0"/>
          <w:numId w:val="1001"/>
        </w:numPr>
      </w:pPr>
      <w:r>
        <w:rPr>
          <w:rFonts w:hint="eastAsia"/>
        </w:rPr>
        <w:t xml:space="preserve">如果核心FY2027资金情景成为现实，哪些人群或服务应获得优先支持？</w:t>
      </w:r>
    </w:p>
    <w:p>
      <w:pPr>
        <w:numPr>
          <w:ilvl w:val="0"/>
          <w:numId w:val="1001"/>
        </w:numPr>
      </w:pPr>
      <w:r>
        <w:rPr>
          <w:rFonts w:hint="eastAsia"/>
        </w:rPr>
        <w:t xml:space="preserve">该机构应如何评估纳洛酮的普遍分发相对于治疗和长期康复支持的价值？</w:t>
      </w:r>
    </w:p>
    <w:p>
      <w:pPr>
        <w:numPr>
          <w:ilvl w:val="0"/>
          <w:numId w:val="1001"/>
        </w:numPr>
      </w:pPr>
      <w:r>
        <w:rPr>
          <w:rFonts w:hint="eastAsia"/>
        </w:rPr>
        <w:t xml:space="preserve">交织型融资的优势和风险是什么？它需要哪些行政能力？</w:t>
      </w:r>
    </w:p>
    <w:p>
      <w:pPr>
        <w:numPr>
          <w:ilvl w:val="0"/>
          <w:numId w:val="1001"/>
        </w:numPr>
      </w:pPr>
      <w:r>
        <w:rPr>
          <w:rFonts w:hint="eastAsia"/>
        </w:rPr>
        <w:t xml:space="preserve">药物过量死亡人数下降是应强化还是削弱持续融资的理由？</w:t>
      </w:r>
    </w:p>
    <w:p>
      <w:pPr>
        <w:numPr>
          <w:ilvl w:val="0"/>
          <w:numId w:val="1001"/>
        </w:numPr>
      </w:pPr>
      <w:r>
        <w:rPr>
          <w:rFonts w:hint="eastAsia"/>
        </w:rPr>
        <w:t xml:space="preserve">当成果被延迟、难以归因或无法完全观测时，RDRS应使用哪些指标？</w:t>
      </w:r>
    </w:p>
    <w:p>
      <w:pPr>
        <w:numPr>
          <w:ilvl w:val="0"/>
          <w:numId w:val="1001"/>
        </w:numPr>
      </w:pPr>
      <w:r>
        <w:rPr>
          <w:rFonts w:hint="eastAsia"/>
        </w:rPr>
        <w:t xml:space="preserve">当持有财务储备金可能减少当前服务时，公共机构应持有多少储备金？</w:t>
      </w:r>
    </w:p>
    <w:p>
      <w:pPr>
        <w:numPr>
          <w:ilvl w:val="0"/>
          <w:numId w:val="1001"/>
        </w:numPr>
      </w:pPr>
      <w:r>
        <w:rPr>
          <w:rFonts w:hint="eastAsia"/>
        </w:rPr>
        <w:t xml:space="preserve">各县、医疗系统、雇主、保险公司和私人捐助者应扮演什么角色？</w:t>
      </w:r>
    </w:p>
    <w:p>
      <w:pPr>
        <w:numPr>
          <w:ilvl w:val="0"/>
          <w:numId w:val="1001"/>
        </w:numPr>
      </w:pPr>
      <w:r>
        <w:rPr>
          <w:rFonts w:hint="eastAsia"/>
        </w:rPr>
        <w:t xml:space="preserve">设计一个在州长三周期限之前调查各种备选方案的流程。哪些信息价值最高？</w:t>
      </w:r>
    </w:p>
    <w:bookmarkEnd w:id="17"/>
    <w:bookmarkStart w:id="23"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识别并描述决策者的职责范围。这应能界定问题的范围。</w:t>
      </w:r>
    </w:p>
    <w:p>
      <w:pPr>
        <w:numPr>
          <w:ilvl w:val="0"/>
          <w:numId w:val="1002"/>
        </w:numPr>
      </w:pPr>
      <w:r>
        <w:rPr>
          <w:rFonts w:hint="eastAsia"/>
        </w:rPr>
        <w:t xml:space="preserve">使用</w:t>
      </w:r>
      <w:hyperlink r:id="rId18">
        <w:r>
          <w:rPr>
            <w:rStyle w:val="Hyperlink"/>
            <w:rFonts w:hint="eastAsia"/>
          </w:rPr>
          <w:t xml:space="preserve">指标金字塔工具</w:t>
        </w:r>
      </w:hyperlink>
      <w:r>
        <w:rPr>
          <w:rFonts w:hint="eastAsia"/>
        </w:rPr>
        <w:t xml:space="preserve">来识别并排定不同绩效指标的优先级。点击承载该指标的椭圆形，以标明它是需要最大化的指标（绿色）、需要最小化的指标（红色）、作为下限的目标（浅绿色）、作为上限的目标（浅红色），还是一个目标值（紫色）。</w:t>
      </w:r>
    </w:p>
    <w:p>
      <w:pPr>
        <w:numPr>
          <w:ilvl w:val="0"/>
          <w:numId w:val="1002"/>
        </w:numPr>
      </w:pPr>
      <w:r>
        <w:rPr>
          <w:rFonts w:hint="eastAsia"/>
        </w:rPr>
        <w:t xml:space="preserve">使用</w:t>
      </w:r>
      <w:hyperlink r:id="rId19">
        <w:r>
          <w:rPr>
            <w:rStyle w:val="Hyperlink"/>
            <w:rFonts w:hint="eastAsia"/>
          </w:rPr>
          <w:t xml:space="preserve">决策优先级排序工具</w:t>
        </w:r>
      </w:hyperlink>
      <w:r>
        <w:rPr>
          <w:rFonts w:hint="eastAsia"/>
        </w:rPr>
        <w:t xml:space="preserve">首先列出不同类型的决策（以</w:t>
      </w:r>
      <w:hyperlink r:id="rId20">
        <w:r>
          <w:rPr>
            <w:rStyle w:val="Hyperlink"/>
            <w:rFonts w:hint="eastAsia"/>
          </w:rPr>
          <w:t xml:space="preserve">决策类型</w:t>
        </w:r>
      </w:hyperlink>
      <w:r>
        <w:rPr>
          <w:rFonts w:hint="eastAsia"/>
        </w:rPr>
        <w:t xml:space="preserve">作为参考）。这些决策将填充右侧矩阵的各行，而各列则是按照上方金字塔中优先级从左到右排序的绩效指标。点击每个单元格，标明该决策对每项指标的影响程度是高（红色）、中（橙色）、低（黄色）还是无影响（白色）。</w:t>
      </w:r>
    </w:p>
    <w:p>
      <w:pPr>
        <w:numPr>
          <w:ilvl w:val="0"/>
          <w:numId w:val="1002"/>
        </w:numPr>
      </w:pPr>
      <w:r>
        <w:rPr>
          <w:rFonts w:hint="eastAsia"/>
        </w:rPr>
        <w:t xml:space="preserve">你可以抓住每一行最左侧的把手（三条横杠）将其上移或下移。对各行进行排序，使得对最重要指标影响最大的决策位于顶部。左上角的单元格应该集中最多的红色和橙色单元格。此时，请识别出你的研究中应重点关注的决策。如果你没有任何决策对最重要的指标产生中等或高等影响，请重新审视你的决策清单。</w:t>
      </w:r>
    </w:p>
    <w:p>
      <w:pPr>
        <w:numPr>
          <w:ilvl w:val="0"/>
          <w:numId w:val="1002"/>
        </w:numPr>
      </w:pPr>
      <w:r>
        <w:rPr>
          <w:rFonts w:hint="eastAsia"/>
        </w:rPr>
        <w:t xml:space="preserve">使用</w:t>
      </w:r>
      <w:hyperlink r:id="rId21">
        <w:r>
          <w:rPr>
            <w:rStyle w:val="Hyperlink"/>
            <w:rFonts w:hint="eastAsia"/>
          </w:rPr>
          <w:t xml:space="preserve">不确定性优先级排序工具</w:t>
        </w:r>
      </w:hyperlink>
      <w:r>
        <w:rPr>
          <w:rFonts w:hint="eastAsia"/>
        </w:rPr>
        <w:t xml:space="preserve">重复上述过程，列出并排定不确定性的优先级。可使用</w:t>
      </w:r>
      <w:hyperlink r:id="rId22">
        <w:r>
          <w:rPr>
            <w:rStyle w:val="Hyperlink"/>
            <w:rFonts w:hint="eastAsia"/>
          </w:rPr>
          <w:t xml:space="preserve">不确定性类别</w:t>
        </w:r>
      </w:hyperlink>
      <w:r>
        <w:rPr>
          <w:rFonts w:hint="eastAsia"/>
        </w:rPr>
        <w:t xml:space="preserve">来帮助识别这些不确定性。</w:t>
      </w:r>
    </w:p>
    <w:p>
      <w:pPr>
        <w:numPr>
          <w:ilvl w:val="0"/>
          <w:numId w:val="1002"/>
        </w:numPr>
      </w:pPr>
      <w:r>
        <w:rPr>
          <w:rFonts w:hint="eastAsia"/>
        </w:rPr>
        <w:t xml:space="preserve">区分哪些不确定性可以按平均表现来评估，哪些属于风险事件，这一点非常重要：</w:t>
      </w:r>
    </w:p>
    <w:p>
      <w:pPr>
        <w:numPr>
          <w:ilvl w:val="1"/>
          <w:numId w:val="1003"/>
        </w:numPr>
      </w:pPr>
      <w:r>
        <w:rPr>
          <w:rFonts w:hint="eastAsia"/>
        </w:rPr>
        <w:t xml:space="preserve">哪些不确定性来源可以通过一段时间内的平均绩效来体现？</w:t>
      </w:r>
    </w:p>
    <w:p>
      <w:pPr>
        <w:numPr>
          <w:ilvl w:val="1"/>
          <w:numId w:val="1003"/>
        </w:numPr>
      </w:pPr>
      <w:r>
        <w:rPr>
          <w:rFonts w:hint="eastAsia"/>
        </w:rPr>
        <w:t xml:space="preserve">哪些不确定性来源代表了无法通过平均值恰当体现的风险形式？</w:t>
      </w:r>
    </w:p>
    <w:p>
      <w:pPr>
        <w:numPr>
          <w:ilvl w:val="0"/>
          <w:numId w:val="1002"/>
        </w:numPr>
      </w:pPr>
      <w:r>
        <w:rPr>
          <w:rFonts w:hint="eastAsia"/>
        </w:rPr>
        <w:t xml:space="preserve">选择一个看起来对最重要指标影响最大的单一决策。</w:t>
      </w:r>
    </w:p>
    <w:p>
      <w:pPr>
        <w:numPr>
          <w:ilvl w:val="1"/>
          <w:numId w:val="1004"/>
        </w:numPr>
      </w:pPr>
      <w:r>
        <w:rPr>
          <w:rFonts w:hint="eastAsia"/>
        </w:rPr>
        <w:t xml:space="preserve">你认为你会使用什么方法来做出这项决策？</w:t>
      </w:r>
    </w:p>
    <w:p>
      <w:pPr>
        <w:numPr>
          <w:ilvl w:val="1"/>
          <w:numId w:val="1004"/>
        </w:numPr>
      </w:pPr>
      <w:r>
        <w:rPr>
          <w:rFonts w:hint="eastAsia"/>
        </w:rPr>
        <w:t xml:space="preserve">做出这项决策似乎需要哪些数据，包括该决策具有高或中等影响的任何绩效指标的计算？</w:t>
      </w:r>
    </w:p>
    <w:p>
      <w:pPr>
        <w:numPr>
          <w:ilvl w:val="0"/>
          <w:numId w:val="1002"/>
        </w:numPr>
      </w:pPr>
      <w:r>
        <w:rPr>
          <w:rFonts w:hint="eastAsia"/>
        </w:rPr>
        <w:t xml:space="preserve">针对你在第(7)题中确定的同一决策，识别出你需要与之合作以落实该决策的人员、部门、团体或组织。</w:t>
      </w:r>
    </w:p>
    <w:bookmarkEnd w:id="23"/>
    <w:bookmarkStart w:id="24" w:name="公共数据与资金说明"/>
    <w:p>
      <w:pPr>
        <w:pStyle w:val="Heading1"/>
      </w:pPr>
      <w:r>
        <w:rPr>
          <w:rFonts w:hint="eastAsia"/>
        </w:rPr>
        <w:t xml:space="preserve">公共数据与资金说明</w:t>
      </w:r>
    </w:p>
    <w:p>
      <w:pPr>
        <w:pStyle w:val="FirstParagraph"/>
      </w:pPr>
      <w:r>
        <w:t xml:space="preserve">• </w:t>
      </w:r>
      <w:r>
        <w:rPr>
          <w:rFonts w:hint="eastAsia"/>
        </w:rPr>
        <w:t xml:space="preserve">CDC，《数据资源｜药物过量预防》，对截至2025年12月的12个月美国药物过量死亡人数的初步估计为69,973例，较上一年下降13.9%（2026年5月发布）。</w:t>
      </w:r>
    </w:p>
    <w:p>
      <w:pPr>
        <w:pStyle w:val="BodyText"/>
      </w:pPr>
      <w:r>
        <w:t xml:space="preserve">• </w:t>
      </w:r>
      <w:r>
        <w:rPr>
          <w:rFonts w:hint="eastAsia"/>
        </w:rPr>
        <w:t xml:space="preserve">CDC/美国国家卫生统计中心（NCHS），《2023-2024年美国药物过量死亡情况》，报告2024年有54,045例涉及阿片类药物的死亡，其中47,735例涉及甲基芬太尼以外的合成阿片类药物。</w:t>
      </w:r>
    </w:p>
    <w:p>
      <w:pPr>
        <w:pStyle w:val="BodyText"/>
      </w:pPr>
      <w:r>
        <w:t xml:space="preserve">• </w:t>
      </w:r>
      <w:r>
        <w:rPr>
          <w:rFonts w:hint="eastAsia"/>
        </w:rPr>
        <w:t xml:space="preserve">SAMHSA，2024年全国药物使用与健康调查，报告有480万名12岁及以上人群在过去一年中患有阿片使用障碍，其中818,000人（17.0%）接受了阿片使用障碍药物治疗。</w:t>
      </w:r>
    </w:p>
    <w:p>
      <w:pPr>
        <w:pStyle w:val="BodyText"/>
      </w:pPr>
      <w:r>
        <w:t xml:space="preserve">• </w:t>
      </w:r>
      <w:r>
        <w:rPr>
          <w:rFonts w:hint="eastAsia"/>
        </w:rPr>
        <w:t xml:space="preserve">SAMHSA，FY2024州级阿片类药物应对拨款（TI-24-008）：预计可用资金总额为14.805亿美元，最多授予59项拨款，延续拨款取决于资金可用性、绩效表现、报告情况及合规性。</w:t>
      </w:r>
    </w:p>
    <w:p>
      <w:pPr>
        <w:pStyle w:val="BodyText"/>
      </w:pPr>
      <w:r>
        <w:t xml:space="preserve">• </w:t>
      </w:r>
      <w:r>
        <w:rPr>
          <w:rFonts w:hint="eastAsia"/>
        </w:rPr>
        <w:t xml:space="preserve">HHS，2025年9月22日宣布FY2025州及部落阿片类药物应对延续拨款超过15亿美元。</w:t>
      </w:r>
    </w:p>
    <w:p>
      <w:pPr>
        <w:pStyle w:val="BodyText"/>
      </w:pPr>
      <w:r>
        <w:t xml:space="preserve">• </w:t>
      </w:r>
      <w:r>
        <w:rPr>
          <w:rFonts w:hint="eastAsia"/>
        </w:rPr>
        <w:t xml:space="preserve">美国政府问责局（GAO），GAO-25-106944，《阿片使用障碍拨款》，描述了报告负担、资金及采购延迟、缩短的实施窗口期，以及关于最终受益人的相关要求。</w:t>
      </w:r>
    </w:p>
    <w:p>
      <w:pPr>
        <w:pStyle w:val="BodyText"/>
      </w:pPr>
      <w:r>
        <w:t xml:space="preserve">• </w:t>
      </w:r>
      <w:r>
        <w:rPr>
          <w:rFonts w:hint="eastAsia"/>
        </w:rPr>
        <w:t xml:space="preserve">CDC，《逆转阿片类药物过量以预防死亡》，将纳洛酮描述为一种若能及时施用即可逆转阿片类药物过量反应的药物。</w:t>
      </w:r>
    </w:p>
    <w:bookmarkEnd w:id="24"/>
    <w:bookmarkStart w:id="27" w:name="chatgpt-评论"/>
    <w:p>
      <w:pPr>
        <w:pStyle w:val="Heading1"/>
      </w:pPr>
      <w:r>
        <w:t xml:space="preserve">ChatGPT </w:t>
      </w:r>
      <w:r>
        <w:rPr>
          <w:rFonts w:hint="eastAsia"/>
        </w:rPr>
        <w:t xml:space="preserve">评论</w:t>
      </w:r>
    </w:p>
    <w:bookmarkStart w:id="25" w:name="提示词"/>
    <w:p>
      <w:pPr>
        <w:pStyle w:val="Heading2"/>
      </w:pPr>
      <w:r>
        <w:rPr>
          <w:rFonts w:hint="eastAsia"/>
        </w:rPr>
        <w:t xml:space="preserve">提示词</w:t>
      </w:r>
    </w:p>
    <w:p>
      <w:pPr>
        <w:pStyle w:val="FirstParagraph"/>
      </w:pPr>
      <w:r>
        <w:rPr>
          <w:rFonts w:hint="eastAsia"/>
        </w:rPr>
        <w:t xml:space="preserve">创建一份4-6页的案例研究，描述一家处理成瘾问题的州卫生机构在需要筹集资金以支持其运营时所面临的挑战。主要成本是其员工队伍，该队伍负责发放纳洛酮试剂盒、治疗成瘾并帮助人们重新振作起来。该机构需要在能够服务哪些群体之间做出平衡，同时面临着在联邦和州机构以及地方捐助者之间穿针引线般筹集资金的挑战。政府资金存在不确定性，且附带要求开展特定项目的条件。请用有关成瘾问题和政府资金变化的统计数据来支撑你的总结内容。</w:t>
      </w:r>
    </w:p>
    <w:bookmarkEnd w:id="25"/>
    <w:bookmarkStart w:id="26" w:name="摘要"/>
    <w:p>
      <w:pPr>
        <w:pStyle w:val="Heading2"/>
      </w:pPr>
      <w:r>
        <w:rPr>
          <w:rFonts w:hint="eastAsia"/>
        </w:rPr>
        <w:t xml:space="preserve">摘要</w:t>
      </w:r>
    </w:p>
    <w:p>
      <w:pPr>
        <w:pStyle w:val="FirstParagraph"/>
      </w:pPr>
      <w:r>
        <w:rPr>
          <w:rFonts w:hint="eastAsia"/>
        </w:rPr>
        <w:t xml:space="preserve">本案例讲述了一个虚构的州级成瘾机构，该机构试图在整合受限的联邦拨款、州拨款、阿片类药物和解资金、医疗补助收入和私人捐款的同时，努力保留其员工队伍，并在纳洛酮分发、成瘾治疗和长期康复支持之间取得平衡。</w:t>
      </w:r>
    </w:p>
    <w:p>
      <w:pPr>
        <w:pStyle w:val="BodyText"/>
      </w:pPr>
      <w:r>
        <w:rPr>
          <w:rFonts w:hint="eastAsia"/>
        </w:rPr>
        <w:t xml:space="preserve">案例包括：</w:t>
      </w:r>
    </w:p>
    <w:p>
      <w:pPr>
        <w:numPr>
          <w:ilvl w:val="0"/>
          <w:numId w:val="1005"/>
        </w:numPr>
      </w:pPr>
      <w:r>
        <w:rPr>
          <w:rFonts w:hint="eastAsia"/>
        </w:rPr>
        <w:t xml:space="preserve">一份1.18亿美元的运营预算和一支506人的员工队伍</w:t>
      </w:r>
    </w:p>
    <w:p>
      <w:pPr>
        <w:numPr>
          <w:ilvl w:val="0"/>
          <w:numId w:val="1005"/>
        </w:numPr>
      </w:pPr>
      <w:r>
        <w:rPr>
          <w:rFonts w:hint="eastAsia"/>
        </w:rPr>
        <w:t xml:space="preserve">备选资金情景以及1,860万美元的预计资金缺口</w:t>
      </w:r>
    </w:p>
    <w:p>
      <w:pPr>
        <w:numPr>
          <w:ilvl w:val="0"/>
          <w:numId w:val="1005"/>
        </w:numPr>
      </w:pPr>
      <w:r>
        <w:rPr>
          <w:rFonts w:hint="eastAsia"/>
        </w:rPr>
        <w:t xml:space="preserve">关于服务农村社区、涉及司法系统人员、家庭以及需要住房或就业援助人员的相互竞争的方案</w:t>
      </w:r>
    </w:p>
    <w:p>
      <w:pPr>
        <w:numPr>
          <w:ilvl w:val="0"/>
          <w:numId w:val="1005"/>
        </w:numPr>
      </w:pPr>
      <w:r>
        <w:rPr>
          <w:rFonts w:hint="eastAsia"/>
        </w:rPr>
        <w:t xml:space="preserve">联邦拨款限制条件、报告负担以及资金到位时机的不确定性</w:t>
      </w:r>
    </w:p>
    <w:p>
      <w:pPr>
        <w:numPr>
          <w:ilvl w:val="0"/>
          <w:numId w:val="1005"/>
        </w:numPr>
      </w:pPr>
      <w:r>
        <w:rPr>
          <w:rFonts w:hint="eastAsia"/>
        </w:rPr>
        <w:t xml:space="preserve">定量图表以及十道讨论题</w:t>
      </w:r>
    </w:p>
    <w:p>
      <w:pPr>
        <w:numPr>
          <w:ilvl w:val="0"/>
          <w:numId w:val="1005"/>
        </w:numPr>
      </w:pPr>
      <w:r>
        <w:rPr>
          <w:rFonts w:hint="eastAsia"/>
        </w:rPr>
        <w:t xml:space="preserve">没有明确的首选解决方案</w:t>
      </w:r>
    </w:p>
    <w:p>
      <w:pPr>
        <w:pStyle w:val="FirstParagraph"/>
      </w:pPr>
      <w:r>
        <w:rPr>
          <w:rFonts w:hint="eastAsia"/>
        </w:rPr>
        <w:t xml:space="preserve">该公共卫生背景采用了当前的CDC和SAMHSA统计数据，包括2025年美国药物过量死亡人数约为69,973例的初步估计，以及在估计的480万阿片使用障碍患者中，2024年只有17%的人接受了药物治疗这一发现。联邦资金信息则参考了14.805亿美元的FY2024州级阿片类药物应对拨款公告、超过15亿美元的FY2025延续拨款，以及GAO关于拨款延迟和报告负担的调查结果。</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warrenpowell.org/decision-framing-tool/#decision-prioritization-tool" TargetMode="External" /><Relationship Type="http://schemas.openxmlformats.org/officeDocument/2006/relationships/hyperlink" Id="rId18" Target="https://warrenpowell.org/decision-framing-tool/#metrics-pyramid-tool" TargetMode="External" /><Relationship Type="http://schemas.openxmlformats.org/officeDocument/2006/relationships/hyperlink" Id="rId21" Target="https://warrenpowell.org/decision-framing-tool/#uncertainty-prioritization-tool" TargetMode="External" /><Relationship Type="http://schemas.openxmlformats.org/officeDocument/2006/relationships/hyperlink" Id="rId20" Target="https://warrenpowell.org/decisionsdecisions/#types-of-decision-settings" TargetMode="External" /><Relationship Type="http://schemas.openxmlformats.org/officeDocument/2006/relationships/hyperlink" Id="rId22"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9" Target="https://warrenpowell.org/decision-framing-tool/#decision-prioritization-tool" TargetMode="External" /><Relationship Type="http://schemas.openxmlformats.org/officeDocument/2006/relationships/hyperlink" Id="rId18" Target="https://warrenpowell.org/decision-framing-tool/#metrics-pyramid-tool" TargetMode="External" /><Relationship Type="http://schemas.openxmlformats.org/officeDocument/2006/relationships/hyperlink" Id="rId21" Target="https://warrenpowell.org/decision-framing-tool/#uncertainty-prioritization-tool" TargetMode="External" /><Relationship Type="http://schemas.openxmlformats.org/officeDocument/2006/relationships/hyperlink" Id="rId20" Target="https://warrenpowell.org/decisionsdecisions/#types-of-decision-settings" TargetMode="External" /><Relationship Type="http://schemas.openxmlformats.org/officeDocument/2006/relationships/hyperlink" Id="rId22"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2026-09-11T17:22:56Z</dcterms:created>
  <dcterms:modified xsi:type="dcterms:W3CDTF">2026-09-11T17:22:56Z</dcterms:modified>
</cp:coreProperties>
</file>

<file path=docProps/custom.xml><?xml version="1.0" encoding="utf-8"?>
<Properties xmlns="http://schemas.openxmlformats.org/officeDocument/2006/custom-properties" xmlns:vt="http://schemas.openxmlformats.org/officeDocument/2006/docPropsVTypes"/>
</file>