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Ridgeway Industrial Systems</w:t>
      </w:r>
    </w:p>
    <w:p>
      <w:pPr>
        <w:pStyle w:val="BodyText"/>
      </w:pPr>
      <w:r>
        <w:rPr>
          <w:rFonts w:hint="eastAsia"/>
        </w:rPr>
        <w:t xml:space="preserve">能源十字路口</w:t>
      </w:r>
    </w:p>
    <w:p>
      <w:pPr>
        <w:pStyle w:val="BodyText"/>
      </w:pPr>
      <w:r>
        <w:rPr>
          <w:rFonts w:hint="eastAsia"/>
        </w:rPr>
        <w:t xml:space="preserve">上升电力成本下的制造网络决策</w:t>
      </w:r>
    </w:p>
    <w:p>
      <w:pPr>
        <w:pStyle w:val="BodyText"/>
      </w:pPr>
      <w:r>
        <w:rPr>
          <w:rFonts w:hint="eastAsia"/>
        </w:rPr>
        <w:t xml:space="preserve">在二月一个寒冷的周一早上6:20，Ridgeway</w:t>
      </w:r>
      <w:r>
        <w:t xml:space="preserve"> Industrial </w:t>
      </w:r>
      <w:r>
        <w:rPr>
          <w:rFonts w:hint="eastAsia"/>
        </w:rPr>
        <w:t xml:space="preserve">Systems首席运营官Elena</w:t>
      </w:r>
      <w:r>
        <w:t xml:space="preserve"> </w:t>
      </w:r>
      <w:r>
        <w:rPr>
          <w:rFonts w:hint="eastAsia"/>
        </w:rPr>
        <w:t xml:space="preserve">Marquez打开了一封来自公司电力公用事业公司的邮件。该公用事业公司请求许可对Ridgeway的服务连接进行工程研究。该地区已收到多个大型数据中心的申请，公用事业公司预计将对变电站、输电设备和发电能力进行大量新投资。信中警告称，其中一些成本最终可能会反映在工业电价中。</w:t>
      </w:r>
    </w:p>
    <w:p>
      <w:pPr>
        <w:pStyle w:val="BodyText"/>
      </w:pPr>
      <w:r>
        <w:rPr>
          <w:rFonts w:hint="eastAsia"/>
        </w:rPr>
        <w:t xml:space="preserve">这条信息在Ridgeway董事会战略会议前三天到达。公司位于Hamilton</w:t>
      </w:r>
      <w:r>
        <w:t xml:space="preserve"> </w:t>
      </w:r>
      <w:r>
        <w:rPr>
          <w:rFonts w:hint="eastAsia"/>
        </w:rPr>
        <w:t xml:space="preserve">County的主要工厂的年度电费已在四年内从$8.6</w:t>
      </w:r>
      <w:r>
        <w:t xml:space="preserve"> </w:t>
      </w:r>
      <w:r>
        <w:rPr>
          <w:rFonts w:hint="eastAsia"/>
        </w:rPr>
        <w:t xml:space="preserve">million上升到$13.9</w:t>
      </w:r>
      <w:r>
        <w:t xml:space="preserve"> </w:t>
      </w:r>
      <w:r>
        <w:rPr>
          <w:rFonts w:hint="eastAsia"/>
        </w:rPr>
        <w:t xml:space="preserve">million。其财务团队预测，如果公用事业公司的初步电价路径获得批准，到2030年电费可能超过$19</w:t>
      </w:r>
      <w:r>
        <w:t xml:space="preserve"> </w:t>
      </w:r>
      <w:r>
        <w:rPr>
          <w:rFonts w:hint="eastAsia"/>
        </w:rPr>
        <w:t xml:space="preserve">million。电力曾经占制造成本不到3%。现在正接近6%，其中最大的风险集中在两条能源密集型产品线上。</w:t>
      </w:r>
    </w:p>
    <w:p>
      <w:pPr>
        <w:pStyle w:val="BodyText"/>
      </w:pPr>
      <w:r>
        <w:rPr>
          <w:rFonts w:hint="eastAsia"/>
        </w:rPr>
        <w:t xml:space="preserve">Ridgeway为化工、食品加工和水处理客户制造精密泵、工业换热器和耐腐蚀组件。Hamilton工厂雇佣了1,180人，供应了公司约58%的营收，包含专业的机加工、焊接、热处理、涂层和测试作业。部分设备可以移动。其他系统则嵌入建筑之中，与地基、环境许可和客户资质认证绑定在一起。</w:t>
      </w:r>
    </w:p>
    <w:p>
      <w:pPr>
        <w:pStyle w:val="BodyText"/>
      </w:pPr>
      <w:r>
        <w:rPr>
          <w:rFonts w:hint="eastAsia"/>
        </w:rPr>
        <w:t xml:space="preserve">Marquez被要求提出一项调查计划和初步战略方向建议。表面上的备选方案很清楚：留在原地并吸收或管理更高的电价；安装太阳能板和电池储能系统；将部分电力工艺转换为天然气；或将大部分业务迁移到另一个地区。然而，每种备选方案都取决于不确定的预测、困难的工程假设，以及公用事业公司、监管机构、客户和员工的决策。</w:t>
      </w:r>
    </w:p>
    <w:bookmarkStart w:id="9" w:name="摆在董事会面前的决策"/>
    <w:p>
      <w:pPr>
        <w:pStyle w:val="Heading2"/>
      </w:pPr>
      <w:r>
        <w:rPr>
          <w:rFonts w:hint="eastAsia"/>
        </w:rPr>
        <w:t xml:space="preserve">摆在董事会面前的决策</w:t>
      </w:r>
    </w:p>
    <w:p>
      <w:pPr>
        <w:pStyle w:val="FirstParagraph"/>
      </w:pPr>
      <w:r>
        <w:rPr>
          <w:rFonts w:hint="eastAsia"/>
        </w:rPr>
        <w:t xml:space="preserve">董事会并未被要求立即批准建设新工厂。它被要求决定Ridgeway应该以多大力度去调查这些备选方案，哪些项目应该进入试点或详细工程设计阶段，以及公司是否应该在竞争对手之前开始在其他地方获取土地和公用事业容量。这一区别很重要。谨慎的研究可以保留现金，但可能会让有吸引力的场地、并网位置或激励措施消失。激进的项目可能会在管理层弄清楚当前电价上涨是暂时性的、结构性的，还是部分自我造成的之前，就耗费数百万美元。</w:t>
      </w:r>
    </w:p>
    <w:bookmarkEnd w:id="9"/>
    <w:bookmarkStart w:id="12" w:name="承受压力的区域电力市场"/>
    <w:p>
      <w:pPr>
        <w:pStyle w:val="Heading1"/>
      </w:pPr>
      <w:r>
        <w:rPr>
          <w:rFonts w:hint="eastAsia"/>
        </w:rPr>
        <w:t xml:space="preserve">承受压力的区域电力市场</w:t>
      </w:r>
    </w:p>
    <w:p>
      <w:pPr>
        <w:pStyle w:val="FirstParagraph"/>
      </w:pPr>
      <w:r>
        <w:t xml:space="preserve">Hamilton </w:t>
      </w:r>
      <w:r>
        <w:rPr>
          <w:rFonts w:hint="eastAsia"/>
        </w:rPr>
        <w:t xml:space="preserve">County花了二十年时间招揽先进制造业。最近，同样便宜的土地、光纤连接、高速公路通道和现成的输电走廊，也吸引了数据中心开发商。三个项目正在建设中，另有五个项目已申请公用事业服务。地方官员对税收基础表示欢迎，但工业客户则质疑电网扩建成本将如何分摊。</w:t>
      </w:r>
    </w:p>
    <w:p>
      <w:pPr>
        <w:pStyle w:val="BodyText"/>
      </w:pPr>
      <w:r>
        <w:rPr>
          <w:rFonts w:hint="eastAsia"/>
        </w:rPr>
        <w:t xml:space="preserve">全国性趋势也很显著。Berkeley</w:t>
      </w:r>
      <w:r>
        <w:t xml:space="preserve"> </w:t>
      </w:r>
      <w:r>
        <w:rPr>
          <w:rFonts w:hint="eastAsia"/>
        </w:rPr>
        <w:t xml:space="preserve">Lab估计，美国数据中心在2023年使用了约176太瓦时的电力，约占美国总电力消耗的4.4%，高于2014年的58太瓦时。其2024年报告估计，到2028年数据中心可能消耗美国电力的6.7%到12%。之后的一次更新预测，到2030年中心估计值为11.8%，区间为9.5%到15.3%。¹这些预测并不意味着每家制造商都会面临相同的成本上升，但它们强化了Ridgeway的担忧，即电力需求正进入一个不同的增长阶段。</w:t>
      </w:r>
    </w:p>
    <w:p>
      <w:pPr>
        <w:pStyle w:val="BodyText"/>
      </w:pPr>
      <w:r>
        <w:rPr>
          <w:rFonts w:hint="eastAsia"/>
        </w:rPr>
        <w:t xml:space="preserve">Ridgeway的公用事业账单比董事会会议上讨论的平均每千瓦时美分数字要复杂得多。该工厂需为消耗的能源、月度峰值需求、输电服务、容量、功率因数罚款以及若干附加费付款。一项新的区域容量费用大幅上升。该工厂还曾在维护停机后同时启动大型烤箱、压缩机和测试台时，出现过三次异常高的需求峰值。</w:t>
      </w:r>
    </w:p>
    <w:bookmarkStart w:id="10" w:name="表-1.-hamilton工厂电力使用与成本"/>
    <w:p>
      <w:pPr>
        <w:pStyle w:val="Heading2"/>
      </w:pPr>
      <w:r>
        <w:rPr>
          <w:rFonts w:hint="eastAsia"/>
        </w:rPr>
        <w:t xml:space="preserve">表</w:t>
      </w:r>
      <w:r>
        <w:t xml:space="preserve"> 1. </w:t>
      </w:r>
      <w:r>
        <w:rPr>
          <w:rFonts w:hint="eastAsia"/>
        </w:rPr>
        <w:t xml:space="preserve">Hamilton工厂电力使用与成本</w:t>
      </w:r>
    </w:p>
    <w:tbl>
      <w:tblPr>
        <w:tblStyle w:val="Table"/>
        <w:tblW w:type="pct" w:w="4924"/>
        <w:tblLayout w:type="fixed"/>
        <w:tblLook w:firstRow="1" w:lastRow="0" w:firstColumn="0" w:lastColumn="0" w:noHBand="0" w:noVBand="0" w:val="0020"/>
      </w:tblPr>
      <w:tblGrid>
        <w:gridCol w:w="967"/>
        <w:gridCol w:w="1148"/>
        <w:gridCol w:w="1450"/>
        <w:gridCol w:w="1148"/>
        <w:gridCol w:w="1874"/>
        <w:gridCol w:w="1209"/>
      </w:tblGrid>
      <w:tr>
        <w:trPr>
          <w:tblHeader w:val="on"/>
        </w:trPr>
        <w:tc>
          <w:tcPr/>
          <w:p>
            <w:pPr>
              <w:pStyle w:val="Compact"/>
              <w:jc w:val="left"/>
            </w:pPr>
            <w:r>
              <w:rPr>
                <w:rFonts w:hint="eastAsia"/>
              </w:rPr>
              <w:t xml:space="preserve">财年</w:t>
            </w:r>
          </w:p>
        </w:tc>
        <w:tc>
          <w:tcPr/>
          <w:p>
            <w:pPr>
              <w:pStyle w:val="Compact"/>
              <w:jc w:val="center"/>
            </w:pPr>
            <w:r>
              <w:rPr>
                <w:rFonts w:hint="eastAsia"/>
              </w:rPr>
              <w:t xml:space="preserve">生产指数</w:t>
            </w:r>
          </w:p>
        </w:tc>
        <w:tc>
          <w:tcPr/>
          <w:p>
            <w:pPr>
              <w:pStyle w:val="Compact"/>
              <w:jc w:val="center"/>
            </w:pPr>
            <w:r>
              <w:rPr>
                <w:rFonts w:hint="eastAsia"/>
              </w:rPr>
              <w:t xml:space="preserve">电力使用量（GWh）</w:t>
            </w:r>
          </w:p>
        </w:tc>
        <w:tc>
          <w:tcPr/>
          <w:p>
            <w:pPr>
              <w:pStyle w:val="Compact"/>
              <w:jc w:val="center"/>
            </w:pPr>
            <w:r>
              <w:rPr>
                <w:rFonts w:hint="eastAsia"/>
              </w:rPr>
              <w:t xml:space="preserve">峰值需求（MW）</w:t>
            </w:r>
          </w:p>
        </w:tc>
        <w:tc>
          <w:tcPr/>
          <w:p>
            <w:pPr>
              <w:pStyle w:val="Compact"/>
              <w:jc w:val="center"/>
            </w:pPr>
            <w:r>
              <w:rPr>
                <w:rFonts w:hint="eastAsia"/>
              </w:rPr>
              <w:t xml:space="preserve">平均综合成本（$/MWh）</w:t>
            </w:r>
          </w:p>
        </w:tc>
        <w:tc>
          <w:tcPr/>
          <w:p>
            <w:pPr>
              <w:pStyle w:val="Compact"/>
              <w:jc w:val="right"/>
            </w:pPr>
            <w:r>
              <w:rPr>
                <w:rFonts w:hint="eastAsia"/>
              </w:rPr>
              <w:t xml:space="preserve">年度账单（$M）</w:t>
            </w:r>
          </w:p>
        </w:tc>
      </w:tr>
      <w:tr>
        <w:tc>
          <w:tcPr/>
          <w:p>
            <w:pPr>
              <w:pStyle w:val="Compact"/>
              <w:jc w:val="left"/>
            </w:pPr>
            <w:r>
              <w:t xml:space="preserve">2022</w:t>
            </w:r>
          </w:p>
        </w:tc>
        <w:tc>
          <w:tcPr/>
          <w:p>
            <w:pPr>
              <w:pStyle w:val="Compact"/>
              <w:jc w:val="center"/>
            </w:pPr>
            <w:r>
              <w:t xml:space="preserve">100</w:t>
            </w:r>
          </w:p>
        </w:tc>
        <w:tc>
          <w:tcPr/>
          <w:p>
            <w:pPr>
              <w:pStyle w:val="Compact"/>
              <w:jc w:val="center"/>
            </w:pPr>
            <w:r>
              <w:t xml:space="preserve">112</w:t>
            </w:r>
          </w:p>
        </w:tc>
        <w:tc>
          <w:tcPr/>
          <w:p>
            <w:pPr>
              <w:pStyle w:val="Compact"/>
              <w:jc w:val="center"/>
            </w:pPr>
            <w:r>
              <w:t xml:space="preserve">19.8</w:t>
            </w:r>
          </w:p>
        </w:tc>
        <w:tc>
          <w:tcPr/>
          <w:p>
            <w:pPr>
              <w:pStyle w:val="Compact"/>
              <w:jc w:val="center"/>
            </w:pPr>
            <w:r>
              <w:t xml:space="preserve">$77</w:t>
            </w:r>
          </w:p>
        </w:tc>
        <w:tc>
          <w:tcPr/>
          <w:p>
            <w:pPr>
              <w:pStyle w:val="Compact"/>
              <w:jc w:val="right"/>
            </w:pPr>
            <w:r>
              <w:t xml:space="preserve">$8.6</w:t>
            </w:r>
          </w:p>
        </w:tc>
      </w:tr>
      <w:tr>
        <w:tc>
          <w:tcPr/>
          <w:p>
            <w:pPr>
              <w:pStyle w:val="Compact"/>
              <w:jc w:val="left"/>
            </w:pPr>
            <w:r>
              <w:t xml:space="preserve">2023</w:t>
            </w:r>
          </w:p>
        </w:tc>
        <w:tc>
          <w:tcPr/>
          <w:p>
            <w:pPr>
              <w:pStyle w:val="Compact"/>
              <w:jc w:val="center"/>
            </w:pPr>
            <w:r>
              <w:t xml:space="preserve">104</w:t>
            </w:r>
          </w:p>
        </w:tc>
        <w:tc>
          <w:tcPr/>
          <w:p>
            <w:pPr>
              <w:pStyle w:val="Compact"/>
              <w:jc w:val="center"/>
            </w:pPr>
            <w:r>
              <w:t xml:space="preserve">116</w:t>
            </w:r>
          </w:p>
        </w:tc>
        <w:tc>
          <w:tcPr/>
          <w:p>
            <w:pPr>
              <w:pStyle w:val="Compact"/>
              <w:jc w:val="center"/>
            </w:pPr>
            <w:r>
              <w:t xml:space="preserve">20.5</w:t>
            </w:r>
          </w:p>
        </w:tc>
        <w:tc>
          <w:tcPr/>
          <w:p>
            <w:pPr>
              <w:pStyle w:val="Compact"/>
              <w:jc w:val="center"/>
            </w:pPr>
            <w:r>
              <w:t xml:space="preserve">$83</w:t>
            </w:r>
          </w:p>
        </w:tc>
        <w:tc>
          <w:tcPr/>
          <w:p>
            <w:pPr>
              <w:pStyle w:val="Compact"/>
              <w:jc w:val="right"/>
            </w:pPr>
            <w:r>
              <w:t xml:space="preserve">$9.6</w:t>
            </w:r>
          </w:p>
        </w:tc>
      </w:tr>
      <w:tr>
        <w:tc>
          <w:tcPr/>
          <w:p>
            <w:pPr>
              <w:pStyle w:val="Compact"/>
              <w:jc w:val="left"/>
            </w:pPr>
            <w:r>
              <w:t xml:space="preserve">2024</w:t>
            </w:r>
          </w:p>
        </w:tc>
        <w:tc>
          <w:tcPr/>
          <w:p>
            <w:pPr>
              <w:pStyle w:val="Compact"/>
              <w:jc w:val="center"/>
            </w:pPr>
            <w:r>
              <w:t xml:space="preserve">107</w:t>
            </w:r>
          </w:p>
        </w:tc>
        <w:tc>
          <w:tcPr/>
          <w:p>
            <w:pPr>
              <w:pStyle w:val="Compact"/>
              <w:jc w:val="center"/>
            </w:pPr>
            <w:r>
              <w:t xml:space="preserve">119</w:t>
            </w:r>
          </w:p>
        </w:tc>
        <w:tc>
          <w:tcPr/>
          <w:p>
            <w:pPr>
              <w:pStyle w:val="Compact"/>
              <w:jc w:val="center"/>
            </w:pPr>
            <w:r>
              <w:t xml:space="preserve">21.4</w:t>
            </w:r>
          </w:p>
        </w:tc>
        <w:tc>
          <w:tcPr/>
          <w:p>
            <w:pPr>
              <w:pStyle w:val="Compact"/>
              <w:jc w:val="center"/>
            </w:pPr>
            <w:r>
              <w:t xml:space="preserve">$92</w:t>
            </w:r>
          </w:p>
        </w:tc>
        <w:tc>
          <w:tcPr/>
          <w:p>
            <w:pPr>
              <w:pStyle w:val="Compact"/>
              <w:jc w:val="right"/>
            </w:pPr>
            <w:r>
              <w:t xml:space="preserve">$10.9</w:t>
            </w:r>
          </w:p>
        </w:tc>
      </w:tr>
      <w:tr>
        <w:tc>
          <w:tcPr/>
          <w:p>
            <w:pPr>
              <w:pStyle w:val="Compact"/>
              <w:jc w:val="left"/>
            </w:pPr>
            <w:r>
              <w:t xml:space="preserve">2025</w:t>
            </w:r>
          </w:p>
        </w:tc>
        <w:tc>
          <w:tcPr/>
          <w:p>
            <w:pPr>
              <w:pStyle w:val="Compact"/>
              <w:jc w:val="center"/>
            </w:pPr>
            <w:r>
              <w:t xml:space="preserve">105</w:t>
            </w:r>
          </w:p>
        </w:tc>
        <w:tc>
          <w:tcPr/>
          <w:p>
            <w:pPr>
              <w:pStyle w:val="Compact"/>
              <w:jc w:val="center"/>
            </w:pPr>
            <w:r>
              <w:t xml:space="preserve">117</w:t>
            </w:r>
          </w:p>
        </w:tc>
        <w:tc>
          <w:tcPr/>
          <w:p>
            <w:pPr>
              <w:pStyle w:val="Compact"/>
              <w:jc w:val="center"/>
            </w:pPr>
            <w:r>
              <w:t xml:space="preserve">22.8</w:t>
            </w:r>
          </w:p>
        </w:tc>
        <w:tc>
          <w:tcPr/>
          <w:p>
            <w:pPr>
              <w:pStyle w:val="Compact"/>
              <w:jc w:val="center"/>
            </w:pPr>
            <w:r>
              <w:t xml:space="preserve">$104</w:t>
            </w:r>
          </w:p>
        </w:tc>
        <w:tc>
          <w:tcPr/>
          <w:p>
            <w:pPr>
              <w:pStyle w:val="Compact"/>
              <w:jc w:val="right"/>
            </w:pPr>
            <w:r>
              <w:t xml:space="preserve">$12.2</w:t>
            </w:r>
          </w:p>
        </w:tc>
      </w:tr>
      <w:tr>
        <w:tc>
          <w:tcPr/>
          <w:p>
            <w:pPr>
              <w:pStyle w:val="Compact"/>
              <w:jc w:val="left"/>
            </w:pPr>
            <w:r>
              <w:t xml:space="preserve">2026 </w:t>
            </w:r>
            <w:r>
              <w:rPr>
                <w:rFonts w:hint="eastAsia"/>
              </w:rPr>
              <w:t xml:space="preserve">预测</w:t>
            </w:r>
          </w:p>
        </w:tc>
        <w:tc>
          <w:tcPr/>
          <w:p>
            <w:pPr>
              <w:pStyle w:val="Compact"/>
              <w:jc w:val="center"/>
            </w:pPr>
            <w:r>
              <w:t xml:space="preserve">109</w:t>
            </w:r>
          </w:p>
        </w:tc>
        <w:tc>
          <w:tcPr/>
          <w:p>
            <w:pPr>
              <w:pStyle w:val="Compact"/>
              <w:jc w:val="center"/>
            </w:pPr>
            <w:r>
              <w:t xml:space="preserve">120</w:t>
            </w:r>
          </w:p>
        </w:tc>
        <w:tc>
          <w:tcPr/>
          <w:p>
            <w:pPr>
              <w:pStyle w:val="Compact"/>
              <w:jc w:val="center"/>
            </w:pPr>
            <w:r>
              <w:t xml:space="preserve">23.2</w:t>
            </w:r>
          </w:p>
        </w:tc>
        <w:tc>
          <w:tcPr/>
          <w:p>
            <w:pPr>
              <w:pStyle w:val="Compact"/>
              <w:jc w:val="center"/>
            </w:pPr>
            <w:r>
              <w:t xml:space="preserve">$116</w:t>
            </w:r>
          </w:p>
        </w:tc>
        <w:tc>
          <w:tcPr/>
          <w:p>
            <w:pPr>
              <w:pStyle w:val="Compact"/>
              <w:jc w:val="right"/>
            </w:pPr>
            <w:r>
              <w:t xml:space="preserve">$13.9</w:t>
            </w:r>
          </w:p>
        </w:tc>
      </w:tr>
    </w:tbl>
    <w:p>
      <w:pPr>
        <w:pStyle w:val="BodyText"/>
      </w:pPr>
      <w:r>
        <w:rPr>
          <w:rFonts w:hint="eastAsia"/>
        </w:rPr>
        <w:t xml:space="preserve">工厂能源经理Priya</w:t>
      </w:r>
      <w:r>
        <w:t xml:space="preserve"> </w:t>
      </w:r>
      <w:r>
        <w:rPr>
          <w:rFonts w:hint="eastAsia"/>
        </w:rPr>
        <w:t xml:space="preserve">Shah认为，公司尚未将外部电价问题与自身负荷管理问题区分开来。她估计，通过更好地安排启动顺序、修复压缩空气泄漏、修订烤箱调度以及自动关闭闲置设备，每年可将电力成本减少$1.4</w:t>
      </w:r>
      <w:r>
        <w:t xml:space="preserve"> </w:t>
      </w:r>
      <w:r>
        <w:rPr>
          <w:rFonts w:hint="eastAsia"/>
        </w:rPr>
        <w:t xml:space="preserve">million到$2.1</w:t>
      </w:r>
      <w:r>
        <w:t xml:space="preserve"> </w:t>
      </w:r>
      <w:r>
        <w:rPr>
          <w:rFonts w:hint="eastAsia"/>
        </w:rPr>
        <w:t xml:space="preserve">million。运营经理们对此持怀疑态度。他们担心积极的峰值管理会增加在制品库存、加班或交货延误。</w:t>
      </w:r>
    </w:p>
    <w:bookmarkEnd w:id="10"/>
    <w:bookmarkStart w:id="11" w:name="制造工艺"/>
    <w:p>
      <w:pPr>
        <w:pStyle w:val="Heading2"/>
      </w:pPr>
      <w:r>
        <w:rPr>
          <w:rFonts w:hint="eastAsia"/>
        </w:rPr>
        <w:t xml:space="preserve">制造工艺</w:t>
      </w:r>
    </w:p>
    <w:p>
      <w:pPr>
        <w:pStyle w:val="FirstParagraph"/>
      </w:pPr>
      <w:r>
        <w:rPr>
          <w:rFonts w:hint="eastAsia"/>
        </w:rPr>
        <w:t xml:space="preserve">Hamilton的运营并非单一连续工序。机加工和泵送是电力密集型工序，但相对灵活。热处理和固化需要受控的温度曲线。涂层生产线有严格的通风要求。液压测试中心产生大但间歇性的负荷。生产计划人员是围绕客户交货日期、机器可用性、劳动技能和质量保留而排产的——而不是电价。</w:t>
      </w:r>
    </w:p>
    <w:p>
      <w:pPr>
        <w:pStyle w:val="BodyText"/>
      </w:pPr>
      <w:r>
        <w:rPr>
          <w:rFonts w:hint="eastAsia"/>
        </w:rPr>
        <w:t xml:space="preserve">因此，管理层面临一个系统性问题。降低电力成本可能会在别处产生成本：更长的交货周期、额外的设置、更大的批量、更多的库存、响应能力下降，或设备利用率降低。反过来，出于能源原因所做的改变，也可能改善维护纪律和生产计划。</w:t>
      </w:r>
    </w:p>
    <w:bookmarkEnd w:id="11"/>
    <w:bookmarkEnd w:id="12"/>
    <w:bookmarkStart w:id="17" w:name="四条战略路径"/>
    <w:p>
      <w:pPr>
        <w:pStyle w:val="Heading1"/>
      </w:pPr>
      <w:r>
        <w:rPr>
          <w:rFonts w:hint="eastAsia"/>
        </w:rPr>
        <w:t xml:space="preserve">四条战略路径</w:t>
      </w:r>
    </w:p>
    <w:bookmarkStart w:id="13" w:name="改善并留守"/>
    <w:p>
      <w:pPr>
        <w:pStyle w:val="Heading2"/>
      </w:pPr>
      <w:r>
        <w:t xml:space="preserve">1. </w:t>
      </w:r>
      <w:r>
        <w:rPr>
          <w:rFonts w:hint="eastAsia"/>
        </w:rPr>
        <w:t xml:space="preserve">改善并留守</w:t>
      </w:r>
    </w:p>
    <w:p>
      <w:pPr>
        <w:pStyle w:val="FirstParagraph"/>
      </w:pPr>
      <w:r>
        <w:rPr>
          <w:rFonts w:hint="eastAsia"/>
        </w:rPr>
        <w:t xml:space="preserve">破坏性最小的路径是保留Hamilton工厂，并首先专注于效率、调度、电价方案重新设计和能源采购。公用事业公司提出可以评估一种可中断服务电价方案，估计每年可减少$900,000的费用，但Ridgeway必须在有限次数的电网紧急情况下，在短时间内削减负荷。一家电力营销商提出为公司部分用电量签订十年期固定价格合同。该固定价格高于当前的远期曲线，但低于公用事业公司的高电价情景。</w:t>
      </w:r>
    </w:p>
    <w:p>
      <w:pPr>
        <w:pStyle w:val="BodyText"/>
      </w:pPr>
      <w:r>
        <w:rPr>
          <w:rFonts w:hint="eastAsia"/>
        </w:rPr>
        <w:t xml:space="preserve">这条路径需要的近期资本投入最小，并保留了灵活性。但它也让Ridgeway继续暴露在一个受限的区域电网之下，以及公用事业公司可能将大量新增基础设施成本分摊给现有工业客户的可能性之下。</w:t>
      </w:r>
    </w:p>
    <w:bookmarkEnd w:id="13"/>
    <w:bookmarkStart w:id="14" w:name="太阳能发电与电池储能"/>
    <w:p>
      <w:pPr>
        <w:pStyle w:val="Heading2"/>
      </w:pPr>
      <w:r>
        <w:t xml:space="preserve">2. </w:t>
      </w:r>
      <w:r>
        <w:rPr>
          <w:rFonts w:hint="eastAsia"/>
        </w:rPr>
        <w:t xml:space="preserve">太阳能发电与电池储能</w:t>
      </w:r>
    </w:p>
    <w:p>
      <w:pPr>
        <w:pStyle w:val="FirstParagraph"/>
      </w:pPr>
      <w:r>
        <w:rPr>
          <w:rFonts w:hint="eastAsia"/>
        </w:rPr>
        <w:t xml:space="preserve">一家开发商提出利用工厂屋顶、停车棚顶和一块相邻地块建设14兆瓦的太阳能设施。预计第一年发电量为19.5吉瓦时——约占工厂年用电量的16%。由于大部分生产在工作日进行，开发商预计现场使用率会较高。该项目不会消除工厂的电网连接，也不会消除大部分夜间购电需求。</w:t>
      </w:r>
    </w:p>
    <w:p>
      <w:pPr>
        <w:pStyle w:val="BodyText"/>
      </w:pPr>
      <w:r>
        <w:rPr>
          <w:rFonts w:hint="eastAsia"/>
        </w:rPr>
        <w:t xml:space="preserve">另一项提案将太阳能与一个10兆瓦、40兆瓦时的电池系统相结合。该电池可以降低需求峰值，将太阳能发电转移到夜间运营使用，并在短暂中断期间支持部分关键负荷。它无法在长时间停电期间维持整个工厂运转。其经济性在很大程度上取决于需量电费规则、电池退化、调度质量、税收待遇、并网成本以及赋予可靠性的价值。</w:t>
      </w:r>
    </w:p>
    <w:bookmarkEnd w:id="14"/>
    <w:bookmarkStart w:id="15" w:name="表-2.-初步现场能源方案"/>
    <w:p>
      <w:pPr>
        <w:pStyle w:val="Heading2"/>
      </w:pPr>
      <w:r>
        <w:rPr>
          <w:rFonts w:hint="eastAsia"/>
        </w:rPr>
        <w:t xml:space="preserve">表</w:t>
      </w:r>
      <w:r>
        <w:t xml:space="preserve"> 2. </w:t>
      </w:r>
      <w:r>
        <w:rPr>
          <w:rFonts w:hint="eastAsia"/>
        </w:rPr>
        <w:t xml:space="preserve">初步现场能源方案</w:t>
      </w:r>
    </w:p>
    <w:tbl>
      <w:tblPr>
        <w:tblStyle w:val="Table"/>
        <w:tblW w:type="pct" w:w="4926"/>
        <w:tblLayout w:type="fixed"/>
        <w:tblLook w:firstRow="1" w:lastRow="0" w:firstColumn="0" w:lastColumn="0" w:noHBand="0" w:noVBand="0" w:val="0020"/>
      </w:tblPr>
      <w:tblGrid>
        <w:gridCol w:w="1514"/>
        <w:gridCol w:w="1048"/>
        <w:gridCol w:w="1572"/>
        <w:gridCol w:w="990"/>
        <w:gridCol w:w="2678"/>
      </w:tblGrid>
      <w:tr>
        <w:trPr>
          <w:tblHeader w:val="on"/>
        </w:trPr>
        <w:tc>
          <w:tcPr/>
          <w:p>
            <w:pPr>
              <w:pStyle w:val="Compact"/>
              <w:jc w:val="left"/>
            </w:pPr>
            <w:r>
              <w:rPr>
                <w:rFonts w:hint="eastAsia"/>
              </w:rPr>
              <w:t xml:space="preserve">方案</w:t>
            </w:r>
          </w:p>
        </w:tc>
        <w:tc>
          <w:tcPr/>
          <w:p>
            <w:pPr>
              <w:pStyle w:val="Compact"/>
              <w:jc w:val="center"/>
            </w:pPr>
            <w:r>
              <w:rPr>
                <w:rFonts w:hint="eastAsia"/>
              </w:rPr>
              <w:t xml:space="preserve">初始资本</w:t>
            </w:r>
          </w:p>
        </w:tc>
        <w:tc>
          <w:tcPr/>
          <w:p>
            <w:pPr>
              <w:pStyle w:val="Compact"/>
              <w:jc w:val="center"/>
            </w:pPr>
            <w:r>
              <w:rPr>
                <w:rFonts w:hint="eastAsia"/>
              </w:rPr>
              <w:t xml:space="preserve">预计年度节省</w:t>
            </w:r>
          </w:p>
        </w:tc>
        <w:tc>
          <w:tcPr/>
          <w:p>
            <w:pPr>
              <w:pStyle w:val="Compact"/>
              <w:jc w:val="center"/>
            </w:pPr>
            <w:r>
              <w:rPr>
                <w:rFonts w:hint="eastAsia"/>
              </w:rPr>
              <w:t xml:space="preserve">简单回收期</w:t>
            </w:r>
          </w:p>
        </w:tc>
        <w:tc>
          <w:tcPr/>
          <w:p>
            <w:pPr>
              <w:pStyle w:val="Compact"/>
              <w:jc w:val="center"/>
            </w:pPr>
            <w:r>
              <w:rPr>
                <w:rFonts w:hint="eastAsia"/>
              </w:rPr>
              <w:t xml:space="preserve">主要不确定性</w:t>
            </w:r>
          </w:p>
        </w:tc>
      </w:tr>
      <w:tr>
        <w:tc>
          <w:tcPr/>
          <w:p>
            <w:pPr>
              <w:pStyle w:val="Compact"/>
              <w:jc w:val="left"/>
            </w:pPr>
            <w:r>
              <w:rPr>
                <w:rFonts w:hint="eastAsia"/>
              </w:rPr>
              <w:t xml:space="preserve">效率与控制</w:t>
            </w:r>
          </w:p>
        </w:tc>
        <w:tc>
          <w:tcPr/>
          <w:p>
            <w:pPr>
              <w:pStyle w:val="Compact"/>
              <w:jc w:val="center"/>
            </w:pPr>
            <w:r>
              <w:t xml:space="preserve">$6.5M</w:t>
            </w:r>
          </w:p>
        </w:tc>
        <w:tc>
          <w:tcPr/>
          <w:p>
            <w:pPr>
              <w:pStyle w:val="Compact"/>
              <w:jc w:val="center"/>
            </w:pPr>
            <w:r>
              <w:t xml:space="preserve">$1.4M-$2.1M</w:t>
            </w:r>
          </w:p>
        </w:tc>
        <w:tc>
          <w:tcPr/>
          <w:p>
            <w:pPr>
              <w:pStyle w:val="Compact"/>
              <w:jc w:val="center"/>
            </w:pPr>
            <w:r>
              <w:t xml:space="preserve">3-5 </w:t>
            </w:r>
            <w:r>
              <w:rPr>
                <w:rFonts w:hint="eastAsia"/>
              </w:rPr>
              <w:t xml:space="preserve">年</w:t>
            </w:r>
          </w:p>
        </w:tc>
        <w:tc>
          <w:tcPr/>
          <w:p>
            <w:pPr>
              <w:pStyle w:val="Compact"/>
              <w:jc w:val="center"/>
            </w:pPr>
            <w:r>
              <w:rPr>
                <w:rFonts w:hint="eastAsia"/>
              </w:rPr>
              <w:t xml:space="preserve">运营合规性；生产影响</w:t>
            </w:r>
          </w:p>
        </w:tc>
      </w:tr>
      <w:tr>
        <w:tc>
          <w:tcPr/>
          <w:p>
            <w:pPr>
              <w:pStyle w:val="Compact"/>
              <w:jc w:val="left"/>
            </w:pPr>
            <w:r>
              <w:rPr>
                <w:rFonts w:hint="eastAsia"/>
              </w:rPr>
              <w:t xml:space="preserve">仅太阳能</w:t>
            </w:r>
          </w:p>
        </w:tc>
        <w:tc>
          <w:tcPr/>
          <w:p>
            <w:pPr>
              <w:pStyle w:val="Compact"/>
              <w:jc w:val="center"/>
            </w:pPr>
            <w:r>
              <w:t xml:space="preserve">$31M</w:t>
            </w:r>
          </w:p>
        </w:tc>
        <w:tc>
          <w:tcPr/>
          <w:p>
            <w:pPr>
              <w:pStyle w:val="Compact"/>
              <w:jc w:val="center"/>
            </w:pPr>
            <w:r>
              <w:t xml:space="preserve">$3.0M-$4.4M</w:t>
            </w:r>
          </w:p>
        </w:tc>
        <w:tc>
          <w:tcPr/>
          <w:p>
            <w:pPr>
              <w:pStyle w:val="Compact"/>
              <w:jc w:val="center"/>
            </w:pPr>
            <w:r>
              <w:t xml:space="preserve">7-10 </w:t>
            </w:r>
            <w:r>
              <w:rPr>
                <w:rFonts w:hint="eastAsia"/>
              </w:rPr>
              <w:t xml:space="preserve">年</w:t>
            </w:r>
          </w:p>
        </w:tc>
        <w:tc>
          <w:tcPr/>
          <w:p>
            <w:pPr>
              <w:pStyle w:val="Compact"/>
              <w:jc w:val="center"/>
            </w:pPr>
            <w:r>
              <w:rPr>
                <w:rFonts w:hint="eastAsia"/>
              </w:rPr>
              <w:t xml:space="preserve">并网；激励政策；出售电力的价值</w:t>
            </w:r>
          </w:p>
        </w:tc>
      </w:tr>
      <w:tr>
        <w:tc>
          <w:tcPr/>
          <w:p>
            <w:pPr>
              <w:pStyle w:val="Compact"/>
              <w:jc w:val="left"/>
            </w:pPr>
            <w:r>
              <w:rPr>
                <w:rFonts w:hint="eastAsia"/>
              </w:rPr>
              <w:t xml:space="preserve">太阳能加电池</w:t>
            </w:r>
          </w:p>
        </w:tc>
        <w:tc>
          <w:tcPr/>
          <w:p>
            <w:pPr>
              <w:pStyle w:val="Compact"/>
              <w:jc w:val="center"/>
            </w:pPr>
            <w:r>
              <w:t xml:space="preserve">$48M</w:t>
            </w:r>
          </w:p>
        </w:tc>
        <w:tc>
          <w:tcPr/>
          <w:p>
            <w:pPr>
              <w:pStyle w:val="Compact"/>
              <w:jc w:val="center"/>
            </w:pPr>
            <w:r>
              <w:t xml:space="preserve">$4.6M-$7.0M</w:t>
            </w:r>
          </w:p>
        </w:tc>
        <w:tc>
          <w:tcPr/>
          <w:p>
            <w:pPr>
              <w:pStyle w:val="Compact"/>
              <w:jc w:val="center"/>
            </w:pPr>
            <w:r>
              <w:t xml:space="preserve">7-11 </w:t>
            </w:r>
            <w:r>
              <w:rPr>
                <w:rFonts w:hint="eastAsia"/>
              </w:rPr>
              <w:t xml:space="preserve">年</w:t>
            </w:r>
          </w:p>
        </w:tc>
        <w:tc>
          <w:tcPr/>
          <w:p>
            <w:pPr>
              <w:pStyle w:val="Compact"/>
              <w:jc w:val="center"/>
            </w:pPr>
            <w:r>
              <w:rPr>
                <w:rFonts w:hint="eastAsia"/>
              </w:rPr>
              <w:t xml:space="preserve">需量电费；退化；调度价值</w:t>
            </w:r>
          </w:p>
        </w:tc>
      </w:tr>
      <w:tr>
        <w:tc>
          <w:tcPr/>
          <w:p>
            <w:pPr>
              <w:pStyle w:val="Compact"/>
              <w:jc w:val="left"/>
            </w:pPr>
            <w:r>
              <w:rPr>
                <w:rFonts w:hint="eastAsia"/>
              </w:rPr>
              <w:t xml:space="preserve">仅电池</w:t>
            </w:r>
          </w:p>
        </w:tc>
        <w:tc>
          <w:tcPr/>
          <w:p>
            <w:pPr>
              <w:pStyle w:val="Compact"/>
              <w:jc w:val="center"/>
            </w:pPr>
            <w:r>
              <w:t xml:space="preserve">$18M</w:t>
            </w:r>
          </w:p>
        </w:tc>
        <w:tc>
          <w:tcPr/>
          <w:p>
            <w:pPr>
              <w:pStyle w:val="Compact"/>
              <w:jc w:val="center"/>
            </w:pPr>
            <w:r>
              <w:t xml:space="preserve">$1.8M-$3.6M</w:t>
            </w:r>
          </w:p>
        </w:tc>
        <w:tc>
          <w:tcPr/>
          <w:p>
            <w:pPr>
              <w:pStyle w:val="Compact"/>
              <w:jc w:val="center"/>
            </w:pPr>
            <w:r>
              <w:t xml:space="preserve">5-10 </w:t>
            </w:r>
            <w:r>
              <w:rPr>
                <w:rFonts w:hint="eastAsia"/>
              </w:rPr>
              <w:t xml:space="preserve">年</w:t>
            </w:r>
          </w:p>
        </w:tc>
        <w:tc>
          <w:tcPr/>
          <w:p>
            <w:pPr>
              <w:pStyle w:val="Compact"/>
              <w:jc w:val="center"/>
            </w:pPr>
            <w:r>
              <w:rPr>
                <w:rFonts w:hint="eastAsia"/>
              </w:rPr>
              <w:t xml:space="preserve">峰值可预测性；市场规则</w:t>
            </w:r>
          </w:p>
        </w:tc>
      </w:tr>
    </w:tbl>
    <w:p>
      <w:pPr>
        <w:pStyle w:val="BodyText"/>
      </w:pPr>
      <w:r>
        <w:rPr>
          <w:rFonts w:hint="eastAsia"/>
        </w:rPr>
        <w:t xml:space="preserve">首席财务官Daniel</w:t>
      </w:r>
      <w:r>
        <w:t xml:space="preserve"> </w:t>
      </w:r>
      <w:r>
        <w:rPr>
          <w:rFonts w:hint="eastAsia"/>
        </w:rPr>
        <w:t xml:space="preserve">Brooks对这一比较提出了质疑。这些节省估算是由不同的供应商使用不同的电价预测、融资假设、退化率以及避免成本定义所得出的。有些模型对电池同时赋予了峰值需求节省和应急备用价值，尽管同一存储的电能并非总能同时服务于两个用途。</w:t>
      </w:r>
    </w:p>
    <w:bookmarkEnd w:id="15"/>
    <w:bookmarkStart w:id="16" w:name="将工艺热能转换为天然气"/>
    <w:p>
      <w:pPr>
        <w:pStyle w:val="Heading2"/>
      </w:pPr>
      <w:r>
        <w:t xml:space="preserve">3. </w:t>
      </w:r>
      <w:r>
        <w:rPr>
          <w:rFonts w:hint="eastAsia"/>
        </w:rPr>
        <w:t xml:space="preserve">将工艺热能转换为天然气</w:t>
      </w:r>
    </w:p>
    <w:p>
      <w:pPr>
        <w:pStyle w:val="FirstParagraph"/>
      </w:pPr>
      <w:r>
        <w:rPr>
          <w:rFonts w:hint="eastAsia"/>
        </w:rPr>
        <w:t xml:space="preserve">Ridgeway的工程团队确定了七台电烤箱、两套固化系统和一套洗涤水加热系统，作为转换为天然气的可能候选对象。它们合计约占年用电量26吉瓦时，同时峰值需求5.8兆瓦。转换可以降低电力风险敞口，但会增加直接燃料使用量和排放。</w:t>
      </w:r>
    </w:p>
    <w:p>
      <w:pPr>
        <w:pStyle w:val="BodyText"/>
      </w:pPr>
      <w:r>
        <w:rPr>
          <w:rFonts w:hint="eastAsia"/>
        </w:rPr>
        <w:t xml:space="preserve">天然气价格历来波动较大，而且电力和天然气价格并非彼此独立，因为燃气发电机组往往会影响批发电价。当地燃气公用事业公司还警告称，Ridgeway可能需要为部分管道加固工程提供资金。环境许可可能需要12到24个月。多家客户已开始要求提供产品层面的排放信息，这引发了人们的担忧，即天然气转换可能与未来的采购要求相冲突。</w:t>
      </w:r>
    </w:p>
    <w:bookmarkEnd w:id="16"/>
    <w:bookmarkEnd w:id="17"/>
    <w:bookmarkStart w:id="19" w:name="迁址备选方案"/>
    <w:p>
      <w:pPr>
        <w:pStyle w:val="Heading1"/>
      </w:pPr>
      <w:r>
        <w:rPr>
          <w:rFonts w:hint="eastAsia"/>
        </w:rPr>
        <w:t xml:space="preserve">迁址备选方案</w:t>
      </w:r>
    </w:p>
    <w:p>
      <w:pPr>
        <w:pStyle w:val="FirstParagraph"/>
      </w:pPr>
      <w:r>
        <w:rPr>
          <w:rFonts w:hint="eastAsia"/>
        </w:rPr>
        <w:t xml:space="preserve">后果最重大的选择是在另一个地区新建或收购一家工厂。Ridgeway的房地产顾问确定了三个初步选址。每个选址目前的工业电价都低于Hamilton</w:t>
      </w:r>
      <w:r>
        <w:t xml:space="preserve"> </w:t>
      </w:r>
      <w:r>
        <w:rPr>
          <w:rFonts w:hint="eastAsia"/>
        </w:rPr>
        <w:t xml:space="preserve">County，都有可用的工业用地和州经济发展激励措施。但没有一个能够复制Hamilton的熟练劳动力、供应商网络和客户邻近优势。</w:t>
      </w:r>
    </w:p>
    <w:bookmarkStart w:id="18" w:name="表-3.-初步选址比较"/>
    <w:p>
      <w:pPr>
        <w:pStyle w:val="Heading2"/>
      </w:pPr>
      <w:r>
        <w:rPr>
          <w:rFonts w:hint="eastAsia"/>
        </w:rPr>
        <w:t xml:space="preserve">表</w:t>
      </w:r>
      <w:r>
        <w:t xml:space="preserve"> 3. </w:t>
      </w:r>
      <w:r>
        <w:rPr>
          <w:rFonts w:hint="eastAsia"/>
        </w:rPr>
        <w:t xml:space="preserve">初步选址比较</w:t>
      </w:r>
    </w:p>
    <w:tbl>
      <w:tblPr>
        <w:tblStyle w:val="Table"/>
        <w:tblW w:type="pct" w:w="4905"/>
        <w:tblLayout w:type="fixed"/>
        <w:tblLook w:firstRow="1" w:lastRow="0" w:firstColumn="0" w:lastColumn="0" w:noHBand="0" w:noVBand="0" w:val="0020"/>
      </w:tblPr>
      <w:tblGrid>
        <w:gridCol w:w="2640"/>
        <w:gridCol w:w="1357"/>
        <w:gridCol w:w="1357"/>
        <w:gridCol w:w="1206"/>
        <w:gridCol w:w="1206"/>
      </w:tblGrid>
      <w:tr>
        <w:trPr>
          <w:tblHeader w:val="on"/>
        </w:trPr>
        <w:tc>
          <w:tcPr/>
          <w:p>
            <w:pPr>
              <w:pStyle w:val="Compact"/>
              <w:jc w:val="left"/>
            </w:pPr>
            <w:r>
              <w:rPr>
                <w:rFonts w:hint="eastAsia"/>
              </w:rPr>
              <w:t xml:space="preserve">因素</w:t>
            </w:r>
          </w:p>
        </w:tc>
        <w:tc>
          <w:tcPr/>
          <w:p>
            <w:pPr>
              <w:pStyle w:val="Compact"/>
              <w:jc w:val="center"/>
            </w:pPr>
            <w:r>
              <w:t xml:space="preserve">Hamilton County</w:t>
            </w:r>
          </w:p>
        </w:tc>
        <w:tc>
          <w:tcPr/>
          <w:p>
            <w:pPr>
              <w:pStyle w:val="Compact"/>
              <w:jc w:val="center"/>
            </w:pPr>
            <w:r>
              <w:t xml:space="preserve">Riverbend State</w:t>
            </w:r>
          </w:p>
        </w:tc>
        <w:tc>
          <w:tcPr/>
          <w:p>
            <w:pPr>
              <w:pStyle w:val="Compact"/>
              <w:jc w:val="center"/>
            </w:pPr>
            <w:r>
              <w:t xml:space="preserve">Prairie State</w:t>
            </w:r>
          </w:p>
        </w:tc>
        <w:tc>
          <w:tcPr/>
          <w:p>
            <w:pPr>
              <w:pStyle w:val="Compact"/>
              <w:jc w:val="center"/>
            </w:pPr>
            <w:r>
              <w:t xml:space="preserve">Gulf State</w:t>
            </w:r>
          </w:p>
        </w:tc>
      </w:tr>
      <w:tr>
        <w:tc>
          <w:tcPr/>
          <w:p>
            <w:pPr>
              <w:pStyle w:val="Compact"/>
              <w:jc w:val="left"/>
            </w:pPr>
            <w:r>
              <w:rPr>
                <w:rFonts w:hint="eastAsia"/>
              </w:rPr>
              <w:t xml:space="preserve">工业电力：当前综合价格</w:t>
            </w:r>
          </w:p>
        </w:tc>
        <w:tc>
          <w:tcPr/>
          <w:p>
            <w:pPr>
              <w:pStyle w:val="Compact"/>
              <w:jc w:val="center"/>
            </w:pPr>
            <w:r>
              <w:t xml:space="preserve">$116/MWh</w:t>
            </w:r>
          </w:p>
        </w:tc>
        <w:tc>
          <w:tcPr/>
          <w:p>
            <w:pPr>
              <w:pStyle w:val="Compact"/>
              <w:jc w:val="center"/>
            </w:pPr>
            <w:r>
              <w:t xml:space="preserve">$73/MWh</w:t>
            </w:r>
          </w:p>
        </w:tc>
        <w:tc>
          <w:tcPr/>
          <w:p>
            <w:pPr>
              <w:pStyle w:val="Compact"/>
              <w:jc w:val="center"/>
            </w:pPr>
            <w:r>
              <w:t xml:space="preserve">$68/MWh</w:t>
            </w:r>
          </w:p>
        </w:tc>
        <w:tc>
          <w:tcPr/>
          <w:p>
            <w:pPr>
              <w:pStyle w:val="Compact"/>
              <w:jc w:val="center"/>
            </w:pPr>
            <w:r>
              <w:t xml:space="preserve">$79/MWh</w:t>
            </w:r>
          </w:p>
        </w:tc>
      </w:tr>
      <w:tr>
        <w:tc>
          <w:tcPr/>
          <w:p>
            <w:pPr>
              <w:pStyle w:val="Compact"/>
              <w:jc w:val="left"/>
            </w:pPr>
            <w:r>
              <w:rPr>
                <w:rFonts w:hint="eastAsia"/>
              </w:rPr>
              <w:t xml:space="preserve">10年电价不确定性</w:t>
            </w:r>
          </w:p>
        </w:tc>
        <w:tc>
          <w:tcPr/>
          <w:p>
            <w:pPr>
              <w:pStyle w:val="Compact"/>
              <w:jc w:val="center"/>
            </w:pPr>
            <w:r>
              <w:rPr>
                <w:rFonts w:hint="eastAsia"/>
              </w:rPr>
              <w:t xml:space="preserve">高</w:t>
            </w:r>
          </w:p>
        </w:tc>
        <w:tc>
          <w:tcPr/>
          <w:p>
            <w:pPr>
              <w:pStyle w:val="Compact"/>
              <w:jc w:val="center"/>
            </w:pPr>
            <w:r>
              <w:rPr>
                <w:rFonts w:hint="eastAsia"/>
              </w:rPr>
              <w:t xml:space="preserve">中</w:t>
            </w:r>
          </w:p>
        </w:tc>
        <w:tc>
          <w:tcPr/>
          <w:p>
            <w:pPr>
              <w:pStyle w:val="Compact"/>
              <w:jc w:val="center"/>
            </w:pPr>
            <w:r>
              <w:rPr>
                <w:rFonts w:hint="eastAsia"/>
              </w:rPr>
              <w:t xml:space="preserve">中</w:t>
            </w:r>
          </w:p>
        </w:tc>
        <w:tc>
          <w:tcPr/>
          <w:p>
            <w:pPr>
              <w:pStyle w:val="Compact"/>
              <w:jc w:val="center"/>
            </w:pPr>
            <w:r>
              <w:rPr>
                <w:rFonts w:hint="eastAsia"/>
              </w:rPr>
              <w:t xml:space="preserve">高</w:t>
            </w:r>
          </w:p>
        </w:tc>
      </w:tr>
      <w:tr>
        <w:tc>
          <w:tcPr/>
          <w:p>
            <w:pPr>
              <w:pStyle w:val="Compact"/>
              <w:jc w:val="left"/>
            </w:pPr>
            <w:r>
              <w:rPr>
                <w:rFonts w:hint="eastAsia"/>
              </w:rPr>
              <w:t xml:space="preserve">天然气接入</w:t>
            </w:r>
          </w:p>
        </w:tc>
        <w:tc>
          <w:tcPr/>
          <w:p>
            <w:pPr>
              <w:pStyle w:val="Compact"/>
              <w:jc w:val="center"/>
            </w:pPr>
            <w:r>
              <w:rPr>
                <w:rFonts w:hint="eastAsia"/>
              </w:rPr>
              <w:t xml:space="preserve">充足</w:t>
            </w:r>
          </w:p>
        </w:tc>
        <w:tc>
          <w:tcPr/>
          <w:p>
            <w:pPr>
              <w:pStyle w:val="Compact"/>
              <w:jc w:val="center"/>
            </w:pPr>
            <w:r>
              <w:rPr>
                <w:rFonts w:hint="eastAsia"/>
              </w:rPr>
              <w:t xml:space="preserve">强</w:t>
            </w:r>
          </w:p>
        </w:tc>
        <w:tc>
          <w:tcPr/>
          <w:p>
            <w:pPr>
              <w:pStyle w:val="Compact"/>
              <w:jc w:val="center"/>
            </w:pPr>
            <w:r>
              <w:rPr>
                <w:rFonts w:hint="eastAsia"/>
              </w:rPr>
              <w:t xml:space="preserve">强</w:t>
            </w:r>
          </w:p>
        </w:tc>
        <w:tc>
          <w:tcPr/>
          <w:p>
            <w:pPr>
              <w:pStyle w:val="Compact"/>
              <w:jc w:val="center"/>
            </w:pPr>
            <w:r>
              <w:rPr>
                <w:rFonts w:hint="eastAsia"/>
              </w:rPr>
              <w:t xml:space="preserve">强</w:t>
            </w:r>
          </w:p>
        </w:tc>
      </w:tr>
      <w:tr>
        <w:tc>
          <w:tcPr/>
          <w:p>
            <w:pPr>
              <w:pStyle w:val="Compact"/>
              <w:jc w:val="left"/>
            </w:pPr>
            <w:r>
              <w:rPr>
                <w:rFonts w:hint="eastAsia"/>
              </w:rPr>
              <w:t xml:space="preserve">预计新工厂投资</w:t>
            </w:r>
          </w:p>
        </w:tc>
        <w:tc>
          <w:tcPr/>
          <w:p>
            <w:pPr>
              <w:pStyle w:val="Compact"/>
              <w:jc w:val="center"/>
            </w:pPr>
            <w:r>
              <w:rPr>
                <w:rFonts w:hint="eastAsia"/>
              </w:rPr>
              <w:t xml:space="preserve">不适用</w:t>
            </w:r>
          </w:p>
        </w:tc>
        <w:tc>
          <w:tcPr/>
          <w:p>
            <w:pPr>
              <w:pStyle w:val="Compact"/>
              <w:jc w:val="center"/>
            </w:pPr>
            <w:r>
              <w:t xml:space="preserve">$410M</w:t>
            </w:r>
          </w:p>
        </w:tc>
        <w:tc>
          <w:tcPr/>
          <w:p>
            <w:pPr>
              <w:pStyle w:val="Compact"/>
              <w:jc w:val="center"/>
            </w:pPr>
            <w:r>
              <w:t xml:space="preserve">$385M</w:t>
            </w:r>
          </w:p>
        </w:tc>
        <w:tc>
          <w:tcPr/>
          <w:p>
            <w:pPr>
              <w:pStyle w:val="Compact"/>
              <w:jc w:val="center"/>
            </w:pPr>
            <w:r>
              <w:t xml:space="preserve">$430M</w:t>
            </w:r>
          </w:p>
        </w:tc>
      </w:tr>
      <w:tr>
        <w:tc>
          <w:tcPr/>
          <w:p>
            <w:pPr>
              <w:pStyle w:val="Compact"/>
              <w:jc w:val="left"/>
            </w:pPr>
            <w:r>
              <w:rPr>
                <w:rFonts w:hint="eastAsia"/>
              </w:rPr>
              <w:t xml:space="preserve">过渡期</w:t>
            </w:r>
          </w:p>
        </w:tc>
        <w:tc>
          <w:tcPr/>
          <w:p>
            <w:pPr>
              <w:pStyle w:val="Compact"/>
              <w:jc w:val="center"/>
            </w:pPr>
            <w:r>
              <w:rPr>
                <w:rFonts w:hint="eastAsia"/>
              </w:rPr>
              <w:t xml:space="preserve">不适用</w:t>
            </w:r>
          </w:p>
        </w:tc>
        <w:tc>
          <w:tcPr/>
          <w:p>
            <w:pPr>
              <w:pStyle w:val="Compact"/>
              <w:jc w:val="center"/>
            </w:pPr>
            <w:r>
              <w:t xml:space="preserve">4-5 </w:t>
            </w:r>
            <w:r>
              <w:rPr>
                <w:rFonts w:hint="eastAsia"/>
              </w:rPr>
              <w:t xml:space="preserve">年</w:t>
            </w:r>
          </w:p>
        </w:tc>
        <w:tc>
          <w:tcPr/>
          <w:p>
            <w:pPr>
              <w:pStyle w:val="Compact"/>
              <w:jc w:val="center"/>
            </w:pPr>
            <w:r>
              <w:t xml:space="preserve">4-6 </w:t>
            </w:r>
            <w:r>
              <w:rPr>
                <w:rFonts w:hint="eastAsia"/>
              </w:rPr>
              <w:t xml:space="preserve">年</w:t>
            </w:r>
          </w:p>
        </w:tc>
        <w:tc>
          <w:tcPr/>
          <w:p>
            <w:pPr>
              <w:pStyle w:val="Compact"/>
              <w:jc w:val="center"/>
            </w:pPr>
            <w:r>
              <w:t xml:space="preserve">4-5 </w:t>
            </w:r>
            <w:r>
              <w:rPr>
                <w:rFonts w:hint="eastAsia"/>
              </w:rPr>
              <w:t xml:space="preserve">年</w:t>
            </w:r>
          </w:p>
        </w:tc>
      </w:tr>
      <w:tr>
        <w:tc>
          <w:tcPr/>
          <w:p>
            <w:pPr>
              <w:pStyle w:val="Compact"/>
              <w:jc w:val="left"/>
            </w:pPr>
            <w:r>
              <w:rPr>
                <w:rFonts w:hint="eastAsia"/>
              </w:rPr>
              <w:t xml:space="preserve">熟练劳动力可获得性</w:t>
            </w:r>
          </w:p>
        </w:tc>
        <w:tc>
          <w:tcPr/>
          <w:p>
            <w:pPr>
              <w:pStyle w:val="Compact"/>
              <w:jc w:val="center"/>
            </w:pPr>
            <w:r>
              <w:rPr>
                <w:rFonts w:hint="eastAsia"/>
              </w:rPr>
              <w:t xml:space="preserve">强</w:t>
            </w:r>
          </w:p>
        </w:tc>
        <w:tc>
          <w:tcPr/>
          <w:p>
            <w:pPr>
              <w:pStyle w:val="Compact"/>
              <w:jc w:val="center"/>
            </w:pPr>
            <w:r>
              <w:rPr>
                <w:rFonts w:hint="eastAsia"/>
              </w:rPr>
              <w:t xml:space="preserve">中等</w:t>
            </w:r>
          </w:p>
        </w:tc>
        <w:tc>
          <w:tcPr/>
          <w:p>
            <w:pPr>
              <w:pStyle w:val="Compact"/>
              <w:jc w:val="center"/>
            </w:pPr>
            <w:r>
              <w:rPr>
                <w:rFonts w:hint="eastAsia"/>
              </w:rPr>
              <w:t xml:space="preserve">有限</w:t>
            </w:r>
          </w:p>
        </w:tc>
        <w:tc>
          <w:tcPr/>
          <w:p>
            <w:pPr>
              <w:pStyle w:val="Compact"/>
              <w:jc w:val="center"/>
            </w:pPr>
            <w:r>
              <w:rPr>
                <w:rFonts w:hint="eastAsia"/>
              </w:rPr>
              <w:t xml:space="preserve">中等</w:t>
            </w:r>
          </w:p>
        </w:tc>
      </w:tr>
      <w:tr>
        <w:tc>
          <w:tcPr/>
          <w:p>
            <w:pPr>
              <w:pStyle w:val="Compact"/>
              <w:jc w:val="left"/>
            </w:pPr>
            <w:r>
              <w:rPr>
                <w:rFonts w:hint="eastAsia"/>
              </w:rPr>
              <w:t xml:space="preserve">客户运费影响</w:t>
            </w:r>
          </w:p>
        </w:tc>
        <w:tc>
          <w:tcPr/>
          <w:p>
            <w:pPr>
              <w:pStyle w:val="Compact"/>
              <w:jc w:val="center"/>
            </w:pPr>
            <w:r>
              <w:rPr>
                <w:rFonts w:hint="eastAsia"/>
              </w:rPr>
              <w:t xml:space="preserve">基准</w:t>
            </w:r>
          </w:p>
        </w:tc>
        <w:tc>
          <w:tcPr/>
          <w:p>
            <w:pPr>
              <w:pStyle w:val="Compact"/>
              <w:jc w:val="center"/>
            </w:pPr>
            <w:r>
              <w:rPr>
                <w:rFonts w:hint="eastAsia"/>
              </w:rPr>
              <w:t xml:space="preserve">+$7M/年</w:t>
            </w:r>
          </w:p>
        </w:tc>
        <w:tc>
          <w:tcPr/>
          <w:p>
            <w:pPr>
              <w:pStyle w:val="Compact"/>
              <w:jc w:val="center"/>
            </w:pPr>
            <w:r>
              <w:rPr>
                <w:rFonts w:hint="eastAsia"/>
              </w:rPr>
              <w:t xml:space="preserve">+$13M/年</w:t>
            </w:r>
          </w:p>
        </w:tc>
        <w:tc>
          <w:tcPr/>
          <w:p>
            <w:pPr>
              <w:pStyle w:val="Compact"/>
              <w:jc w:val="center"/>
            </w:pPr>
            <w:r>
              <w:rPr>
                <w:rFonts w:hint="eastAsia"/>
              </w:rPr>
              <w:t xml:space="preserve">+$9M/年</w:t>
            </w:r>
          </w:p>
        </w:tc>
      </w:tr>
      <w:tr>
        <w:tc>
          <w:tcPr/>
          <w:p>
            <w:pPr>
              <w:pStyle w:val="Compact"/>
              <w:jc w:val="left"/>
            </w:pPr>
            <w:r>
              <w:rPr>
                <w:rFonts w:hint="eastAsia"/>
              </w:rPr>
              <w:t xml:space="preserve">州/地方激励措施</w:t>
            </w:r>
          </w:p>
        </w:tc>
        <w:tc>
          <w:tcPr/>
          <w:p>
            <w:pPr>
              <w:pStyle w:val="Compact"/>
              <w:jc w:val="center"/>
            </w:pPr>
            <w:r>
              <w:rPr>
                <w:rFonts w:hint="eastAsia"/>
              </w:rPr>
              <w:t xml:space="preserve">有限</w:t>
            </w:r>
          </w:p>
        </w:tc>
        <w:tc>
          <w:tcPr/>
          <w:p>
            <w:pPr>
              <w:pStyle w:val="Compact"/>
              <w:jc w:val="center"/>
            </w:pPr>
            <w:r>
              <w:t xml:space="preserve">$54M</w:t>
            </w:r>
          </w:p>
        </w:tc>
        <w:tc>
          <w:tcPr/>
          <w:p>
            <w:pPr>
              <w:pStyle w:val="Compact"/>
              <w:jc w:val="center"/>
            </w:pPr>
            <w:r>
              <w:t xml:space="preserve">$72M</w:t>
            </w:r>
          </w:p>
        </w:tc>
        <w:tc>
          <w:tcPr/>
          <w:p>
            <w:pPr>
              <w:pStyle w:val="Compact"/>
              <w:jc w:val="center"/>
            </w:pPr>
            <w:r>
              <w:t xml:space="preserve">$61M</w:t>
            </w:r>
          </w:p>
        </w:tc>
      </w:tr>
      <w:tr>
        <w:tc>
          <w:tcPr/>
          <w:p>
            <w:pPr>
              <w:pStyle w:val="Compact"/>
              <w:jc w:val="left"/>
            </w:pPr>
            <w:r>
              <w:rPr>
                <w:rFonts w:hint="eastAsia"/>
              </w:rPr>
              <w:t xml:space="preserve">天气风险敞口</w:t>
            </w:r>
          </w:p>
        </w:tc>
        <w:tc>
          <w:tcPr/>
          <w:p>
            <w:pPr>
              <w:pStyle w:val="Compact"/>
              <w:jc w:val="center"/>
            </w:pPr>
            <w:r>
              <w:rPr>
                <w:rFonts w:hint="eastAsia"/>
              </w:rPr>
              <w:t xml:space="preserve">中等</w:t>
            </w:r>
          </w:p>
        </w:tc>
        <w:tc>
          <w:tcPr/>
          <w:p>
            <w:pPr>
              <w:pStyle w:val="Compact"/>
              <w:jc w:val="center"/>
            </w:pPr>
            <w:r>
              <w:rPr>
                <w:rFonts w:hint="eastAsia"/>
              </w:rPr>
              <w:t xml:space="preserve">洪水</w:t>
            </w:r>
          </w:p>
        </w:tc>
        <w:tc>
          <w:tcPr/>
          <w:p>
            <w:pPr>
              <w:pStyle w:val="Compact"/>
              <w:jc w:val="center"/>
            </w:pPr>
            <w:r>
              <w:rPr>
                <w:rFonts w:hint="eastAsia"/>
              </w:rPr>
              <w:t xml:space="preserve">冬季风暴</w:t>
            </w:r>
          </w:p>
        </w:tc>
        <w:tc>
          <w:tcPr/>
          <w:p>
            <w:pPr>
              <w:pStyle w:val="Compact"/>
              <w:jc w:val="center"/>
            </w:pPr>
            <w:r>
              <w:rPr>
                <w:rFonts w:hint="eastAsia"/>
              </w:rPr>
              <w:t xml:space="preserve">飓风</w:t>
            </w:r>
          </w:p>
        </w:tc>
      </w:tr>
    </w:tbl>
    <w:p>
      <w:pPr>
        <w:pStyle w:val="BodyText"/>
      </w:pPr>
      <w:r>
        <w:rPr>
          <w:rFonts w:hint="eastAsia"/>
        </w:rPr>
        <w:t xml:space="preserve">全面迁移并非唯一的网络备选方案。Ridgeway可以只迁移能源最密集的工序、增设第二家工厂、外包热处理，或在别处新建产能，同时逐步降低Hamilton的作用。每种方式都会产生协调成本、重复库存和质量控制方面的挑战。受监管行业的客户可能需要数月的验证时间，才会接受来自新工厂的产品。</w:t>
      </w:r>
    </w:p>
    <w:p>
      <w:pPr>
        <w:pStyle w:val="BodyText"/>
      </w:pPr>
      <w:r>
        <w:rPr>
          <w:rFonts w:hint="eastAsia"/>
        </w:rPr>
        <w:t xml:space="preserve">人力资源部门估计，只有不到20%的Hamilton员工愿意迁移。替换经验丰富的焊工、机加工人员、检验员、维护专家和生产主管，可能会延长产能爬坡期。Hamilton社区曾在Ridgeway早期的低迷时期给予支持，地方官员警告称，工厂关闭将影响供应商、学校和市政财政。</w:t>
      </w:r>
    </w:p>
    <w:bookmarkEnd w:id="18"/>
    <w:bookmarkEnd w:id="19"/>
    <w:bookmarkStart w:id="21" w:name="ridgeway正在解决的问题是什么"/>
    <w:p>
      <w:pPr>
        <w:pStyle w:val="Heading1"/>
      </w:pPr>
      <w:r>
        <w:rPr>
          <w:rFonts w:hint="eastAsia"/>
        </w:rPr>
        <w:t xml:space="preserve">Ridgeway正在解决的问题是什么？</w:t>
      </w:r>
    </w:p>
    <w:p>
      <w:pPr>
        <w:pStyle w:val="FirstParagraph"/>
      </w:pPr>
      <w:r>
        <w:rPr>
          <w:rFonts w:hint="eastAsia"/>
        </w:rPr>
        <w:t xml:space="preserve">高管团队对目标并未达成一致意见。Brooks将问题定义为最小化能源和过渡成本的现值。Shah则强调需求峰值削减和韧性。制造负责人希望保护产量、质量和客户服务。可持续发展总监认为，资本决策应与可能出现的客户排放要求保持一致。战略总监则将电力问题视为一个更广泛问题的其中一环：Hamilton是否仍是Ridgeway下一代生产技术的正确所在地。</w:t>
      </w:r>
    </w:p>
    <w:p>
      <w:pPr>
        <w:pStyle w:val="BodyText"/>
      </w:pPr>
      <w:r>
        <w:rPr>
          <w:rFonts w:hint="eastAsia"/>
        </w:rPr>
        <w:t xml:space="preserve">目标的选择改变了分析结果。太阳能加储能项目的财务回报可能低于效率项目，但能提供更多的停电保护。天然气转换可以降低近期成本，但会增加碳监管方面的风险敞口。迁址可以带来更低的能源价格，但也会产生更高的运费、劳动力和执行成本。基于当前电价做出的决策，可能与基于应对未来状况灵活性做出的决策看起来不同。</w:t>
      </w:r>
    </w:p>
    <w:bookmarkStart w:id="20" w:name="项目团队提出的衡量指标"/>
    <w:p>
      <w:pPr>
        <w:pStyle w:val="Heading2"/>
      </w:pPr>
      <w:r>
        <w:rPr>
          <w:rFonts w:hint="eastAsia"/>
        </w:rPr>
        <w:t xml:space="preserve">项目团队提出的衡量指标</w:t>
      </w:r>
    </w:p>
    <w:p>
      <w:pPr>
        <w:numPr>
          <w:ilvl w:val="0"/>
          <w:numId w:val="1001"/>
        </w:numPr>
      </w:pPr>
      <w:r>
        <w:rPr>
          <w:rFonts w:hint="eastAsia"/>
        </w:rPr>
        <w:t xml:space="preserve">5年、10年、15年和20年期限内的净现值和年度现金需求。</w:t>
      </w:r>
    </w:p>
    <w:p>
      <w:pPr>
        <w:numPr>
          <w:ilvl w:val="0"/>
          <w:numId w:val="1001"/>
        </w:numPr>
      </w:pPr>
      <w:r>
        <w:rPr>
          <w:rFonts w:hint="eastAsia"/>
        </w:rPr>
        <w:t xml:space="preserve">每单位制造成本，包括能源、劳动力、运费、库存和过渡影响。</w:t>
      </w:r>
    </w:p>
    <w:p>
      <w:pPr>
        <w:numPr>
          <w:ilvl w:val="0"/>
          <w:numId w:val="1001"/>
        </w:numPr>
      </w:pPr>
      <w:r>
        <w:rPr>
          <w:rFonts w:hint="eastAsia"/>
        </w:rPr>
        <w:t xml:space="preserve">预计生产损失工时以及韧性改善的价值。</w:t>
      </w:r>
    </w:p>
    <w:p>
      <w:pPr>
        <w:numPr>
          <w:ilvl w:val="0"/>
          <w:numId w:val="1001"/>
        </w:numPr>
      </w:pPr>
      <w:r>
        <w:rPr>
          <w:rFonts w:hint="eastAsia"/>
        </w:rPr>
        <w:t xml:space="preserve">温室气体排放以及对未来客户或监管要求的暴露程度。</w:t>
      </w:r>
    </w:p>
    <w:p>
      <w:pPr>
        <w:numPr>
          <w:ilvl w:val="0"/>
          <w:numId w:val="1001"/>
        </w:numPr>
      </w:pPr>
      <w:r>
        <w:rPr>
          <w:rFonts w:hint="eastAsia"/>
        </w:rPr>
        <w:t xml:space="preserve">实施时间、延误概率和成本超支概率。</w:t>
      </w:r>
    </w:p>
    <w:p>
      <w:pPr>
        <w:numPr>
          <w:ilvl w:val="0"/>
          <w:numId w:val="1001"/>
        </w:numPr>
      </w:pPr>
      <w:r>
        <w:rPr>
          <w:rFonts w:hint="eastAsia"/>
        </w:rPr>
        <w:t xml:space="preserve">可逆性：随着条件变化而扩大、停止或调整投资方向的能力。</w:t>
      </w:r>
    </w:p>
    <w:p>
      <w:pPr>
        <w:numPr>
          <w:ilvl w:val="0"/>
          <w:numId w:val="1001"/>
        </w:numPr>
      </w:pPr>
      <w:r>
        <w:rPr>
          <w:rFonts w:hint="eastAsia"/>
        </w:rPr>
        <w:t xml:space="preserve">对员工、供应商、客户和Hamilton社区的影响。</w:t>
      </w:r>
    </w:p>
    <w:bookmarkEnd w:id="20"/>
    <w:bookmarkEnd w:id="21"/>
    <w:bookmarkStart w:id="24" w:name="处处存在的不确定性"/>
    <w:p>
      <w:pPr>
        <w:pStyle w:val="Heading1"/>
      </w:pPr>
      <w:r>
        <w:rPr>
          <w:rFonts w:hint="eastAsia"/>
        </w:rPr>
        <w:t xml:space="preserve">处处存在的不确定性</w:t>
      </w:r>
    </w:p>
    <w:p>
      <w:pPr>
        <w:pStyle w:val="FirstParagraph"/>
      </w:pPr>
      <w:r>
        <w:rPr>
          <w:rFonts w:hint="eastAsia"/>
        </w:rPr>
        <w:t xml:space="preserve">项目团队制定了三种电价情景，但无法就概率达成一致。公用事业公司的高情景假设数据中心快速增长和大量的输电投资。其低情景假设大型新用户将为所需的基础设施提供更多资金，且若干拟议项目将被推迟或取消。Ridgeway的顾问增加了第四种可能性：区域监管机构可能会对超大型新负荷推出特殊电价方案，从而减轻现有客户的成本压力。</w:t>
      </w:r>
    </w:p>
    <w:bookmarkStart w:id="22" w:name="表-4.-hamilton电价情景"/>
    <w:p>
      <w:pPr>
        <w:pStyle w:val="Heading2"/>
      </w:pPr>
      <w:r>
        <w:rPr>
          <w:rFonts w:hint="eastAsia"/>
        </w:rPr>
        <w:t xml:space="preserve">表</w:t>
      </w:r>
      <w:r>
        <w:t xml:space="preserve"> 4. </w:t>
      </w:r>
      <w:r>
        <w:rPr>
          <w:rFonts w:hint="eastAsia"/>
        </w:rPr>
        <w:t xml:space="preserve">Hamilton电价情景</w:t>
      </w:r>
    </w:p>
    <w:tbl>
      <w:tblPr>
        <w:tblStyle w:val="Table"/>
        <w:tblW w:type="pct" w:w="4921"/>
        <w:tblLayout w:type="fixed"/>
        <w:tblLook w:firstRow="1" w:lastRow="0" w:firstColumn="0" w:lastColumn="0" w:noHBand="0" w:noVBand="0" w:val="0020"/>
      </w:tblPr>
      <w:tblGrid>
        <w:gridCol w:w="1194"/>
        <w:gridCol w:w="1194"/>
        <w:gridCol w:w="1194"/>
        <w:gridCol w:w="4211"/>
      </w:tblGrid>
      <w:tr>
        <w:trPr>
          <w:tblHeader w:val="on"/>
        </w:trPr>
        <w:tc>
          <w:tcPr/>
          <w:p>
            <w:pPr>
              <w:pStyle w:val="Compact"/>
              <w:jc w:val="left"/>
            </w:pPr>
            <w:r>
              <w:rPr>
                <w:rFonts w:hint="eastAsia"/>
              </w:rPr>
              <w:t xml:space="preserve">情景</w:t>
            </w:r>
          </w:p>
        </w:tc>
        <w:tc>
          <w:tcPr/>
          <w:p>
            <w:pPr>
              <w:pStyle w:val="Compact"/>
              <w:jc w:val="left"/>
            </w:pPr>
            <w:r>
              <w:rPr>
                <w:rFonts w:hint="eastAsia"/>
              </w:rPr>
              <w:t xml:space="preserve">2030年综合电价</w:t>
            </w:r>
          </w:p>
        </w:tc>
        <w:tc>
          <w:tcPr/>
          <w:p>
            <w:pPr>
              <w:pStyle w:val="Compact"/>
              <w:jc w:val="center"/>
            </w:pPr>
            <w:r>
              <w:rPr>
                <w:rFonts w:hint="eastAsia"/>
              </w:rPr>
              <w:t xml:space="preserve">2035年综合电价</w:t>
            </w:r>
          </w:p>
        </w:tc>
        <w:tc>
          <w:tcPr/>
          <w:p>
            <w:pPr>
              <w:pStyle w:val="Compact"/>
              <w:jc w:val="center"/>
            </w:pPr>
            <w:r>
              <w:rPr>
                <w:rFonts w:hint="eastAsia"/>
              </w:rPr>
              <w:t xml:space="preserve">描述</w:t>
            </w:r>
          </w:p>
        </w:tc>
      </w:tr>
      <w:tr>
        <w:tc>
          <w:tcPr/>
          <w:p>
            <w:pPr>
              <w:pStyle w:val="Compact"/>
              <w:jc w:val="left"/>
            </w:pPr>
            <w:r>
              <w:rPr>
                <w:rFonts w:hint="eastAsia"/>
              </w:rPr>
              <w:t xml:space="preserve">缓解</w:t>
            </w:r>
          </w:p>
        </w:tc>
        <w:tc>
          <w:tcPr/>
          <w:p>
            <w:pPr>
              <w:pStyle w:val="Compact"/>
              <w:jc w:val="left"/>
            </w:pPr>
            <w:r>
              <w:t xml:space="preserve">$124/MWh</w:t>
            </w:r>
          </w:p>
        </w:tc>
        <w:tc>
          <w:tcPr/>
          <w:p>
            <w:pPr>
              <w:pStyle w:val="Compact"/>
              <w:jc w:val="center"/>
            </w:pPr>
            <w:r>
              <w:t xml:space="preserve">$130/MWh</w:t>
            </w:r>
          </w:p>
        </w:tc>
        <w:tc>
          <w:tcPr/>
          <w:p>
            <w:pPr>
              <w:pStyle w:val="Compact"/>
              <w:jc w:val="center"/>
            </w:pPr>
            <w:r>
              <w:rPr>
                <w:rFonts w:hint="eastAsia"/>
              </w:rPr>
              <w:t xml:space="preserve">新的大负荷电价方案和数据中心建设放缓</w:t>
            </w:r>
          </w:p>
        </w:tc>
      </w:tr>
      <w:tr>
        <w:tc>
          <w:tcPr/>
          <w:p>
            <w:pPr>
              <w:pStyle w:val="Compact"/>
              <w:jc w:val="left"/>
            </w:pPr>
            <w:r>
              <w:rPr>
                <w:rFonts w:hint="eastAsia"/>
              </w:rPr>
              <w:t xml:space="preserve">管控增长</w:t>
            </w:r>
          </w:p>
        </w:tc>
        <w:tc>
          <w:tcPr/>
          <w:p>
            <w:pPr>
              <w:pStyle w:val="Compact"/>
              <w:jc w:val="left"/>
            </w:pPr>
            <w:r>
              <w:t xml:space="preserve">$145/MWh</w:t>
            </w:r>
          </w:p>
        </w:tc>
        <w:tc>
          <w:tcPr/>
          <w:p>
            <w:pPr>
              <w:pStyle w:val="Compact"/>
              <w:jc w:val="center"/>
            </w:pPr>
            <w:r>
              <w:t xml:space="preserve">$158/MWh</w:t>
            </w:r>
          </w:p>
        </w:tc>
        <w:tc>
          <w:tcPr/>
          <w:p>
            <w:pPr>
              <w:pStyle w:val="Compact"/>
              <w:jc w:val="center"/>
            </w:pPr>
            <w:r>
              <w:rPr>
                <w:rFonts w:hint="eastAsia"/>
              </w:rPr>
              <w:t xml:space="preserve">电网投资在客户间分摊；需求增长温和</w:t>
            </w:r>
          </w:p>
        </w:tc>
      </w:tr>
      <w:tr>
        <w:tc>
          <w:tcPr/>
          <w:p>
            <w:pPr>
              <w:pStyle w:val="Compact"/>
              <w:jc w:val="left"/>
            </w:pPr>
            <w:r>
              <w:rPr>
                <w:rFonts w:hint="eastAsia"/>
              </w:rPr>
              <w:t xml:space="preserve">容量吃紧</w:t>
            </w:r>
          </w:p>
        </w:tc>
        <w:tc>
          <w:tcPr/>
          <w:p>
            <w:pPr>
              <w:pStyle w:val="Compact"/>
              <w:jc w:val="left"/>
            </w:pPr>
            <w:r>
              <w:t xml:space="preserve">$171/MWh</w:t>
            </w:r>
          </w:p>
        </w:tc>
        <w:tc>
          <w:tcPr/>
          <w:p>
            <w:pPr>
              <w:pStyle w:val="Compact"/>
              <w:jc w:val="center"/>
            </w:pPr>
            <w:r>
              <w:t xml:space="preserve">$198/MWh</w:t>
            </w:r>
          </w:p>
        </w:tc>
        <w:tc>
          <w:tcPr/>
          <w:p>
            <w:pPr>
              <w:pStyle w:val="Compact"/>
              <w:jc w:val="center"/>
            </w:pPr>
            <w:r>
              <w:rPr>
                <w:rFonts w:hint="eastAsia"/>
              </w:rPr>
              <w:t xml:space="preserve">负荷快速增加，输电延误，容量费用高</w:t>
            </w:r>
          </w:p>
        </w:tc>
      </w:tr>
      <w:tr>
        <w:tc>
          <w:tcPr/>
          <w:p>
            <w:pPr>
              <w:pStyle w:val="Compact"/>
              <w:jc w:val="left"/>
            </w:pPr>
            <w:r>
              <w:rPr>
                <w:rFonts w:hint="eastAsia"/>
              </w:rPr>
              <w:t xml:space="preserve">波动电网</w:t>
            </w:r>
          </w:p>
        </w:tc>
        <w:tc>
          <w:tcPr/>
          <w:p>
            <w:pPr>
              <w:pStyle w:val="Compact"/>
              <w:jc w:val="left"/>
            </w:pPr>
            <w:r>
              <w:t xml:space="preserve">$135-$190/MWh</w:t>
            </w:r>
          </w:p>
        </w:tc>
        <w:tc>
          <w:tcPr/>
          <w:p>
            <w:pPr>
              <w:pStyle w:val="Compact"/>
              <w:jc w:val="center"/>
            </w:pPr>
            <w:r>
              <w:t xml:space="preserve">$140-$220/MWh</w:t>
            </w:r>
          </w:p>
        </w:tc>
        <w:tc>
          <w:tcPr/>
          <w:p>
            <w:pPr>
              <w:pStyle w:val="Compact"/>
              <w:jc w:val="center"/>
            </w:pPr>
            <w:r>
              <w:rPr>
                <w:rFonts w:hint="eastAsia"/>
              </w:rPr>
              <w:t xml:space="preserve">价格频繁飙升，电价结构变化</w:t>
            </w:r>
          </w:p>
        </w:tc>
      </w:tr>
    </w:tbl>
    <w:p>
      <w:pPr>
        <w:pStyle w:val="BodyText"/>
      </w:pPr>
      <w:r>
        <w:rPr>
          <w:rFonts w:hint="eastAsia"/>
        </w:rPr>
        <w:t xml:space="preserve">天然气预测同样存在不确定性。工程模型使用的到岸价格为每百万英热单位$6.40，每年递增2.5%。财务部门要求在$4、$8和$12水平上进行敏感性分析。可持续发展团队要求加入碳成本情景。运营部门则询问在极端冬季天气期间燃气服务是否会被削减。</w:t>
      </w:r>
    </w:p>
    <w:p>
      <w:pPr>
        <w:pStyle w:val="BodyText"/>
      </w:pPr>
      <w:r>
        <w:rPr>
          <w:rFonts w:hint="eastAsia"/>
        </w:rPr>
        <w:t xml:space="preserve">技术和政策方面的假设同样重要。太阳能和电池投标价格可能会在并网批准前发生变化。税收激励措施可能会被修改。电池性能将取决于循环模式和温度。一种正在开发中的新制造工艺可能将烤箱使用量减少40%——也可能无法获得客户认可。Ridgeway最大的客户正在洽谈一份五年期合同，该合同可能使Hamilton的产量增加18%，但该订单尚未确定。</w:t>
      </w:r>
    </w:p>
    <w:bookmarkEnd w:id="22"/>
    <w:bookmarkStart w:id="23" w:name="表-5.-关键不确定性及可能受影响的决策"/>
    <w:p>
      <w:pPr>
        <w:pStyle w:val="Heading2"/>
      </w:pPr>
      <w:r>
        <w:rPr>
          <w:rFonts w:hint="eastAsia"/>
        </w:rPr>
        <w:t xml:space="preserve">表</w:t>
      </w:r>
      <w:r>
        <w:t xml:space="preserve"> 5. </w:t>
      </w:r>
      <w:r>
        <w:rPr>
          <w:rFonts w:hint="eastAsia"/>
        </w:rPr>
        <w:t xml:space="preserve">关键不确定性及可能受影响的决策</w:t>
      </w:r>
    </w:p>
    <w:tbl>
      <w:tblPr>
        <w:tblStyle w:val="Table"/>
        <w:tblW w:type="pct" w:w="4938"/>
        <w:tblLayout w:type="fixed"/>
        <w:tblLook w:firstRow="1" w:lastRow="0" w:firstColumn="0" w:lastColumn="0" w:noHBand="0" w:noVBand="0" w:val="0020"/>
      </w:tblPr>
      <w:tblGrid>
        <w:gridCol w:w="1672"/>
        <w:gridCol w:w="1721"/>
        <w:gridCol w:w="2164"/>
        <w:gridCol w:w="2262"/>
      </w:tblGrid>
      <w:tr>
        <w:trPr>
          <w:tblHeader w:val="on"/>
        </w:trPr>
        <w:tc>
          <w:tcPr/>
          <w:p>
            <w:pPr>
              <w:pStyle w:val="Compact"/>
              <w:jc w:val="left"/>
            </w:pPr>
            <w:r>
              <w:rPr>
                <w:rFonts w:hint="eastAsia"/>
              </w:rPr>
              <w:t xml:space="preserve">不确定性</w:t>
            </w:r>
          </w:p>
        </w:tc>
        <w:tc>
          <w:tcPr/>
          <w:p>
            <w:pPr>
              <w:pStyle w:val="Compact"/>
              <w:jc w:val="center"/>
            </w:pPr>
            <w:r>
              <w:rPr>
                <w:rFonts w:hint="eastAsia"/>
              </w:rPr>
              <w:t xml:space="preserve">低/替代结果</w:t>
            </w:r>
          </w:p>
        </w:tc>
        <w:tc>
          <w:tcPr/>
          <w:p>
            <w:pPr>
              <w:pStyle w:val="Compact"/>
              <w:jc w:val="center"/>
            </w:pPr>
            <w:r>
              <w:rPr>
                <w:rFonts w:hint="eastAsia"/>
              </w:rPr>
              <w:t xml:space="preserve">高/替代结果</w:t>
            </w:r>
          </w:p>
        </w:tc>
        <w:tc>
          <w:tcPr/>
          <w:p>
            <w:pPr>
              <w:pStyle w:val="Compact"/>
              <w:jc w:val="center"/>
            </w:pPr>
            <w:r>
              <w:rPr>
                <w:rFonts w:hint="eastAsia"/>
              </w:rPr>
              <w:t xml:space="preserve">受影响最大的决策</w:t>
            </w:r>
          </w:p>
        </w:tc>
      </w:tr>
      <w:tr>
        <w:tc>
          <w:tcPr/>
          <w:p>
            <w:pPr>
              <w:pStyle w:val="Compact"/>
              <w:jc w:val="left"/>
            </w:pPr>
            <w:r>
              <w:rPr>
                <w:rFonts w:hint="eastAsia"/>
              </w:rPr>
              <w:t xml:space="preserve">区域电价</w:t>
            </w:r>
          </w:p>
        </w:tc>
        <w:tc>
          <w:tcPr/>
          <w:p>
            <w:pPr>
              <w:pStyle w:val="Compact"/>
              <w:jc w:val="center"/>
            </w:pPr>
            <w:r>
              <w:rPr>
                <w:rFonts w:hint="eastAsia"/>
              </w:rPr>
              <w:t xml:space="preserve">成本趋于稳定</w:t>
            </w:r>
          </w:p>
        </w:tc>
        <w:tc>
          <w:tcPr/>
          <w:p>
            <w:pPr>
              <w:pStyle w:val="Compact"/>
              <w:jc w:val="center"/>
            </w:pPr>
            <w:r>
              <w:rPr>
                <w:rFonts w:hint="eastAsia"/>
              </w:rPr>
              <w:t xml:space="preserve">电价和需量费用大幅上升</w:t>
            </w:r>
          </w:p>
        </w:tc>
        <w:tc>
          <w:tcPr/>
          <w:p>
            <w:pPr>
              <w:pStyle w:val="Compact"/>
              <w:jc w:val="center"/>
            </w:pPr>
            <w:r>
              <w:rPr>
                <w:rFonts w:hint="eastAsia"/>
              </w:rPr>
              <w:t xml:space="preserve">迁址、太阳能、储能、效率</w:t>
            </w:r>
          </w:p>
        </w:tc>
      </w:tr>
      <w:tr>
        <w:tc>
          <w:tcPr/>
          <w:p>
            <w:pPr>
              <w:pStyle w:val="Compact"/>
              <w:jc w:val="left"/>
            </w:pPr>
            <w:r>
              <w:rPr>
                <w:rFonts w:hint="eastAsia"/>
              </w:rPr>
              <w:t xml:space="preserve">天然气价格</w:t>
            </w:r>
          </w:p>
        </w:tc>
        <w:tc>
          <w:tcPr/>
          <w:p>
            <w:pPr>
              <w:pStyle w:val="Compact"/>
              <w:jc w:val="center"/>
            </w:pPr>
            <w:r>
              <w:rPr>
                <w:rFonts w:hint="eastAsia"/>
              </w:rPr>
              <w:t xml:space="preserve">供应充足；价格温和</w:t>
            </w:r>
          </w:p>
        </w:tc>
        <w:tc>
          <w:tcPr/>
          <w:p>
            <w:pPr>
              <w:pStyle w:val="Compact"/>
              <w:jc w:val="center"/>
            </w:pPr>
            <w:r>
              <w:rPr>
                <w:rFonts w:hint="eastAsia"/>
              </w:rPr>
              <w:t xml:space="preserve">出口需求或中断推高价格</w:t>
            </w:r>
          </w:p>
        </w:tc>
        <w:tc>
          <w:tcPr/>
          <w:p>
            <w:pPr>
              <w:pStyle w:val="Compact"/>
              <w:jc w:val="center"/>
            </w:pPr>
            <w:r>
              <w:rPr>
                <w:rFonts w:hint="eastAsia"/>
              </w:rPr>
              <w:t xml:space="preserve">工艺转换、热电联产（CHP）</w:t>
            </w:r>
          </w:p>
        </w:tc>
      </w:tr>
      <w:tr>
        <w:tc>
          <w:tcPr/>
          <w:p>
            <w:pPr>
              <w:pStyle w:val="Compact"/>
              <w:jc w:val="left"/>
            </w:pPr>
            <w:r>
              <w:rPr>
                <w:rFonts w:hint="eastAsia"/>
              </w:rPr>
              <w:t xml:space="preserve">生产需求</w:t>
            </w:r>
          </w:p>
        </w:tc>
        <w:tc>
          <w:tcPr/>
          <w:p>
            <w:pPr>
              <w:pStyle w:val="Compact"/>
              <w:jc w:val="center"/>
            </w:pPr>
            <w:r>
              <w:rPr>
                <w:rFonts w:hint="eastAsia"/>
              </w:rPr>
              <w:t xml:space="preserve">持平或下降</w:t>
            </w:r>
          </w:p>
        </w:tc>
        <w:tc>
          <w:tcPr/>
          <w:p>
            <w:pPr>
              <w:pStyle w:val="Compact"/>
              <w:jc w:val="center"/>
            </w:pPr>
            <w:r>
              <w:rPr>
                <w:rFonts w:hint="eastAsia"/>
              </w:rPr>
              <w:t xml:space="preserve">获得重大客户订单；增长18%</w:t>
            </w:r>
          </w:p>
        </w:tc>
        <w:tc>
          <w:tcPr/>
          <w:p>
            <w:pPr>
              <w:pStyle w:val="Compact"/>
              <w:jc w:val="center"/>
            </w:pPr>
            <w:r>
              <w:rPr>
                <w:rFonts w:hint="eastAsia"/>
              </w:rPr>
              <w:t xml:space="preserve">工厂规模、迁址、太阳能规模</w:t>
            </w:r>
          </w:p>
        </w:tc>
      </w:tr>
      <w:tr>
        <w:tc>
          <w:tcPr/>
          <w:p>
            <w:pPr>
              <w:pStyle w:val="Compact"/>
              <w:jc w:val="left"/>
            </w:pPr>
            <w:r>
              <w:rPr>
                <w:rFonts w:hint="eastAsia"/>
              </w:rPr>
              <w:t xml:space="preserve">客户排放要求</w:t>
            </w:r>
          </w:p>
        </w:tc>
        <w:tc>
          <w:tcPr/>
          <w:p>
            <w:pPr>
              <w:pStyle w:val="Compact"/>
              <w:jc w:val="center"/>
            </w:pPr>
            <w:r>
              <w:rPr>
                <w:rFonts w:hint="eastAsia"/>
              </w:rPr>
              <w:t xml:space="preserve">自愿报告</w:t>
            </w:r>
          </w:p>
        </w:tc>
        <w:tc>
          <w:tcPr/>
          <w:p>
            <w:pPr>
              <w:pStyle w:val="Compact"/>
              <w:jc w:val="center"/>
            </w:pPr>
            <w:r>
              <w:rPr>
                <w:rFonts w:hint="eastAsia"/>
              </w:rPr>
              <w:t xml:space="preserve">强制性采购门槛</w:t>
            </w:r>
          </w:p>
        </w:tc>
        <w:tc>
          <w:tcPr/>
          <w:p>
            <w:pPr>
              <w:pStyle w:val="Compact"/>
              <w:jc w:val="center"/>
            </w:pPr>
            <w:r>
              <w:rPr>
                <w:rFonts w:hint="eastAsia"/>
              </w:rPr>
              <w:t xml:space="preserve">天然气、迁址、可再生能源采购</w:t>
            </w:r>
          </w:p>
        </w:tc>
      </w:tr>
      <w:tr>
        <w:tc>
          <w:tcPr/>
          <w:p>
            <w:pPr>
              <w:pStyle w:val="Compact"/>
              <w:jc w:val="left"/>
            </w:pPr>
            <w:r>
              <w:rPr>
                <w:rFonts w:hint="eastAsia"/>
              </w:rPr>
              <w:t xml:space="preserve">并网时间</w:t>
            </w:r>
          </w:p>
        </w:tc>
        <w:tc>
          <w:tcPr/>
          <w:p>
            <w:pPr>
              <w:pStyle w:val="Compact"/>
              <w:jc w:val="center"/>
            </w:pPr>
            <w:r>
              <w:rPr>
                <w:rFonts w:hint="eastAsia"/>
              </w:rPr>
              <w:t xml:space="preserve">18个月</w:t>
            </w:r>
          </w:p>
        </w:tc>
        <w:tc>
          <w:tcPr/>
          <w:p>
            <w:pPr>
              <w:pStyle w:val="Compact"/>
              <w:jc w:val="center"/>
            </w:pPr>
            <w:r>
              <w:rPr>
                <w:rFonts w:hint="eastAsia"/>
              </w:rPr>
              <w:t xml:space="preserve">4年以上及大规模升级成本</w:t>
            </w:r>
          </w:p>
        </w:tc>
        <w:tc>
          <w:tcPr/>
          <w:p>
            <w:pPr>
              <w:pStyle w:val="Compact"/>
              <w:jc w:val="center"/>
            </w:pPr>
            <w:r>
              <w:rPr>
                <w:rFonts w:hint="eastAsia"/>
              </w:rPr>
              <w:t xml:space="preserve">太阳能与电池</w:t>
            </w:r>
          </w:p>
        </w:tc>
      </w:tr>
      <w:tr>
        <w:tc>
          <w:tcPr/>
          <w:p>
            <w:pPr>
              <w:pStyle w:val="Compact"/>
              <w:jc w:val="left"/>
            </w:pPr>
            <w:r>
              <w:rPr>
                <w:rFonts w:hint="eastAsia"/>
              </w:rPr>
              <w:t xml:space="preserve">新工艺技术</w:t>
            </w:r>
          </w:p>
        </w:tc>
        <w:tc>
          <w:tcPr/>
          <w:p>
            <w:pPr>
              <w:pStyle w:val="Compact"/>
              <w:jc w:val="center"/>
            </w:pPr>
            <w:r>
              <w:rPr>
                <w:rFonts w:hint="eastAsia"/>
              </w:rPr>
              <w:t xml:space="preserve">成功通过验证</w:t>
            </w:r>
          </w:p>
        </w:tc>
        <w:tc>
          <w:tcPr/>
          <w:p>
            <w:pPr>
              <w:pStyle w:val="Compact"/>
              <w:jc w:val="center"/>
            </w:pPr>
            <w:r>
              <w:rPr>
                <w:rFonts w:hint="eastAsia"/>
              </w:rPr>
              <w:t xml:space="preserve">延误或技术失败</w:t>
            </w:r>
          </w:p>
        </w:tc>
        <w:tc>
          <w:tcPr/>
          <w:p>
            <w:pPr>
              <w:pStyle w:val="Compact"/>
              <w:jc w:val="center"/>
            </w:pPr>
            <w:r>
              <w:rPr>
                <w:rFonts w:hint="eastAsia"/>
              </w:rPr>
              <w:t xml:space="preserve">烤箱转换、产能规划</w:t>
            </w:r>
          </w:p>
        </w:tc>
      </w:tr>
      <w:tr>
        <w:tc>
          <w:tcPr/>
          <w:p>
            <w:pPr>
              <w:pStyle w:val="Compact"/>
              <w:jc w:val="left"/>
            </w:pPr>
            <w:r>
              <w:rPr>
                <w:rFonts w:hint="eastAsia"/>
              </w:rPr>
              <w:t xml:space="preserve">公用事业停电风险</w:t>
            </w:r>
          </w:p>
        </w:tc>
        <w:tc>
          <w:tcPr/>
          <w:p>
            <w:pPr>
              <w:pStyle w:val="Compact"/>
              <w:jc w:val="center"/>
            </w:pPr>
            <w:r>
              <w:rPr>
                <w:rFonts w:hint="eastAsia"/>
              </w:rPr>
              <w:t xml:space="preserve">历史可靠性持续保持</w:t>
            </w:r>
          </w:p>
        </w:tc>
        <w:tc>
          <w:tcPr/>
          <w:p>
            <w:pPr>
              <w:pStyle w:val="Compact"/>
              <w:jc w:val="center"/>
            </w:pPr>
            <w:r>
              <w:rPr>
                <w:rFonts w:hint="eastAsia"/>
              </w:rPr>
              <w:t xml:space="preserve">电网拥堵增加中断次数</w:t>
            </w:r>
          </w:p>
        </w:tc>
        <w:tc>
          <w:tcPr/>
          <w:p>
            <w:pPr>
              <w:pStyle w:val="Compact"/>
              <w:jc w:val="center"/>
            </w:pPr>
            <w:r>
              <w:rPr>
                <w:rFonts w:hint="eastAsia"/>
              </w:rPr>
              <w:t xml:space="preserve">电池、微电网、迁址</w:t>
            </w:r>
          </w:p>
        </w:tc>
      </w:tr>
    </w:tbl>
    <w:bookmarkEnd w:id="23"/>
    <w:bookmarkEnd w:id="24"/>
    <w:bookmarkStart w:id="25" w:name="在承诺之前先学习"/>
    <w:p>
      <w:pPr>
        <w:pStyle w:val="Heading1"/>
      </w:pPr>
      <w:r>
        <w:rPr>
          <w:rFonts w:hint="eastAsia"/>
        </w:rPr>
        <w:t xml:space="preserve">在承诺之前先学习</w:t>
      </w:r>
    </w:p>
    <w:p>
      <w:pPr>
        <w:pStyle w:val="FirstParagraph"/>
      </w:pPr>
      <w:r>
        <w:rPr>
          <w:rFonts w:hint="eastAsia"/>
        </w:rPr>
        <w:t xml:space="preserve">Marquez建议Ridgeway将产生信息的行动与不可逆转地承诺公司的行动区分开来。对生产线进行分项计量、协商电价方案选项、开展屋顶和并网研究、测试自动化峰值控制以及转换一台小型烤箱，都可以揭示有用的信息。在另一个州获取土地期权，可以在不批准建设的情况下保留迁址备选方案。</w:t>
      </w:r>
    </w:p>
    <w:p>
      <w:pPr>
        <w:pStyle w:val="BodyText"/>
      </w:pPr>
      <w:r>
        <w:rPr>
          <w:rFonts w:hint="eastAsia"/>
        </w:rPr>
        <w:t xml:space="preserve">然而，即使是学习本身也是有成本的。一项全面的工程和选址项目估计需要18个月、耗资$6.8</w:t>
      </w:r>
      <w:r>
        <w:t xml:space="preserve"> </w:t>
      </w:r>
      <w:r>
        <w:rPr>
          <w:rFonts w:hint="eastAsia"/>
        </w:rPr>
        <w:t xml:space="preserve">million。太阳能开发商要求支付定金以锁定价格。最具吸引力的迁址场地仅会再保留六个月。公用事业公司的并网排队队列正在增长。等待确定性本身可能会缩小Ridgeway的选择范围。</w:t>
      </w:r>
    </w:p>
    <w:bookmarkEnd w:id="25"/>
    <w:bookmarkStart w:id="27" w:name="拟议的调查方案"/>
    <w:p>
      <w:pPr>
        <w:pStyle w:val="Heading1"/>
      </w:pPr>
      <w:r>
        <w:rPr>
          <w:rFonts w:hint="eastAsia"/>
        </w:rPr>
        <w:t xml:space="preserve">拟议的调查方案</w:t>
      </w:r>
    </w:p>
    <w:p>
      <w:pPr>
        <w:pStyle w:val="FirstParagraph"/>
      </w:pPr>
      <w:r>
        <w:rPr>
          <w:rFonts w:hint="eastAsia"/>
        </w:rPr>
        <w:t xml:space="preserve">高管委员会汇总了一份拟议的工作方案。董事会可以全部批准、选择部分批准，或要求管理层重新设计该方案。</w:t>
      </w:r>
    </w:p>
    <w:bookmarkStart w:id="26" w:name="表-6.-拟议的调查与试点项目"/>
    <w:p>
      <w:pPr>
        <w:pStyle w:val="Heading2"/>
      </w:pPr>
      <w:r>
        <w:rPr>
          <w:rFonts w:hint="eastAsia"/>
        </w:rPr>
        <w:t xml:space="preserve">表</w:t>
      </w:r>
      <w:r>
        <w:t xml:space="preserve"> 6. </w:t>
      </w:r>
      <w:r>
        <w:rPr>
          <w:rFonts w:hint="eastAsia"/>
        </w:rPr>
        <w:t xml:space="preserve">拟议的调查与试点项目</w:t>
      </w:r>
    </w:p>
    <w:tbl>
      <w:tblPr>
        <w:tblStyle w:val="Table"/>
        <w:tblW w:type="pct" w:w="4943"/>
        <w:tblLayout w:type="fixed"/>
        <w:tblLook w:firstRow="1" w:lastRow="0" w:firstColumn="0" w:lastColumn="0" w:noHBand="0" w:noVBand="0" w:val="0020"/>
      </w:tblPr>
      <w:tblGrid>
        <w:gridCol w:w="1866"/>
        <w:gridCol w:w="455"/>
        <w:gridCol w:w="819"/>
        <w:gridCol w:w="3049"/>
        <w:gridCol w:w="1638"/>
      </w:tblGrid>
      <w:tr>
        <w:trPr>
          <w:tblHeader w:val="on"/>
        </w:trPr>
        <w:tc>
          <w:tcPr/>
          <w:p>
            <w:pPr>
              <w:pStyle w:val="Compact"/>
              <w:jc w:val="left"/>
            </w:pPr>
            <w:r>
              <w:rPr>
                <w:rFonts w:hint="eastAsia"/>
              </w:rPr>
              <w:t xml:space="preserve">项目</w:t>
            </w:r>
          </w:p>
        </w:tc>
        <w:tc>
          <w:tcPr/>
          <w:p>
            <w:pPr>
              <w:pStyle w:val="Compact"/>
              <w:jc w:val="center"/>
            </w:pPr>
            <w:r>
              <w:rPr>
                <w:rFonts w:hint="eastAsia"/>
              </w:rPr>
              <w:t xml:space="preserve">成本</w:t>
            </w:r>
          </w:p>
        </w:tc>
        <w:tc>
          <w:tcPr/>
          <w:p>
            <w:pPr>
              <w:pStyle w:val="Compact"/>
              <w:jc w:val="center"/>
            </w:pPr>
            <w:r>
              <w:rPr>
                <w:rFonts w:hint="eastAsia"/>
              </w:rPr>
              <w:t xml:space="preserve">时间</w:t>
            </w:r>
          </w:p>
        </w:tc>
        <w:tc>
          <w:tcPr/>
          <w:p>
            <w:pPr>
              <w:pStyle w:val="Compact"/>
              <w:jc w:val="center"/>
            </w:pPr>
            <w:r>
              <w:rPr>
                <w:rFonts w:hint="eastAsia"/>
              </w:rPr>
              <w:t xml:space="preserve">主要学习目标</w:t>
            </w:r>
          </w:p>
        </w:tc>
        <w:tc>
          <w:tcPr/>
          <w:p>
            <w:pPr>
              <w:pStyle w:val="Compact"/>
              <w:jc w:val="center"/>
            </w:pPr>
            <w:r>
              <w:rPr>
                <w:rFonts w:hint="eastAsia"/>
              </w:rPr>
              <w:t xml:space="preserve">可能产生的承诺</w:t>
            </w:r>
          </w:p>
        </w:tc>
      </w:tr>
      <w:tr>
        <w:tc>
          <w:tcPr/>
          <w:p>
            <w:pPr>
              <w:pStyle w:val="Compact"/>
              <w:jc w:val="left"/>
            </w:pPr>
            <w:r>
              <w:rPr>
                <w:rFonts w:hint="eastAsia"/>
              </w:rPr>
              <w:t xml:space="preserve">区间数据与工艺能耗研究</w:t>
            </w:r>
          </w:p>
        </w:tc>
        <w:tc>
          <w:tcPr/>
          <w:p>
            <w:pPr>
              <w:pStyle w:val="Compact"/>
              <w:jc w:val="center"/>
            </w:pPr>
            <w:r>
              <w:t xml:space="preserve">$0.55M</w:t>
            </w:r>
          </w:p>
        </w:tc>
        <w:tc>
          <w:tcPr/>
          <w:p>
            <w:pPr>
              <w:pStyle w:val="Compact"/>
              <w:jc w:val="center"/>
            </w:pPr>
            <w:r>
              <w:rPr>
                <w:rFonts w:hint="eastAsia"/>
              </w:rPr>
              <w:t xml:space="preserve">4个月</w:t>
            </w:r>
          </w:p>
        </w:tc>
        <w:tc>
          <w:tcPr/>
          <w:p>
            <w:pPr>
              <w:pStyle w:val="Compact"/>
              <w:jc w:val="center"/>
            </w:pPr>
            <w:r>
              <w:rPr>
                <w:rFonts w:hint="eastAsia"/>
              </w:rPr>
              <w:t xml:space="preserve">识别负荷、峰值、灵活性和可避免的能耗</w:t>
            </w:r>
          </w:p>
        </w:tc>
        <w:tc>
          <w:tcPr/>
          <w:p>
            <w:pPr>
              <w:pStyle w:val="Compact"/>
              <w:jc w:val="center"/>
            </w:pPr>
            <w:r>
              <w:rPr>
                <w:rFonts w:hint="eastAsia"/>
              </w:rPr>
              <w:t xml:space="preserve">极小</w:t>
            </w:r>
          </w:p>
        </w:tc>
      </w:tr>
      <w:tr>
        <w:tc>
          <w:tcPr/>
          <w:p>
            <w:pPr>
              <w:pStyle w:val="Compact"/>
              <w:jc w:val="left"/>
            </w:pPr>
            <w:r>
              <w:rPr>
                <w:rFonts w:hint="eastAsia"/>
              </w:rPr>
              <w:t xml:space="preserve">生产调度试点</w:t>
            </w:r>
          </w:p>
        </w:tc>
        <w:tc>
          <w:tcPr/>
          <w:p>
            <w:pPr>
              <w:pStyle w:val="Compact"/>
              <w:jc w:val="center"/>
            </w:pPr>
            <w:r>
              <w:t xml:space="preserve">$0.35M</w:t>
            </w:r>
          </w:p>
        </w:tc>
        <w:tc>
          <w:tcPr/>
          <w:p>
            <w:pPr>
              <w:pStyle w:val="Compact"/>
              <w:jc w:val="center"/>
            </w:pPr>
            <w:r>
              <w:rPr>
                <w:rFonts w:hint="eastAsia"/>
              </w:rPr>
              <w:t xml:space="preserve">6个月</w:t>
            </w:r>
          </w:p>
        </w:tc>
        <w:tc>
          <w:tcPr/>
          <w:p>
            <w:pPr>
              <w:pStyle w:val="Compact"/>
              <w:jc w:val="center"/>
            </w:pPr>
            <w:r>
              <w:rPr>
                <w:rFonts w:hint="eastAsia"/>
              </w:rPr>
              <w:t xml:space="preserve">衡量电力峰值与交付绩效之间的权衡</w:t>
            </w:r>
          </w:p>
        </w:tc>
        <w:tc>
          <w:tcPr/>
          <w:p>
            <w:pPr>
              <w:pStyle w:val="Compact"/>
              <w:jc w:val="center"/>
            </w:pPr>
            <w:r>
              <w:rPr>
                <w:rFonts w:hint="eastAsia"/>
              </w:rPr>
              <w:t xml:space="preserve">运营中断</w:t>
            </w:r>
          </w:p>
        </w:tc>
      </w:tr>
      <w:tr>
        <w:tc>
          <w:tcPr/>
          <w:p>
            <w:pPr>
              <w:pStyle w:val="Compact"/>
              <w:jc w:val="left"/>
            </w:pPr>
            <w:r>
              <w:rPr>
                <w:rFonts w:hint="eastAsia"/>
              </w:rPr>
              <w:t xml:space="preserve">太阳能/并网工程研究</w:t>
            </w:r>
          </w:p>
        </w:tc>
        <w:tc>
          <w:tcPr/>
          <w:p>
            <w:pPr>
              <w:pStyle w:val="Compact"/>
              <w:jc w:val="center"/>
            </w:pPr>
            <w:r>
              <w:t xml:space="preserve">$0.80M</w:t>
            </w:r>
          </w:p>
        </w:tc>
        <w:tc>
          <w:tcPr/>
          <w:p>
            <w:pPr>
              <w:pStyle w:val="Compact"/>
              <w:jc w:val="center"/>
            </w:pPr>
            <w:r>
              <w:rPr>
                <w:rFonts w:hint="eastAsia"/>
              </w:rPr>
              <w:t xml:space="preserve">9-18个月</w:t>
            </w:r>
          </w:p>
        </w:tc>
        <w:tc>
          <w:tcPr/>
          <w:p>
            <w:pPr>
              <w:pStyle w:val="Compact"/>
              <w:jc w:val="center"/>
            </w:pPr>
            <w:r>
              <w:rPr>
                <w:rFonts w:hint="eastAsia"/>
              </w:rPr>
              <w:t xml:space="preserve">确认可行规模、升级成本和进度</w:t>
            </w:r>
          </w:p>
        </w:tc>
        <w:tc>
          <w:tcPr/>
          <w:p>
            <w:pPr>
              <w:pStyle w:val="Compact"/>
              <w:jc w:val="center"/>
            </w:pPr>
            <w:r>
              <w:rPr>
                <w:rFonts w:hint="eastAsia"/>
              </w:rPr>
              <w:t xml:space="preserve">定金及排队位置</w:t>
            </w:r>
          </w:p>
        </w:tc>
      </w:tr>
      <w:tr>
        <w:tc>
          <w:tcPr/>
          <w:p>
            <w:pPr>
              <w:pStyle w:val="Compact"/>
              <w:jc w:val="left"/>
            </w:pPr>
            <w:r>
              <w:t xml:space="preserve">2 MW / 8 MWh </w:t>
            </w:r>
            <w:r>
              <w:rPr>
                <w:rFonts w:hint="eastAsia"/>
              </w:rPr>
              <w:t xml:space="preserve">电池试点</w:t>
            </w:r>
          </w:p>
        </w:tc>
        <w:tc>
          <w:tcPr/>
          <w:p>
            <w:pPr>
              <w:pStyle w:val="Compact"/>
              <w:jc w:val="center"/>
            </w:pPr>
            <w:r>
              <w:t xml:space="preserve">$4.2M</w:t>
            </w:r>
          </w:p>
        </w:tc>
        <w:tc>
          <w:tcPr/>
          <w:p>
            <w:pPr>
              <w:pStyle w:val="Compact"/>
              <w:jc w:val="center"/>
            </w:pPr>
            <w:r>
              <w:rPr>
                <w:rFonts w:hint="eastAsia"/>
              </w:rPr>
              <w:t xml:space="preserve">12个月</w:t>
            </w:r>
          </w:p>
        </w:tc>
        <w:tc>
          <w:tcPr/>
          <w:p>
            <w:pPr>
              <w:pStyle w:val="Compact"/>
              <w:jc w:val="center"/>
            </w:pPr>
            <w:r>
              <w:rPr>
                <w:rFonts w:hint="eastAsia"/>
              </w:rPr>
              <w:t xml:space="preserve">测试峰值预测、控制、退化和韧性</w:t>
            </w:r>
          </w:p>
        </w:tc>
        <w:tc>
          <w:tcPr/>
          <w:p>
            <w:pPr>
              <w:pStyle w:val="Compact"/>
              <w:jc w:val="center"/>
            </w:pPr>
            <w:r>
              <w:rPr>
                <w:rFonts w:hint="eastAsia"/>
              </w:rPr>
              <w:t xml:space="preserve">转售价值不确定的设备</w:t>
            </w:r>
          </w:p>
        </w:tc>
      </w:tr>
      <w:tr>
        <w:tc>
          <w:tcPr/>
          <w:p>
            <w:pPr>
              <w:pStyle w:val="Compact"/>
              <w:jc w:val="left"/>
            </w:pPr>
            <w:r>
              <w:rPr>
                <w:rFonts w:hint="eastAsia"/>
              </w:rPr>
              <w:t xml:space="preserve">单台烤箱天然气转换</w:t>
            </w:r>
          </w:p>
        </w:tc>
        <w:tc>
          <w:tcPr/>
          <w:p>
            <w:pPr>
              <w:pStyle w:val="Compact"/>
              <w:jc w:val="center"/>
            </w:pPr>
            <w:r>
              <w:t xml:space="preserve">$1.6M</w:t>
            </w:r>
          </w:p>
        </w:tc>
        <w:tc>
          <w:tcPr/>
          <w:p>
            <w:pPr>
              <w:pStyle w:val="Compact"/>
              <w:jc w:val="center"/>
            </w:pPr>
            <w:r>
              <w:rPr>
                <w:rFonts w:hint="eastAsia"/>
              </w:rPr>
              <w:t xml:space="preserve">12-18个月</w:t>
            </w:r>
          </w:p>
        </w:tc>
        <w:tc>
          <w:tcPr/>
          <w:p>
            <w:pPr>
              <w:pStyle w:val="Compact"/>
              <w:jc w:val="center"/>
            </w:pPr>
            <w:r>
              <w:rPr>
                <w:rFonts w:hint="eastAsia"/>
              </w:rPr>
              <w:t xml:space="preserve">验证产品质量、燃料节省、许可和排放情况</w:t>
            </w:r>
          </w:p>
        </w:tc>
        <w:tc>
          <w:tcPr/>
          <w:p>
            <w:pPr>
              <w:pStyle w:val="Compact"/>
              <w:jc w:val="center"/>
            </w:pPr>
            <w:r>
              <w:rPr>
                <w:rFonts w:hint="eastAsia"/>
              </w:rPr>
              <w:t xml:space="preserve">特定工艺资产</w:t>
            </w:r>
          </w:p>
        </w:tc>
      </w:tr>
      <w:tr>
        <w:tc>
          <w:tcPr/>
          <w:p>
            <w:pPr>
              <w:pStyle w:val="Compact"/>
              <w:jc w:val="left"/>
            </w:pPr>
            <w:r>
              <w:rPr>
                <w:rFonts w:hint="eastAsia"/>
              </w:rPr>
              <w:t xml:space="preserve">备选选址尽职调查</w:t>
            </w:r>
          </w:p>
        </w:tc>
        <w:tc>
          <w:tcPr/>
          <w:p>
            <w:pPr>
              <w:pStyle w:val="Compact"/>
              <w:jc w:val="center"/>
            </w:pPr>
            <w:r>
              <w:t xml:space="preserve">$1.1M</w:t>
            </w:r>
          </w:p>
        </w:tc>
        <w:tc>
          <w:tcPr/>
          <w:p>
            <w:pPr>
              <w:pStyle w:val="Compact"/>
              <w:jc w:val="center"/>
            </w:pPr>
            <w:r>
              <w:rPr>
                <w:rFonts w:hint="eastAsia"/>
              </w:rPr>
              <w:t xml:space="preserve">6个月</w:t>
            </w:r>
          </w:p>
        </w:tc>
        <w:tc>
          <w:tcPr/>
          <w:p>
            <w:pPr>
              <w:pStyle w:val="Compact"/>
              <w:jc w:val="center"/>
            </w:pPr>
            <w:r>
              <w:rPr>
                <w:rFonts w:hint="eastAsia"/>
              </w:rPr>
              <w:t xml:space="preserve">验证公用事业服务、劳动力、激励措施、物流和审批</w:t>
            </w:r>
          </w:p>
        </w:tc>
        <w:tc>
          <w:tcPr/>
          <w:p>
            <w:pPr>
              <w:pStyle w:val="Compact"/>
              <w:jc w:val="center"/>
            </w:pPr>
            <w:r>
              <w:rPr>
                <w:rFonts w:hint="eastAsia"/>
              </w:rPr>
              <w:t xml:space="preserve">暗示可能迁址</w:t>
            </w:r>
          </w:p>
        </w:tc>
      </w:tr>
      <w:tr>
        <w:tc>
          <w:tcPr/>
          <w:p>
            <w:pPr>
              <w:pStyle w:val="Compact"/>
              <w:jc w:val="left"/>
            </w:pPr>
            <w:r>
              <w:rPr>
                <w:rFonts w:hint="eastAsia"/>
              </w:rPr>
              <w:t xml:space="preserve">Riverbend土地期权</w:t>
            </w:r>
          </w:p>
        </w:tc>
        <w:tc>
          <w:tcPr/>
          <w:p>
            <w:pPr>
              <w:pStyle w:val="Compact"/>
              <w:jc w:val="center"/>
            </w:pPr>
            <w:r>
              <w:t xml:space="preserve">$2.5M</w:t>
            </w:r>
          </w:p>
        </w:tc>
        <w:tc>
          <w:tcPr/>
          <w:p>
            <w:pPr>
              <w:pStyle w:val="Compact"/>
              <w:jc w:val="center"/>
            </w:pPr>
            <w:r>
              <w:rPr>
                <w:rFonts w:hint="eastAsia"/>
              </w:rPr>
              <w:t xml:space="preserve">18个月期权</w:t>
            </w:r>
          </w:p>
        </w:tc>
        <w:tc>
          <w:tcPr/>
          <w:p>
            <w:pPr>
              <w:pStyle w:val="Compact"/>
              <w:jc w:val="center"/>
            </w:pPr>
            <w:r>
              <w:rPr>
                <w:rFonts w:hint="eastAsia"/>
              </w:rPr>
              <w:t xml:space="preserve">在分析持续进行期间保留首选场地</w:t>
            </w:r>
          </w:p>
        </w:tc>
        <w:tc>
          <w:tcPr/>
          <w:p>
            <w:pPr>
              <w:pStyle w:val="Compact"/>
              <w:jc w:val="center"/>
            </w:pPr>
            <w:r>
              <w:rPr>
                <w:rFonts w:hint="eastAsia"/>
              </w:rPr>
              <w:t xml:space="preserve">期权费不可退还</w:t>
            </w:r>
          </w:p>
        </w:tc>
      </w:tr>
    </w:tbl>
    <w:p>
      <w:pPr>
        <w:pStyle w:val="BodyText"/>
      </w:pPr>
      <w:r>
        <w:rPr>
          <w:rFonts w:hint="eastAsia"/>
        </w:rPr>
        <w:t xml:space="preserve">这些项目并非相互独立。调度试点可能会降低电池的表观价值。新型低温工艺若成功获得资质认证，可能会同时降低电力消耗，并削弱天然气转换方案的理由。迁址决定可能会使Hamilton的重大投资变成沉没资产。另一方面，因可能迁址而推迟效率项目，可能会导致数年可避免的成本损失。</w:t>
      </w:r>
    </w:p>
    <w:bookmarkEnd w:id="26"/>
    <w:bookmarkEnd w:id="27"/>
    <w:bookmarkStart w:id="28" w:name="组织决策流程"/>
    <w:p>
      <w:pPr>
        <w:pStyle w:val="Heading1"/>
      </w:pPr>
      <w:r>
        <w:rPr>
          <w:rFonts w:hint="eastAsia"/>
        </w:rPr>
        <w:t xml:space="preserve">组织决策流程</w:t>
      </w:r>
    </w:p>
    <w:p>
      <w:pPr>
        <w:pStyle w:val="FirstParagraph"/>
      </w:pPr>
      <w:r>
        <w:rPr>
          <w:rFonts w:hint="eastAsia"/>
        </w:rPr>
        <w:t xml:space="preserve">Marquez考虑了一个包含四个关口的分阶段流程。第一阶段将诊断电费上涨的原因，并建立一个共同的基准。第二阶段将根据技术、监管和运营可行性对备选方案进行筛选。第三阶段将批准试点项目并保留选定的选项。第四阶段将对长期投资组合或制造网络转型进行资本投入。</w:t>
      </w:r>
    </w:p>
    <w:p>
      <w:pPr>
        <w:pStyle w:val="BodyText"/>
      </w:pPr>
      <w:r>
        <w:rPr>
          <w:rFonts w:hint="eastAsia"/>
        </w:rPr>
        <w:t xml:space="preserve">多位董事会成员不喜欢这种表面上的复杂性。一位认为Ridgeway应尽快迁往低成本的州。另一位则认为制造企业通常会高估迁址节省，低估中断影响。第三位问道，既然开发商可以为太阳能资产提供融资，Ridgeway为什么要自己拥有这些资产。董事长希望得到一份易于理解、可衡量并与明确的未来触发条件相关联的建议。</w:t>
      </w:r>
    </w:p>
    <w:bookmarkEnd w:id="28"/>
    <w:bookmarkStart w:id="29" w:name="会议前夜"/>
    <w:p>
      <w:pPr>
        <w:pStyle w:val="Heading1"/>
      </w:pPr>
      <w:r>
        <w:rPr>
          <w:rFonts w:hint="eastAsia"/>
        </w:rPr>
        <w:t xml:space="preserve">会议前夜</w:t>
      </w:r>
    </w:p>
    <w:p>
      <w:pPr>
        <w:pStyle w:val="FirstParagraph"/>
      </w:pPr>
      <w:r>
        <w:rPr>
          <w:rFonts w:hint="eastAsia"/>
        </w:rPr>
        <w:t xml:space="preserve">周三晚上，Marquez审阅了最新的报告。它包含超过70张幻灯片，却没有对各备选方案给出单一排名。财务模型在其基本假设下，倾向于先做效率提升，再进行部分天然气转换。韧性分析倾向于太阳能加储能。可持续发展分析倾向于效率提升、可再生能源采购和选择性电气化。网络模型倾向于保留Hamilton，除非高电价情景持续至少七年。房地产顾问警告称，Riverbend方案可能在下次董事会会议之后就不再可用。</w:t>
      </w:r>
    </w:p>
    <w:p>
      <w:pPr>
        <w:pStyle w:val="BodyText"/>
      </w:pPr>
      <w:r>
        <w:rPr>
          <w:rFonts w:hint="eastAsia"/>
        </w:rPr>
        <w:t xml:space="preserve">Marquez明白为什么这些分析结果各不相同：每个团队都在解决问题的不同版本。她不清楚的是，董事会现在是应该要求一份单一的综合建议，还是应该批准一系列旨在随时间推移逐步厘清决策的调查。</w:t>
      </w:r>
    </w:p>
    <w:p>
      <w:pPr>
        <w:pStyle w:val="BodyText"/>
      </w:pPr>
      <w:r>
        <w:rPr>
          <w:rFonts w:hint="eastAsia"/>
        </w:rPr>
        <w:t xml:space="preserve">晚上10:14，首席执行官发出了最后一条信息：'明天，我需要你告诉我们应该调查什么，应该立即采取什么行动，以及什么条件会促使我们改变方向。'</w:t>
      </w:r>
    </w:p>
    <w:bookmarkEnd w:id="29"/>
    <w:bookmarkStart w:id="30" w:name="讨论题"/>
    <w:p>
      <w:pPr>
        <w:pStyle w:val="Heading1"/>
      </w:pPr>
      <w:r>
        <w:rPr>
          <w:rFonts w:hint="eastAsia"/>
        </w:rPr>
        <w:t xml:space="preserve">讨论题</w:t>
      </w:r>
    </w:p>
    <w:p>
      <w:pPr>
        <w:numPr>
          <w:ilvl w:val="0"/>
          <w:numId w:val="1002"/>
        </w:numPr>
      </w:pPr>
      <w:r>
        <w:rPr>
          <w:rFonts w:hint="eastAsia"/>
        </w:rPr>
        <w:t xml:space="preserve">Ridgeway应该如何定义这一决策问题？它主要是一个能源采购问题、工艺设计问题、韧性问题，还是制造网络问题？</w:t>
      </w:r>
    </w:p>
    <w:p>
      <w:pPr>
        <w:numPr>
          <w:ilvl w:val="0"/>
          <w:numId w:val="1002"/>
        </w:numPr>
      </w:pPr>
      <w:r>
        <w:rPr>
          <w:rFonts w:hint="eastAsia"/>
        </w:rPr>
        <w:t xml:space="preserve">管理层应该使用哪些绩效指标？哪些指标是目标、约束条件，还是诊断性指标？</w:t>
      </w:r>
    </w:p>
    <w:p>
      <w:pPr>
        <w:numPr>
          <w:ilvl w:val="0"/>
          <w:numId w:val="1002"/>
        </w:numPr>
      </w:pPr>
      <w:r>
        <w:rPr>
          <w:rFonts w:hint="eastAsia"/>
        </w:rPr>
        <w:t xml:space="preserve">在比较各备选方案之前，Ridgeway还应收集哪些额外数据？哪些缺失的信息最有可能改变决策？</w:t>
      </w:r>
    </w:p>
    <w:p>
      <w:pPr>
        <w:numPr>
          <w:ilvl w:val="0"/>
          <w:numId w:val="1002"/>
        </w:numPr>
      </w:pPr>
      <w:r>
        <w:rPr>
          <w:rFonts w:hint="eastAsia"/>
        </w:rPr>
        <w:t xml:space="preserve">公司应如何区分外部驱动的电价上涨与自身运营方式所导致的成本？</w:t>
      </w:r>
    </w:p>
    <w:p>
      <w:pPr>
        <w:numPr>
          <w:ilvl w:val="0"/>
          <w:numId w:val="1002"/>
        </w:numPr>
      </w:pPr>
      <w:r>
        <w:rPr>
          <w:rFonts w:hint="eastAsia"/>
        </w:rPr>
        <w:t xml:space="preserve">太阳能、电池储能、天然气转换和迁址，应作为相互排斥的备选方案来评估，还是作为投资组合和分阶段战略的组成部分来评估？</w:t>
      </w:r>
    </w:p>
    <w:p>
      <w:pPr>
        <w:numPr>
          <w:ilvl w:val="0"/>
          <w:numId w:val="1002"/>
        </w:numPr>
      </w:pPr>
      <w:r>
        <w:rPr>
          <w:rFonts w:hint="eastAsia"/>
        </w:rPr>
        <w:t xml:space="preserve">哪些拟议的调查或试点项目具有最大的信息价值？哪些相对于它们可能带来的知识而言，显得过于昂贵或过于缓慢？</w:t>
      </w:r>
    </w:p>
    <w:p>
      <w:pPr>
        <w:numPr>
          <w:ilvl w:val="0"/>
          <w:numId w:val="1002"/>
        </w:numPr>
      </w:pPr>
      <w:r>
        <w:rPr>
          <w:rFonts w:hint="eastAsia"/>
        </w:rPr>
        <w:t xml:space="preserve">在什么假设下迁址会具有吸引力？在什么假设下迁址明显处于劣势？</w:t>
      </w:r>
    </w:p>
    <w:p>
      <w:pPr>
        <w:numPr>
          <w:ilvl w:val="0"/>
          <w:numId w:val="1002"/>
        </w:numPr>
      </w:pPr>
      <w:r>
        <w:rPr>
          <w:rFonts w:hint="eastAsia"/>
        </w:rPr>
        <w:t xml:space="preserve">Ridgeway应如何在财务回报之外，评估可靠性、可逆性、排放风险敞口、劳动力中断和社区影响的价值？</w:t>
      </w:r>
    </w:p>
    <w:p>
      <w:pPr>
        <w:numPr>
          <w:ilvl w:val="0"/>
          <w:numId w:val="1002"/>
        </w:numPr>
      </w:pPr>
      <w:r>
        <w:rPr>
          <w:rFonts w:hint="eastAsia"/>
        </w:rPr>
        <w:t xml:space="preserve">即使在不确定性尚未消除的情况下，Ridgeway应立即采取哪些行动？应推迟哪些承诺？</w:t>
      </w:r>
    </w:p>
    <w:p>
      <w:pPr>
        <w:numPr>
          <w:ilvl w:val="0"/>
          <w:numId w:val="1002"/>
        </w:numPr>
      </w:pPr>
      <w:r>
        <w:rPr>
          <w:rFonts w:hint="eastAsia"/>
        </w:rPr>
        <w:t xml:space="preserve">为未来三年设计一套决策关口和触发条件。哪些观察结果会促使Ridgeway扩大、停止或调整各项举措？</w:t>
      </w:r>
    </w:p>
    <w:bookmarkEnd w:id="30"/>
    <w:bookmarkStart w:id="36" w:name="决策框架问题"/>
    <w:p>
      <w:pPr>
        <w:pStyle w:val="Heading1"/>
      </w:pPr>
      <w:r>
        <w:rPr>
          <w:rFonts w:hint="eastAsia"/>
        </w:rPr>
        <w:t xml:space="preserve">决策框架问题</w:t>
      </w:r>
    </w:p>
    <w:p>
      <w:pPr>
        <w:numPr>
          <w:ilvl w:val="0"/>
          <w:numId w:val="1003"/>
        </w:numPr>
      </w:pPr>
      <w:r>
        <w:rPr>
          <w:rFonts w:hint="eastAsia"/>
        </w:rPr>
        <w:t xml:space="preserve">识别并描述决策者的职责。这应当界定问题的范围。</w:t>
      </w:r>
    </w:p>
    <w:p>
      <w:pPr>
        <w:numPr>
          <w:ilvl w:val="0"/>
          <w:numId w:val="1003"/>
        </w:numPr>
      </w:pPr>
      <w:r>
        <w:rPr>
          <w:rFonts w:hint="eastAsia"/>
        </w:rPr>
        <w:t xml:space="preserve">使用</w:t>
      </w:r>
      <w:hyperlink r:id="rId31">
        <w:r>
          <w:rPr>
            <w:rStyle w:val="Hyperlink"/>
            <w:rFonts w:hint="eastAsia"/>
          </w:rPr>
          <w:t xml:space="preserve">指标金字塔工具</w:t>
        </w:r>
      </w:hyperlink>
      <w:r>
        <w:rPr>
          <w:rFonts w:hint="eastAsia"/>
        </w:rPr>
        <w:t xml:space="preserve">来识别并排定不同绩效指标的优先级。点击承载该指标的椭圆形图标，以表明该指标是需要最大化的指标（绿色）、需要最小化的指标（红色）、作为下限的目标（浅绿色）、作为上限的目标（浅红色），或最后是一个目标值（紫色）。</w:t>
      </w:r>
    </w:p>
    <w:p>
      <w:pPr>
        <w:numPr>
          <w:ilvl w:val="0"/>
          <w:numId w:val="1003"/>
        </w:numPr>
      </w:pPr>
      <w:r>
        <w:rPr>
          <w:rFonts w:hint="eastAsia"/>
        </w:rPr>
        <w:t xml:space="preserve">使用</w:t>
      </w:r>
      <w:hyperlink r:id="rId32">
        <w:r>
          <w:rPr>
            <w:rStyle w:val="Hyperlink"/>
            <w:rFonts w:hint="eastAsia"/>
          </w:rPr>
          <w:t xml:space="preserve">决策优先级排序工具</w:t>
        </w:r>
      </w:hyperlink>
      <w:r>
        <w:rPr>
          <w:rFonts w:hint="eastAsia"/>
        </w:rPr>
        <w:t xml:space="preserve">，首先列出不同类型的决策（可参考</w:t>
      </w:r>
      <w:hyperlink r:id="rId33">
        <w:r>
          <w:rPr>
            <w:rStyle w:val="Hyperlink"/>
            <w:rFonts w:hint="eastAsia"/>
          </w:rPr>
          <w:t xml:space="preserve">决策类型</w:t>
        </w:r>
      </w:hyperlink>
      <w:r>
        <w:rPr>
          <w:rFonts w:hint="eastAsia"/>
        </w:rPr>
        <w:t xml:space="preserve">作为指导）。这些将随后填充到右侧矩阵的各行，而各列则是按照上方金字塔中优先级从左到右排列的绩效指标。点击每个单元格，以表明该决策对每个指标的影响程度是高（红色）、中（橙色）、低（黄色），还是无（白色）。</w:t>
      </w:r>
    </w:p>
    <w:p>
      <w:pPr>
        <w:numPr>
          <w:ilvl w:val="0"/>
          <w:numId w:val="1003"/>
        </w:numPr>
      </w:pPr>
      <w:r>
        <w:rPr>
          <w:rFonts w:hint="eastAsia"/>
        </w:rPr>
        <w:t xml:space="preserve">你可以抓取每行最左侧的把手（三条横杠）将其上移或下移。对各行进行排序，使对最重要指标影响最大的决策排在最上方。左上角的单元格应集中最多的红色和橙色单元格。此时，识别出在你的研究中应给予最多关注的决策。如果对最重要指标没有任何中等或高等影响的决策，请重新审视你的决策清单。</w:t>
      </w:r>
    </w:p>
    <w:p>
      <w:pPr>
        <w:numPr>
          <w:ilvl w:val="0"/>
          <w:numId w:val="1003"/>
        </w:numPr>
      </w:pPr>
      <w:r>
        <w:rPr>
          <w:rFonts w:hint="eastAsia"/>
        </w:rPr>
        <w:t xml:space="preserve">使用</w:t>
      </w:r>
      <w:hyperlink r:id="rId34">
        <w:r>
          <w:rPr>
            <w:rStyle w:val="Hyperlink"/>
            <w:rFonts w:hint="eastAsia"/>
          </w:rPr>
          <w:t xml:space="preserve">不确定性优先级排序工具</w:t>
        </w:r>
      </w:hyperlink>
      <w:r>
        <w:rPr>
          <w:rFonts w:hint="eastAsia"/>
        </w:rPr>
        <w:t xml:space="preserve">重复上述过程，以列出并排定不确定性的优先级。可参考</w:t>
      </w:r>
      <w:hyperlink r:id="rId35">
        <w:r>
          <w:rPr>
            <w:rStyle w:val="Hyperlink"/>
            <w:rFonts w:hint="eastAsia"/>
          </w:rPr>
          <w:t xml:space="preserve">不确定性类别</w:t>
        </w:r>
      </w:hyperlink>
      <w:r>
        <w:rPr>
          <w:rFonts w:hint="eastAsia"/>
        </w:rPr>
        <w:t xml:space="preserve">来帮助识别这些不确定性。</w:t>
      </w:r>
    </w:p>
    <w:p>
      <w:pPr>
        <w:numPr>
          <w:ilvl w:val="0"/>
          <w:numId w:val="1003"/>
        </w:numPr>
      </w:pPr>
      <w:r>
        <w:rPr>
          <w:rFonts w:hint="eastAsia"/>
        </w:rPr>
        <w:t xml:space="preserve">区分那些可以通过平均绩效来评估的不确定性，与那些属于风险事件形式的不确定性，这一点很重要：</w:t>
      </w:r>
    </w:p>
    <w:p>
      <w:pPr>
        <w:numPr>
          <w:ilvl w:val="1"/>
          <w:numId w:val="1004"/>
        </w:numPr>
      </w:pPr>
      <w:r>
        <w:rPr>
          <w:rFonts w:hint="eastAsia"/>
        </w:rPr>
        <w:t xml:space="preserve">哪些不确定性来源可以通过随时间推移的平均绩效来体现？</w:t>
      </w:r>
    </w:p>
    <w:p>
      <w:pPr>
        <w:numPr>
          <w:ilvl w:val="1"/>
          <w:numId w:val="1004"/>
        </w:numPr>
      </w:pPr>
      <w:r>
        <w:rPr>
          <w:rFonts w:hint="eastAsia"/>
        </w:rPr>
        <w:t xml:space="preserve">哪些不确定性来源代表了无法用平均值恰当体现的风险形式？</w:t>
      </w:r>
    </w:p>
    <w:p>
      <w:pPr>
        <w:numPr>
          <w:ilvl w:val="0"/>
          <w:numId w:val="1003"/>
        </w:numPr>
      </w:pPr>
      <w:r>
        <w:rPr>
          <w:rFonts w:hint="eastAsia"/>
        </w:rPr>
        <w:t xml:space="preserve">选择一个对最重要指标似乎影响最大的单一决策。</w:t>
      </w:r>
    </w:p>
    <w:p>
      <w:pPr>
        <w:numPr>
          <w:ilvl w:val="1"/>
          <w:numId w:val="1005"/>
        </w:numPr>
      </w:pPr>
      <w:r>
        <w:rPr>
          <w:rFonts w:hint="eastAsia"/>
        </w:rPr>
        <w:t xml:space="preserve">你认为你会采用什么方法来做出这个决策？</w:t>
      </w:r>
    </w:p>
    <w:p>
      <w:pPr>
        <w:numPr>
          <w:ilvl w:val="1"/>
          <w:numId w:val="1005"/>
        </w:numPr>
      </w:pPr>
      <w:r>
        <w:rPr>
          <w:rFonts w:hint="eastAsia"/>
        </w:rPr>
        <w:t xml:space="preserve">做出该决策似乎需要哪些数据，包括计算该决策具有高或中等影响的任何绩效指标所需的数据。</w:t>
      </w:r>
    </w:p>
    <w:p>
      <w:pPr>
        <w:numPr>
          <w:ilvl w:val="0"/>
          <w:numId w:val="1003"/>
        </w:numPr>
      </w:pPr>
      <w:r>
        <w:rPr>
          <w:rFonts w:hint="eastAsia"/>
        </w:rPr>
        <w:t xml:space="preserve">针对你在(7)中确定的同一决策，识别为实施该决策你需要与之合作的人员、部门、团队或组织。</w:t>
      </w:r>
    </w:p>
    <w:bookmarkEnd w:id="36"/>
    <w:bookmarkStart w:id="37" w:name="资料说明与案例惯例"/>
    <w:p>
      <w:pPr>
        <w:pStyle w:val="Heading1"/>
      </w:pPr>
      <w:r>
        <w:rPr>
          <w:rFonts w:hint="eastAsia"/>
        </w:rPr>
        <w:t xml:space="preserve">资料说明与案例惯例</w:t>
      </w:r>
    </w:p>
    <w:p>
      <w:pPr>
        <w:pStyle w:val="FirstParagraph"/>
      </w:pPr>
      <w:r>
        <w:rPr>
          <w:rFonts w:hint="eastAsia"/>
        </w:rPr>
        <w:t xml:space="preserve">这是一个为课堂讨论而编写的虚构案例。Ridgeway</w:t>
      </w:r>
      <w:r>
        <w:t xml:space="preserve"> Industrial Systems、Hamilton </w:t>
      </w:r>
      <w:r>
        <w:rPr>
          <w:rFonts w:hint="eastAsia"/>
        </w:rPr>
        <w:t xml:space="preserve">County、所有个人、所有项目方案以及所有公司运营数据均为虚构。该案例有意保持未解决状态，并不意味着任何一种备选方案是更优的。</w:t>
      </w:r>
    </w:p>
    <w:p>
      <w:pPr>
        <w:pStyle w:val="BodyText"/>
      </w:pPr>
      <w:r>
        <w:t xml:space="preserve">¹ </w:t>
      </w:r>
      <w:r>
        <w:rPr>
          <w:rFonts w:hint="eastAsia"/>
        </w:rPr>
        <w:t xml:space="preserve">全国数据中心背景信息基于Lawrence</w:t>
      </w:r>
      <w:r>
        <w:t xml:space="preserve"> Berkeley National Laboratory《2024 United States Data Center Energy Usage </w:t>
      </w:r>
      <w:r>
        <w:rPr>
          <w:rFonts w:hint="eastAsia"/>
        </w:rPr>
        <w:t xml:space="preserve">Report》及相关更新。Berkeley</w:t>
      </w:r>
      <w:r>
        <w:t xml:space="preserve"> </w:t>
      </w:r>
      <w:r>
        <w:rPr>
          <w:rFonts w:hint="eastAsia"/>
        </w:rPr>
        <w:t xml:space="preserve">Lab报告称，2023年美国数据中心用电量约为176太瓦时，约占美国总电力的4.4%，并给出2028年预测区间为6.7%-12%。其2025年更新估计，到2030年数据中心可能占美国电力使用量的9.5%-15.3%，中心估计值为11.8%。</w:t>
      </w:r>
    </w:p>
    <w:p>
      <w:pPr>
        <w:pStyle w:val="BodyText"/>
      </w:pPr>
      <w:r>
        <w:rPr>
          <w:rFonts w:hint="eastAsia"/>
        </w:rPr>
        <w:t xml:space="preserve">补充背景参考资料：U.S.</w:t>
      </w:r>
      <w:r>
        <w:t xml:space="preserve"> Energy Information </w:t>
      </w:r>
      <w:r>
        <w:rPr>
          <w:rFonts w:hint="eastAsia"/>
        </w:rPr>
        <w:t xml:space="preserve">Administration，《Electric</w:t>
      </w:r>
      <w:r>
        <w:t xml:space="preserve"> Power </w:t>
      </w:r>
      <w:r>
        <w:rPr>
          <w:rFonts w:hint="eastAsia"/>
        </w:rPr>
        <w:t xml:space="preserve">Monthly》和《Electricity</w:t>
      </w:r>
      <w:r>
        <w:t xml:space="preserve"> Monthly </w:t>
      </w:r>
      <w:r>
        <w:rPr>
          <w:rFonts w:hint="eastAsia"/>
        </w:rPr>
        <w:t xml:space="preserve">Update》。EIA报告称，2026年5月全国工业平均电价约为每千瓦时8.71美分，尽管工业电价会因地区、电价方案、负荷特征和客户特定收费而存在显著差异。虚构的Hamilton电价包含需量、容量、输电及其他费用，因此不应被解读为全国平均水平。</w:t>
      </w:r>
    </w:p>
    <w:p>
      <w:pPr>
        <w:pStyle w:val="BodyText"/>
      </w:pPr>
      <w:r>
        <w:rPr>
          <w:rFonts w:hint="eastAsia"/>
        </w:rPr>
        <w:t xml:space="preserve">各展示表中的天然气和技术估算属于案例假设，而非预测。在实际分析中，Ridgeway将使用特定场地的公用事业电价方案、区间数据、供应商报价、工程研究、税务建议、环境评审以及概率分布，而不是单点估算值。</w:t>
      </w:r>
    </w:p>
    <w:bookmarkEnd w:id="37"/>
    <w:bookmarkStart w:id="40" w:name="chatgpt-说明"/>
    <w:p>
      <w:pPr>
        <w:pStyle w:val="Heading1"/>
      </w:pPr>
      <w:r>
        <w:t xml:space="preserve">ChatGPT </w:t>
      </w:r>
      <w:r>
        <w:rPr>
          <w:rFonts w:hint="eastAsia"/>
        </w:rPr>
        <w:t xml:space="preserve">说明</w:t>
      </w:r>
    </w:p>
    <w:bookmarkStart w:id="38" w:name="提示"/>
    <w:p>
      <w:pPr>
        <w:pStyle w:val="Heading2"/>
      </w:pPr>
      <w:r>
        <w:rPr>
          <w:rFonts w:hint="eastAsia"/>
        </w:rPr>
        <w:t xml:space="preserve">提示</w:t>
      </w:r>
    </w:p>
    <w:p>
      <w:pPr>
        <w:pStyle w:val="FirstParagraph"/>
      </w:pPr>
      <w:r>
        <w:rPr>
          <w:rFonts w:hint="eastAsia"/>
        </w:rPr>
        <w:t xml:space="preserve">一家工业制造商正因数据中心不断增长的需求推高电价而面临电费大幅上涨的困境。该公司可以将其制造中心迁移到不同的地点（成本巨大）。它可以投资太阳能板和电池储能。它可以改变其制造工艺，将能源需求从电力转向天然气。请描述一家公司可能用来调查各种备选方案的流程。</w:t>
      </w:r>
    </w:p>
    <w:bookmarkEnd w:id="38"/>
    <w:bookmarkStart w:id="39" w:name="摘要"/>
    <w:p>
      <w:pPr>
        <w:pStyle w:val="Heading2"/>
      </w:pPr>
      <w:r>
        <w:rPr>
          <w:rFonts w:hint="eastAsia"/>
        </w:rPr>
        <w:t xml:space="preserve">摘要</w:t>
      </w:r>
    </w:p>
    <w:p>
      <w:pPr>
        <w:pStyle w:val="FirstParagraph"/>
      </w:pPr>
      <w:r>
        <w:rPr>
          <w:rFonts w:hint="eastAsia"/>
        </w:rPr>
        <w:t xml:space="preserve">该案例包括：</w:t>
      </w:r>
    </w:p>
    <w:p>
      <w:pPr>
        <w:numPr>
          <w:ilvl w:val="0"/>
          <w:numId w:val="1006"/>
        </w:numPr>
      </w:pPr>
      <w:r>
        <w:rPr>
          <w:rFonts w:hint="eastAsia"/>
        </w:rPr>
        <w:t xml:space="preserve">一家面临电力成本快速上升的虚构工业制造商</w:t>
      </w:r>
    </w:p>
    <w:p>
      <w:pPr>
        <w:numPr>
          <w:ilvl w:val="0"/>
          <w:numId w:val="1006"/>
        </w:numPr>
      </w:pPr>
      <w:r>
        <w:rPr>
          <w:rFonts w:hint="eastAsia"/>
        </w:rPr>
        <w:t xml:space="preserve">与新建数据中心相关的区域电力需求增长</w:t>
      </w:r>
    </w:p>
    <w:p>
      <w:pPr>
        <w:numPr>
          <w:ilvl w:val="0"/>
          <w:numId w:val="1006"/>
        </w:numPr>
      </w:pPr>
      <w:r>
        <w:rPr>
          <w:rFonts w:hint="eastAsia"/>
        </w:rPr>
        <w:t xml:space="preserve">详细的工厂能源使用和公用事业成本数据</w:t>
      </w:r>
    </w:p>
    <w:p>
      <w:pPr>
        <w:numPr>
          <w:ilvl w:val="0"/>
          <w:numId w:val="1006"/>
        </w:numPr>
      </w:pPr>
      <w:r>
        <w:rPr>
          <w:rFonts w:hint="eastAsia"/>
        </w:rPr>
        <w:t xml:space="preserve">太阳能、电池储能、天然气转换、效率提升、能源采购和迁址等备选方案</w:t>
      </w:r>
    </w:p>
    <w:p>
      <w:pPr>
        <w:numPr>
          <w:ilvl w:val="0"/>
          <w:numId w:val="1006"/>
        </w:numPr>
      </w:pPr>
      <w:r>
        <w:rPr>
          <w:rFonts w:hint="eastAsia"/>
        </w:rPr>
        <w:t xml:space="preserve">三个潜在的迁址区域</w:t>
      </w:r>
    </w:p>
    <w:p>
      <w:pPr>
        <w:numPr>
          <w:ilvl w:val="0"/>
          <w:numId w:val="1006"/>
        </w:numPr>
      </w:pPr>
      <w:r>
        <w:rPr>
          <w:rFonts w:hint="eastAsia"/>
        </w:rPr>
        <w:t xml:space="preserve">截至2035年的电价情景</w:t>
      </w:r>
    </w:p>
    <w:p>
      <w:pPr>
        <w:numPr>
          <w:ilvl w:val="0"/>
          <w:numId w:val="1006"/>
        </w:numPr>
      </w:pPr>
      <w:r>
        <w:rPr>
          <w:rFonts w:hint="eastAsia"/>
        </w:rPr>
        <w:t xml:space="preserve">运营、财务、环境、劳动力和客户服务方面的考量</w:t>
      </w:r>
    </w:p>
    <w:p>
      <w:pPr>
        <w:numPr>
          <w:ilvl w:val="0"/>
          <w:numId w:val="1006"/>
        </w:numPr>
      </w:pPr>
      <w:r>
        <w:rPr>
          <w:rFonts w:hint="eastAsia"/>
        </w:rPr>
        <w:t xml:space="preserve">拟议的调查和试点项目</w:t>
      </w:r>
    </w:p>
    <w:p>
      <w:pPr>
        <w:numPr>
          <w:ilvl w:val="0"/>
          <w:numId w:val="1006"/>
        </w:numPr>
      </w:pPr>
      <w:r>
        <w:rPr>
          <w:rFonts w:hint="eastAsia"/>
        </w:rPr>
        <w:t xml:space="preserve">相互竞争的高管观点，且没有明确的偏好解决方案</w:t>
      </w:r>
    </w:p>
    <w:p>
      <w:pPr>
        <w:numPr>
          <w:ilvl w:val="0"/>
          <w:numId w:val="1006"/>
        </w:numPr>
      </w:pPr>
      <w:r>
        <w:rPr>
          <w:rFonts w:hint="eastAsia"/>
        </w:rPr>
        <w:t xml:space="preserve">十道课堂讨论题</w:t>
      </w:r>
    </w:p>
    <w:p>
      <w:pPr>
        <w:pStyle w:val="FirstParagraph"/>
      </w:pPr>
      <w:r>
        <w:rPr>
          <w:rFonts w:hint="eastAsia"/>
        </w:rPr>
        <w:t xml:space="preserve">全国数据中心背景信息得到了Lawrence</w:t>
      </w:r>
      <w:r>
        <w:t xml:space="preserve"> Berkeley National </w:t>
      </w:r>
      <w:r>
        <w:rPr>
          <w:rFonts w:hint="eastAsia"/>
        </w:rPr>
        <w:t xml:space="preserve">Laboratory估算的支持，这些估算显示美国数据中心电力消耗大幅增长，且到2030年可能存在广泛的需求区间。</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2" Target="https://warrenpowell.org/decision-framing-tool/#decision-prioritization-tool" TargetMode="External" /><Relationship Type="http://schemas.openxmlformats.org/officeDocument/2006/relationships/hyperlink" Id="rId31" Target="https://warrenpowell.org/decision-framing-tool/#metrics-pyramid-tool" TargetMode="External" /><Relationship Type="http://schemas.openxmlformats.org/officeDocument/2006/relationships/hyperlink" Id="rId34" Target="https://warrenpowell.org/decision-framing-tool/#uncertainty-prioritization-tool" TargetMode="External" /><Relationship Type="http://schemas.openxmlformats.org/officeDocument/2006/relationships/hyperlink" Id="rId33" Target="https://warrenpowell.org/decisionsdecisions/#types-of-decision-settings" TargetMode="External" /><Relationship Type="http://schemas.openxmlformats.org/officeDocument/2006/relationships/hyperlink" Id="rId35" Target="https://warrenpowell.org/modeling-uncertainty/#categories" TargetMode="External" /></Relationships>
</file>

<file path=word/_rels/footnotes.xml.rels><?xml version="1.0" encoding="UTF-8"?><Relationships xmlns="http://schemas.openxmlformats.org/package/2006/relationships"><Relationship Type="http://schemas.openxmlformats.org/officeDocument/2006/relationships/hyperlink" Id="rId32" Target="https://warrenpowell.org/decision-framing-tool/#decision-prioritization-tool" TargetMode="External" /><Relationship Type="http://schemas.openxmlformats.org/officeDocument/2006/relationships/hyperlink" Id="rId31" Target="https://warrenpowell.org/decision-framing-tool/#metrics-pyramid-tool" TargetMode="External" /><Relationship Type="http://schemas.openxmlformats.org/officeDocument/2006/relationships/hyperlink" Id="rId34" Target="https://warrenpowell.org/decision-framing-tool/#uncertainty-prioritization-tool" TargetMode="External" /><Relationship Type="http://schemas.openxmlformats.org/officeDocument/2006/relationships/hyperlink" Id="rId33" Target="https://warrenpowell.org/decisionsdecisions/#types-of-decision-settings" TargetMode="External" /><Relationship Type="http://schemas.openxmlformats.org/officeDocument/2006/relationships/hyperlink" Id="rId35" Target="https://warrenpowell.org/modeling-uncertainty/#categori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2026-09-11T17:25:00Z</dcterms:created>
  <dcterms:modified xsi:type="dcterms:W3CDTF">2026-09-11T17:25:00Z</dcterms:modified>
</cp:coreProperties>
</file>

<file path=docProps/custom.xml><?xml version="1.0" encoding="utf-8"?>
<Properties xmlns="http://schemas.openxmlformats.org/officeDocument/2006/custom-properties" xmlns:vt="http://schemas.openxmlformats.org/officeDocument/2006/docPropsVTypes"/>
</file>