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一个县在阿片类药物危机似乎正在缓解、但过量死亡人数仍居高不下时应如何应对？</w:t>
      </w:r>
    </w:p>
    <w:tbl>
      <w:tblPr>
        <w:tblStyle w:val="Table"/>
        <w:tblW w:type="auto" w:w="0"/>
        <w:tblLook w:firstRow="0" w:lastRow="0" w:firstColumn="0" w:lastColumn="0" w:noHBand="0" w:noVBand="0" w:val="0000"/>
      </w:tblPr>
      <w:tblGrid>
        <w:gridCol w:w="7920"/>
      </w:tblGrid>
      <w:tr>
        <w:tc>
          <w:tcPr/>
          <w:p>
            <w:pPr>
              <w:pStyle w:val="Compact"/>
              <w:jc w:val="left"/>
            </w:pPr>
            <w:r>
              <w:rPr>
                <w:rFonts w:hint="eastAsia"/>
              </w:rPr>
              <w:t xml:space="preserve">背景</w:t>
            </w:r>
            <w:r>
              <w:t xml:space="preserve">  </w:t>
            </w:r>
            <w:r>
              <w:rPr>
                <w:rFonts w:hint="eastAsia"/>
              </w:rPr>
              <w:t xml:space="preserve">决策者</w:t>
            </w:r>
            <w:r>
              <w:t xml:space="preserve">  </w:t>
            </w:r>
            <w:r>
              <w:rPr>
                <w:rFonts w:hint="eastAsia"/>
              </w:rPr>
              <w:t xml:space="preserve">决策日期\</w:t>
            </w:r>
          </w:p>
        </w:tc>
      </w:tr>
      <w:tr>
        <w:tc>
          <w:tcPr/>
          <w:p>
            <w:pPr>
              <w:pStyle w:val="Compact"/>
              <w:jc w:val="left"/>
            </w:pPr>
            <w:r>
              <w:t xml:space="preserve">Riverton </w:t>
            </w:r>
            <w:r>
              <w:rPr>
                <w:rFonts w:hint="eastAsia"/>
              </w:rPr>
              <w:t xml:space="preserve">County，一个虚构的城乡混合县</w:t>
            </w:r>
            <w:r>
              <w:t xml:space="preserve"> Elena Torres </w:t>
            </w:r>
            <w:r>
              <w:rPr>
                <w:rFonts w:hint="eastAsia"/>
              </w:rPr>
              <w:t xml:space="preserve">博士，县卫生专员</w:t>
            </w:r>
            <w:r>
              <w:t xml:space="preserve"> </w:t>
            </w:r>
            <w:r>
              <w:rPr>
                <w:rFonts w:hint="eastAsia"/>
              </w:rPr>
              <w:t xml:space="preserve">2026年9月</w:t>
            </w:r>
          </w:p>
        </w:tc>
      </w:tr>
    </w:tbl>
    <w:p>
      <w:r>
        <w:pict>
          <v:rect style="width:0;height:1.5pt" o:hralign="center" o:hrstd="t" o:hr="t"/>
        </w:pict>
      </w:r>
    </w:p>
    <w:bookmarkStart w:id="9" w:name="section"/>
    <w:p>
      <w:pPr>
        <w:pStyle w:val="Heading1"/>
      </w:pPr>
    </w:p>
    <w:bookmarkEnd w:id="9"/>
    <w:bookmarkStart w:id="11" w:name="艰难的周一早晨"/>
    <w:p>
      <w:pPr>
        <w:pStyle w:val="Heading1"/>
      </w:pPr>
      <w:r>
        <w:rPr>
          <w:rFonts w:hint="eastAsia"/>
        </w:rPr>
        <w:t xml:space="preserve">艰难的周一早晨</w:t>
      </w:r>
    </w:p>
    <w:p>
      <w:pPr>
        <w:pStyle w:val="FirstParagraph"/>
      </w:pPr>
      <w:r>
        <w:rPr>
          <w:rFonts w:hint="eastAsia"/>
        </w:rPr>
        <w:t xml:space="preserve">早上7点10分，Elena</w:t>
      </w:r>
      <w:r>
        <w:t xml:space="preserve"> </w:t>
      </w:r>
      <w:r>
        <w:rPr>
          <w:rFonts w:hint="eastAsia"/>
        </w:rPr>
        <w:t xml:space="preserve">Torres博士打开每周死亡率仪表盘，看到又一个红色标记：一名31岁的仓库员工在48号州际公路附近一家汽车旅馆中疑似因芬太尼过量而死亡。这是Riverton</w:t>
      </w:r>
      <w:r>
        <w:t xml:space="preserve"> </w:t>
      </w:r>
      <w:r>
        <w:rPr>
          <w:rFonts w:hint="eastAsia"/>
        </w:rPr>
        <w:t xml:space="preserve">County今年第四十三例致命过量事件。另有两例死亡仍在等待毒理学检测结果。</w:t>
      </w:r>
    </w:p>
    <w:p>
      <w:pPr>
        <w:pStyle w:val="BodyText"/>
      </w:pPr>
      <w:r>
        <w:rPr>
          <w:rFonts w:hint="eastAsia"/>
        </w:rPr>
        <w:t xml:space="preserve">这个数字低于去年同期，但并没有令人感到进步。自1月以来，紧急医疗服务人员已使用纳洛酮286次。县监狱报告称，近三分之一的新入狱者物质使用障碍筛查呈阳性。该县最大医院的急诊科已治疗412例非致命过量病例，外展团队也发现越来越多的人将芬太尼与可卡因或甲基苯丙胺混合使用。</w:t>
      </w:r>
    </w:p>
    <w:p>
      <w:pPr>
        <w:pStyle w:val="BodyText"/>
      </w:pPr>
      <w:r>
        <w:rPr>
          <w:rFonts w:hint="eastAsia"/>
        </w:rPr>
        <w:t xml:space="preserve">然而，在全国范围内，情况已经发生了变化。2024年美国药物过量死亡人数大幅下降，2025年再次下降。据估计，涉及阿片类药物的死亡人数从2023年的约83,140人降至2024年的约54,743人，再降至2025年的44,564人。这一改善令人鼓舞——但并不均衡：2025年仍有若干州的数字有所上升。¹</w:t>
      </w:r>
      <w:r>
        <w:t xml:space="preserve"> ²</w:t>
      </w:r>
    </w:p>
    <w:p>
      <w:pPr>
        <w:pStyle w:val="BodyText"/>
      </w:pPr>
      <w:r>
        <w:rPr>
          <w:rFonts w:hint="eastAsia"/>
        </w:rPr>
        <w:t xml:space="preserve">Riverton的县行政长官已召集Torres参加下午4点的预算会议。一项为外展工作者、纳洛酮分发和一辆流动治疗车提供支持的临时联邦拨款将在九个月后到期。该县只能替代部分资金。Torres被要求提出建议：应保留什么，应重新设计什么，以及——如果有的话——应停止什么。</w:t>
      </w:r>
    </w:p>
    <w:bookmarkStart w:id="10" w:name="核心挑战"/>
    <w:p>
      <w:pPr>
        <w:pStyle w:val="Heading2"/>
      </w:pPr>
      <w:r>
        <w:rPr>
          <w:rFonts w:hint="eastAsia"/>
        </w:rPr>
        <w:t xml:space="preserve">核心挑战</w:t>
      </w:r>
    </w:p>
    <w:p>
      <w:pPr>
        <w:pStyle w:val="FirstParagraph"/>
      </w:pPr>
      <w:r>
        <w:rPr>
          <w:rFonts w:hint="eastAsia"/>
        </w:rPr>
        <w:t xml:space="preserve">Riverton应该将近期死亡人数的下降视为其当前策略有效的证据、一次暂时的缓解，还是一个应将资源转向应对疫情不同阶段的信号？</w:t>
      </w:r>
    </w:p>
    <w:bookmarkEnd w:id="10"/>
    <w:bookmarkEnd w:id="11"/>
    <w:bookmarkStart w:id="12" w:name="riverton-county"/>
    <w:p>
      <w:pPr>
        <w:pStyle w:val="Heading1"/>
      </w:pPr>
      <w:r>
        <w:t xml:space="preserve">Riverton County</w:t>
      </w:r>
    </w:p>
    <w:p>
      <w:pPr>
        <w:pStyle w:val="FirstParagraph"/>
      </w:pPr>
      <w:r>
        <w:t xml:space="preserve">Riverton </w:t>
      </w:r>
      <w:r>
        <w:rPr>
          <w:rFonts w:hint="eastAsia"/>
        </w:rPr>
        <w:t xml:space="preserve">County有618,000名居民。其东部走廊地带有一所大学、两家医院，以及不断发展的科技和物流企业。西部乡镇则更为农村化，治疗提供者较少，公共交通有限。家庭收入中位数为71,400美元，但有五个社区的贫困率超过25%。该县人口构成为46%白人、27%黑人、19%西班牙裔、5%亚裔以及3%其他或多种族裔。本案例中所有Riverton的数据均为虚构，但设计上旨在反映许多美国社区所面临的状况。</w:t>
      </w:r>
    </w:p>
    <w:bookmarkEnd w:id="12"/>
    <w:bookmarkStart w:id="13" w:name="不断变化的过量用药环境"/>
    <w:p>
      <w:pPr>
        <w:pStyle w:val="Heading1"/>
      </w:pPr>
      <w:r>
        <w:rPr>
          <w:rFonts w:hint="eastAsia"/>
        </w:rPr>
        <w:t xml:space="preserve">不断变化的过量用药环境</w:t>
      </w:r>
    </w:p>
    <w:p>
      <w:pPr>
        <w:pStyle w:val="FirstParagraph"/>
      </w:pPr>
      <w:r>
        <w:rPr>
          <w:rFonts w:hint="eastAsia"/>
        </w:rPr>
        <w:t xml:space="preserve">Riverton的过量用药应对措施是在死亡人数快速上升的时期设计的。到2026年，情况变得更为复杂。死亡人数减少了，但非法药物供应仍然难以预测。芬太尼仍是主要威胁，许多死亡涉及多种物质。全国数据显示，从2023年到2024年，合成阿片类药物导致的死亡率大幅下降，但该比率仍为每100,000人14.3例死亡。³</w:t>
      </w:r>
    </w:p>
    <w:p>
      <w:pPr>
        <w:pStyle w:val="BodyText"/>
      </w:pPr>
      <w:r>
        <w:rPr>
          <w:rFonts w:hint="eastAsia"/>
        </w:rPr>
        <w:t xml:space="preserve">该县的监测系统也存在局限性。确诊死亡数据滞后三到五个月。紧急医疗服务记录可在数天内获取，但仅涵盖涉及911报警的事件。医院数据不包括在县外接受治疗的人员或拒绝转运的人员。外展团队收集了有价值的观察资料，但其报告未实现标准化。</w:t>
      </w:r>
    </w:p>
    <w:bookmarkEnd w:id="13"/>
    <w:bookmarkStart w:id="14" w:name="当前应对措施组合"/>
    <w:p>
      <w:pPr>
        <w:pStyle w:val="Heading1"/>
      </w:pPr>
      <w:r>
        <w:rPr>
          <w:rFonts w:hint="eastAsia"/>
        </w:rPr>
        <w:t xml:space="preserve">当前应对措施组合</w:t>
      </w:r>
    </w:p>
    <w:p>
      <w:pPr>
        <w:pStyle w:val="FirstParagraph"/>
      </w:pPr>
      <w:r>
        <w:rPr>
          <w:rFonts w:hint="eastAsia"/>
          <w:b/>
          <w:bCs/>
        </w:rPr>
        <w:t xml:space="preserve">纳洛酮获取渠道：</w:t>
      </w:r>
      <w:r>
        <w:t xml:space="preserve"> </w:t>
      </w:r>
      <w:r>
        <w:rPr>
          <w:rFonts w:hint="eastAsia"/>
        </w:rPr>
        <w:t xml:space="preserve">通过药店、图书馆、庇护所、外展团队和自动售货机提供免费药盒。分发量从2023年的8,400份增加到2025年的22,600份。</w:t>
      </w:r>
    </w:p>
    <w:p>
      <w:pPr>
        <w:pStyle w:val="BodyText"/>
      </w:pPr>
      <w:r>
        <w:rPr>
          <w:rFonts w:hint="eastAsia"/>
          <w:b/>
          <w:bCs/>
        </w:rPr>
        <w:t xml:space="preserve">流动治疗车：</w:t>
      </w:r>
      <w:r>
        <w:t xml:space="preserve"> </w:t>
      </w:r>
      <w:r>
        <w:rPr>
          <w:rFonts w:hint="eastAsia"/>
        </w:rPr>
        <w:t xml:space="preserve">一辆巴士每周访问六个高风险地点，可启动丁丙诺啡治疗、提供伤口护理，并帮助患者转介至长期护理。</w:t>
      </w:r>
    </w:p>
    <w:p>
      <w:pPr>
        <w:pStyle w:val="BodyText"/>
      </w:pPr>
      <w:r>
        <w:rPr>
          <w:rFonts w:hint="eastAsia"/>
          <w:b/>
          <w:bCs/>
        </w:rPr>
        <w:t xml:space="preserve">过量用药后外展：</w:t>
      </w:r>
      <w:r>
        <w:t xml:space="preserve"> </w:t>
      </w:r>
      <w:r>
        <w:rPr>
          <w:rFonts w:hint="eastAsia"/>
        </w:rPr>
        <w:t xml:space="preserve">同伴康复专员试图在EMS或医院接触后的48小时内联系过量用药幸存者。</w:t>
      </w:r>
    </w:p>
    <w:p>
      <w:pPr>
        <w:pStyle w:val="BodyText"/>
      </w:pPr>
      <w:r>
        <w:rPr>
          <w:rFonts w:hint="eastAsia"/>
          <w:b/>
          <w:bCs/>
        </w:rPr>
        <w:t xml:space="preserve">学校与职场预防项目：</w:t>
      </w:r>
      <w:r>
        <w:t xml:space="preserve"> </w:t>
      </w:r>
      <w:r>
        <w:rPr>
          <w:rFonts w:hint="eastAsia"/>
        </w:rPr>
        <w:t xml:space="preserve">项目重点关注污名化、更安全的处方开具、过量用药识别以及就医途径。</w:t>
      </w:r>
    </w:p>
    <w:p>
      <w:pPr>
        <w:pStyle w:val="BodyText"/>
      </w:pPr>
      <w:r>
        <w:rPr>
          <w:rFonts w:hint="eastAsia"/>
          <w:b/>
          <w:bCs/>
        </w:rPr>
        <w:t xml:space="preserve">数据协调：</w:t>
      </w:r>
      <w:r>
        <w:t xml:space="preserve"> </w:t>
      </w:r>
      <w:r>
        <w:rPr>
          <w:rFonts w:hint="eastAsia"/>
        </w:rPr>
        <w:t xml:space="preserve">一个小型流行病学团队将EMS、医院、监狱、治疗和死亡率信息整合成月度仪表盘。</w:t>
      </w:r>
    </w:p>
    <w:bookmarkEnd w:id="14"/>
    <w:bookmarkStart w:id="15" w:name="相互冲突的观点"/>
    <w:p>
      <w:pPr>
        <w:pStyle w:val="Heading1"/>
      </w:pPr>
      <w:r>
        <w:rPr>
          <w:rFonts w:hint="eastAsia"/>
        </w:rPr>
        <w:t xml:space="preserve">相互冲突的观点</w:t>
      </w:r>
    </w:p>
    <w:p>
      <w:pPr>
        <w:pStyle w:val="FirstParagraph"/>
      </w:pPr>
      <w:r>
        <w:rPr>
          <w:rFonts w:hint="eastAsia"/>
        </w:rPr>
        <w:t xml:space="preserve">县行政长官Marcus</w:t>
      </w:r>
      <w:r>
        <w:t xml:space="preserve"> </w:t>
      </w:r>
      <w:r>
        <w:rPr>
          <w:rFonts w:hint="eastAsia"/>
        </w:rPr>
        <w:t xml:space="preserve">Lee关注财政可持续性。他支持纳洛酮项目，但质疑一个县是否应该运营一辆治疗巴士，因为已有私营提供者存在。医院系统主张在急诊科扩大药物治疗，但希望由县里资助导航员来安排后续护理。警方领导认为，露天毒品市场和反复发生的过量用药事件正在消耗公共安全资源。社区倡导者警告称，以执法为主的做法可能会将人们推向更孤立的环境，从而降低过量用药被目击的可能性。</w:t>
      </w:r>
    </w:p>
    <w:p>
      <w:pPr>
        <w:pStyle w:val="BodyText"/>
      </w:pPr>
      <w:r>
        <w:rPr>
          <w:rFonts w:hint="eastAsia"/>
        </w:rPr>
        <w:t xml:space="preserve">治疗提供者强调的是容量问题，而非外展工作。他们的诊所有空余的预约名额，但许多患者未能坚持治疗。交通、住房不稳定、对戒断的恐惧、以往的负面经历以及工作日程是常见的障碍。在全国范围内，2024年有4,840万12岁及以上人群患有物质使用障碍。⁴</w:t>
      </w:r>
      <w:r>
        <w:t xml:space="preserve"> </w:t>
      </w:r>
      <w:r>
        <w:rPr>
          <w:rFonts w:hint="eastAsia"/>
        </w:rPr>
        <w:t xml:space="preserve">全国调查还显示，阿片类药物使用障碍的严重程度和类型存在显著差异，这使得任何单一的护理模式都变得复杂。⁵</w:t>
      </w:r>
    </w:p>
    <w:bookmarkEnd w:id="15"/>
    <w:bookmarkStart w:id="16" w:name="公平性问题"/>
    <w:p>
      <w:pPr>
        <w:pStyle w:val="Heading1"/>
      </w:pPr>
      <w:r>
        <w:rPr>
          <w:rFonts w:hint="eastAsia"/>
        </w:rPr>
        <w:t xml:space="preserve">公平性问题</w:t>
      </w:r>
    </w:p>
    <w:p>
      <w:pPr>
        <w:pStyle w:val="FirstParagraph"/>
      </w:pPr>
      <w:r>
        <w:rPr>
          <w:rFonts w:hint="eastAsia"/>
        </w:rPr>
        <w:t xml:space="preserve">全县整体的下降趋势掩盖了不同的走向。自2023年以来，白人居民的致命过量事件下降了28%，而黑人居民仅下降了6%；45至64岁居民的死亡人数根本没有下降。此前的CDC研究发现种族差异在扩大，并将较高的过量用药率与收入不平等和以往治疗可及性有限联系在一起。⁶</w:t>
      </w:r>
      <w:r>
        <w:t xml:space="preserve"> </w:t>
      </w:r>
      <w:r>
        <w:rPr>
          <w:rFonts w:hint="eastAsia"/>
        </w:rPr>
        <w:t xml:space="preserve">该县的咨询委员会坚持要求Torres明确应对这些差异，但成员们在资源分配应按人口比例、过量用药负担、治疗缺口，还是社区劣势程度进行分配上存在分歧。</w:t>
      </w:r>
    </w:p>
    <w:bookmarkEnd w:id="16"/>
    <w:bookmarkStart w:id="17" w:name="资金悬崖"/>
    <w:p>
      <w:pPr>
        <w:pStyle w:val="Heading1"/>
      </w:pPr>
      <w:r>
        <w:rPr>
          <w:rFonts w:hint="eastAsia"/>
        </w:rPr>
        <w:t xml:space="preserve">资金悬崖</w:t>
      </w:r>
    </w:p>
    <w:p>
      <w:pPr>
        <w:pStyle w:val="FirstParagraph"/>
      </w:pPr>
      <w:r>
        <w:rPr>
          <w:rFonts w:hint="eastAsia"/>
        </w:rPr>
        <w:t xml:space="preserve">即将到期的拨款为Riverton每年1,260万美元的过量用药应对预算提供了480万美元。县行政长官提供了240万美元的替代资金，留下了240万美元的缺口。Torres可以提交一份结合削减、项目重新设计和申请额外县级资金的方案，但任何超过240万美元的申请都将与孕产妇健康、传染病监测和环境卫生人员配置项目相互竞争。</w:t>
      </w:r>
    </w:p>
    <w:bookmarkEnd w:id="17"/>
    <w:bookmarkStart w:id="18" w:name="正在审查的项目"/>
    <w:p>
      <w:pPr>
        <w:pStyle w:val="Heading1"/>
      </w:pPr>
      <w:r>
        <w:rPr>
          <w:rFonts w:hint="eastAsia"/>
        </w:rPr>
        <w:t xml:space="preserve">正在审查的项目</w:t>
      </w:r>
    </w:p>
    <w:tbl>
      <w:tblPr>
        <w:tblStyle w:val="Table"/>
        <w:tblW w:type="pct" w:w="4931"/>
        <w:tblLayout w:type="fixed"/>
        <w:tblLook w:firstRow="1" w:lastRow="0" w:firstColumn="0" w:lastColumn="0" w:noHBand="0" w:noVBand="0" w:val="0020"/>
      </w:tblPr>
      <w:tblGrid>
        <w:gridCol w:w="1201"/>
        <w:gridCol w:w="764"/>
        <w:gridCol w:w="2184"/>
        <w:gridCol w:w="2894"/>
        <w:gridCol w:w="764"/>
      </w:tblGrid>
      <w:tr>
        <w:trPr>
          <w:tblHeader w:val="on"/>
        </w:trPr>
        <w:tc>
          <w:tcPr/>
          <w:p>
            <w:pPr>
              <w:pStyle w:val="Compact"/>
              <w:jc w:val="left"/>
            </w:pPr>
            <w:r>
              <w:rPr>
                <w:rFonts w:hint="eastAsia"/>
              </w:rPr>
              <w:t xml:space="preserve">项目</w:t>
            </w:r>
          </w:p>
        </w:tc>
        <w:tc>
          <w:tcPr/>
          <w:p>
            <w:pPr>
              <w:pStyle w:val="Compact"/>
              <w:jc w:val="center"/>
            </w:pPr>
            <w:r>
              <w:rPr>
                <w:rFonts w:hint="eastAsia"/>
              </w:rPr>
              <w:t xml:space="preserve">年度成本</w:t>
            </w:r>
          </w:p>
        </w:tc>
        <w:tc>
          <w:tcPr/>
          <w:p>
            <w:pPr>
              <w:pStyle w:val="Compact"/>
              <w:jc w:val="center"/>
            </w:pPr>
            <w:r>
              <w:rPr>
                <w:rFonts w:hint="eastAsia"/>
              </w:rPr>
              <w:t xml:space="preserve">主要产出</w:t>
            </w:r>
          </w:p>
        </w:tc>
        <w:tc>
          <w:tcPr/>
          <w:p>
            <w:pPr>
              <w:pStyle w:val="Compact"/>
              <w:jc w:val="center"/>
            </w:pPr>
            <w:r>
              <w:rPr>
                <w:rFonts w:hint="eastAsia"/>
              </w:rPr>
              <w:t xml:space="preserve">观察到的问题</w:t>
            </w:r>
          </w:p>
        </w:tc>
        <w:tc>
          <w:tcPr/>
          <w:p>
            <w:pPr>
              <w:pStyle w:val="Compact"/>
              <w:jc w:val="center"/>
            </w:pPr>
            <w:r>
              <w:rPr>
                <w:rFonts w:hint="eastAsia"/>
              </w:rPr>
              <w:t xml:space="preserve">拨款占比</w:t>
            </w:r>
          </w:p>
        </w:tc>
      </w:tr>
      <w:tr>
        <w:tc>
          <w:tcPr/>
          <w:p>
            <w:pPr>
              <w:pStyle w:val="Compact"/>
              <w:jc w:val="left"/>
            </w:pPr>
            <w:r>
              <w:rPr>
                <w:rFonts w:hint="eastAsia"/>
              </w:rPr>
              <w:t xml:space="preserve">纳洛酮网络</w:t>
            </w:r>
          </w:p>
        </w:tc>
        <w:tc>
          <w:tcPr/>
          <w:p>
            <w:pPr>
              <w:pStyle w:val="Compact"/>
              <w:jc w:val="center"/>
            </w:pPr>
            <w:r>
              <w:rPr>
                <w:rFonts w:hint="eastAsia"/>
              </w:rPr>
              <w:t xml:space="preserve">210万美元</w:t>
            </w:r>
          </w:p>
        </w:tc>
        <w:tc>
          <w:tcPr/>
          <w:p>
            <w:pPr>
              <w:pStyle w:val="Compact"/>
              <w:jc w:val="center"/>
            </w:pPr>
            <w:r>
              <w:rPr>
                <w:rFonts w:hint="eastAsia"/>
              </w:rPr>
              <w:t xml:space="preserve">22,600份药盒；报告1,140次逆转</w:t>
            </w:r>
          </w:p>
        </w:tc>
        <w:tc>
          <w:tcPr/>
          <w:p>
            <w:pPr>
              <w:pStyle w:val="Compact"/>
              <w:jc w:val="center"/>
            </w:pPr>
            <w:r>
              <w:rPr>
                <w:rFonts w:hint="eastAsia"/>
              </w:rPr>
              <w:t xml:space="preserve">实际使用率未知；替换药盒往往未被追踪</w:t>
            </w:r>
          </w:p>
        </w:tc>
        <w:tc>
          <w:tcPr/>
          <w:p>
            <w:pPr>
              <w:pStyle w:val="Compact"/>
              <w:jc w:val="center"/>
            </w:pPr>
            <w:r>
              <w:t xml:space="preserve">38%</w:t>
            </w:r>
          </w:p>
        </w:tc>
      </w:tr>
      <w:tr>
        <w:tc>
          <w:tcPr/>
          <w:p>
            <w:pPr>
              <w:pStyle w:val="Compact"/>
              <w:jc w:val="left"/>
            </w:pPr>
            <w:r>
              <w:rPr>
                <w:rFonts w:hint="eastAsia"/>
              </w:rPr>
              <w:t xml:space="preserve">流动治疗车</w:t>
            </w:r>
          </w:p>
        </w:tc>
        <w:tc>
          <w:tcPr/>
          <w:p>
            <w:pPr>
              <w:pStyle w:val="Compact"/>
              <w:jc w:val="center"/>
            </w:pPr>
            <w:r>
              <w:rPr>
                <w:rFonts w:hint="eastAsia"/>
              </w:rPr>
              <w:t xml:space="preserve">280万美元</w:t>
            </w:r>
          </w:p>
        </w:tc>
        <w:tc>
          <w:tcPr/>
          <w:p>
            <w:pPr>
              <w:pStyle w:val="Compact"/>
              <w:jc w:val="center"/>
            </w:pPr>
            <w:r>
              <w:rPr>
                <w:rFonts w:hint="eastAsia"/>
              </w:rPr>
              <w:t xml:space="preserve">3,420次访问；684次启动药物治疗</w:t>
            </w:r>
          </w:p>
        </w:tc>
        <w:tc>
          <w:tcPr/>
          <w:p>
            <w:pPr>
              <w:pStyle w:val="Compact"/>
              <w:jc w:val="center"/>
            </w:pPr>
            <w:r>
              <w:rPr>
                <w:rFonts w:hint="eastAsia"/>
              </w:rPr>
              <w:t xml:space="preserve">仅34%在90天时仍保持治疗</w:t>
            </w:r>
          </w:p>
        </w:tc>
        <w:tc>
          <w:tcPr/>
          <w:p>
            <w:pPr>
              <w:pStyle w:val="Compact"/>
              <w:jc w:val="center"/>
            </w:pPr>
            <w:r>
              <w:t xml:space="preserve">61%</w:t>
            </w:r>
          </w:p>
        </w:tc>
      </w:tr>
      <w:tr>
        <w:tc>
          <w:tcPr/>
          <w:p>
            <w:pPr>
              <w:pStyle w:val="Compact"/>
              <w:jc w:val="left"/>
            </w:pPr>
            <w:r>
              <w:rPr>
                <w:rFonts w:hint="eastAsia"/>
              </w:rPr>
              <w:t xml:space="preserve">过量用药后同伴支持</w:t>
            </w:r>
          </w:p>
        </w:tc>
        <w:tc>
          <w:tcPr/>
          <w:p>
            <w:pPr>
              <w:pStyle w:val="Compact"/>
              <w:jc w:val="center"/>
            </w:pPr>
            <w:r>
              <w:rPr>
                <w:rFonts w:hint="eastAsia"/>
              </w:rPr>
              <w:t xml:space="preserve">170万美元</w:t>
            </w:r>
          </w:p>
        </w:tc>
        <w:tc>
          <w:tcPr/>
          <w:p>
            <w:pPr>
              <w:pStyle w:val="Compact"/>
              <w:jc w:val="center"/>
            </w:pPr>
            <w:r>
              <w:rPr>
                <w:rFonts w:hint="eastAsia"/>
              </w:rPr>
              <w:t xml:space="preserve">1,126次转介；438次联系</w:t>
            </w:r>
          </w:p>
        </w:tc>
        <w:tc>
          <w:tcPr/>
          <w:p>
            <w:pPr>
              <w:pStyle w:val="Compact"/>
              <w:jc w:val="center"/>
            </w:pPr>
            <w:r>
              <w:rPr>
                <w:rFonts w:hint="eastAsia"/>
              </w:rPr>
              <w:t xml:space="preserve">许多幸存者无法联系到或拒绝帮助</w:t>
            </w:r>
          </w:p>
        </w:tc>
        <w:tc>
          <w:tcPr/>
          <w:p>
            <w:pPr>
              <w:pStyle w:val="Compact"/>
              <w:jc w:val="center"/>
            </w:pPr>
            <w:r>
              <w:t xml:space="preserve">47%</w:t>
            </w:r>
          </w:p>
        </w:tc>
      </w:tr>
      <w:tr>
        <w:tc>
          <w:tcPr/>
          <w:p>
            <w:pPr>
              <w:pStyle w:val="Compact"/>
              <w:jc w:val="left"/>
            </w:pPr>
            <w:r>
              <w:rPr>
                <w:rFonts w:hint="eastAsia"/>
              </w:rPr>
              <w:t xml:space="preserve">预防项目</w:t>
            </w:r>
          </w:p>
        </w:tc>
        <w:tc>
          <w:tcPr/>
          <w:p>
            <w:pPr>
              <w:pStyle w:val="Compact"/>
              <w:jc w:val="center"/>
            </w:pPr>
            <w:r>
              <w:rPr>
                <w:rFonts w:hint="eastAsia"/>
              </w:rPr>
              <w:t xml:space="preserve">130万美元</w:t>
            </w:r>
          </w:p>
        </w:tc>
        <w:tc>
          <w:tcPr/>
          <w:p>
            <w:pPr>
              <w:pStyle w:val="Compact"/>
              <w:jc w:val="center"/>
            </w:pPr>
            <w:r>
              <w:rPr>
                <w:rFonts w:hint="eastAsia"/>
              </w:rPr>
              <w:t xml:space="preserve">覆盖18,400名学生/职场人员</w:t>
            </w:r>
          </w:p>
        </w:tc>
        <w:tc>
          <w:tcPr/>
          <w:p>
            <w:pPr>
              <w:pStyle w:val="Compact"/>
              <w:jc w:val="center"/>
            </w:pPr>
            <w:r>
              <w:rPr>
                <w:rFonts w:hint="eastAsia"/>
              </w:rPr>
              <w:t xml:space="preserve">与死亡率结果无直接关联</w:t>
            </w:r>
          </w:p>
        </w:tc>
        <w:tc>
          <w:tcPr/>
          <w:p>
            <w:pPr>
              <w:pStyle w:val="Compact"/>
              <w:jc w:val="center"/>
            </w:pPr>
            <w:r>
              <w:t xml:space="preserve">29%</w:t>
            </w:r>
          </w:p>
        </w:tc>
      </w:tr>
      <w:tr>
        <w:tc>
          <w:tcPr/>
          <w:p>
            <w:pPr>
              <w:pStyle w:val="Compact"/>
              <w:jc w:val="left"/>
            </w:pPr>
            <w:r>
              <w:rPr>
                <w:rFonts w:hint="eastAsia"/>
              </w:rPr>
              <w:t xml:space="preserve">监测/数据</w:t>
            </w:r>
          </w:p>
        </w:tc>
        <w:tc>
          <w:tcPr/>
          <w:p>
            <w:pPr>
              <w:pStyle w:val="Compact"/>
              <w:jc w:val="center"/>
            </w:pPr>
            <w:r>
              <w:rPr>
                <w:rFonts w:hint="eastAsia"/>
              </w:rPr>
              <w:t xml:space="preserve">120万美元</w:t>
            </w:r>
          </w:p>
        </w:tc>
        <w:tc>
          <w:tcPr/>
          <w:p>
            <w:pPr>
              <w:pStyle w:val="Compact"/>
              <w:jc w:val="center"/>
            </w:pPr>
            <w:r>
              <w:rPr>
                <w:rFonts w:hint="eastAsia"/>
              </w:rPr>
              <w:t xml:space="preserve">月度仪表盘；热点警报</w:t>
            </w:r>
          </w:p>
        </w:tc>
        <w:tc>
          <w:tcPr/>
          <w:p>
            <w:pPr>
              <w:pStyle w:val="Compact"/>
              <w:jc w:val="center"/>
            </w:pPr>
            <w:r>
              <w:rPr>
                <w:rFonts w:hint="eastAsia"/>
              </w:rPr>
              <w:t xml:space="preserve">数据共享延迟且定义不一致</w:t>
            </w:r>
          </w:p>
        </w:tc>
        <w:tc>
          <w:tcPr/>
          <w:p>
            <w:pPr>
              <w:pStyle w:val="Compact"/>
              <w:jc w:val="center"/>
            </w:pPr>
            <w:r>
              <w:t xml:space="preserve">52%</w:t>
            </w:r>
          </w:p>
        </w:tc>
      </w:tr>
      <w:tr>
        <w:tc>
          <w:tcPr/>
          <w:p>
            <w:pPr>
              <w:pStyle w:val="Compact"/>
              <w:jc w:val="left"/>
            </w:pPr>
            <w:r>
              <w:rPr>
                <w:rFonts w:hint="eastAsia"/>
              </w:rPr>
              <w:t xml:space="preserve">提供者合同</w:t>
            </w:r>
          </w:p>
        </w:tc>
        <w:tc>
          <w:tcPr/>
          <w:p>
            <w:pPr>
              <w:pStyle w:val="Compact"/>
              <w:jc w:val="center"/>
            </w:pPr>
            <w:r>
              <w:rPr>
                <w:rFonts w:hint="eastAsia"/>
              </w:rPr>
              <w:t xml:space="preserve">350万美元</w:t>
            </w:r>
          </w:p>
        </w:tc>
        <w:tc>
          <w:tcPr/>
          <w:p>
            <w:pPr>
              <w:pStyle w:val="Compact"/>
              <w:jc w:val="center"/>
            </w:pPr>
            <w:r>
              <w:rPr>
                <w:rFonts w:hint="eastAsia"/>
              </w:rPr>
              <w:t xml:space="preserve">资助2,260个治疗名额</w:t>
            </w:r>
          </w:p>
        </w:tc>
        <w:tc>
          <w:tcPr/>
          <w:p>
            <w:pPr>
              <w:pStyle w:val="Compact"/>
              <w:jc w:val="center"/>
            </w:pPr>
            <w:r>
              <w:rPr>
                <w:rFonts w:hint="eastAsia"/>
              </w:rPr>
              <w:t xml:space="preserve">利用率平均为72%；农村地区可及性有限</w:t>
            </w:r>
          </w:p>
        </w:tc>
        <w:tc>
          <w:tcPr/>
          <w:p>
            <w:pPr>
              <w:pStyle w:val="Compact"/>
              <w:jc w:val="center"/>
            </w:pPr>
            <w:r>
              <w:t xml:space="preserve">23%</w:t>
            </w:r>
          </w:p>
        </w:tc>
      </w:tr>
    </w:tbl>
    <w:p>
      <w:pPr>
        <w:pStyle w:val="BodyText"/>
      </w:pPr>
      <w:r>
        <w:rPr>
          <w:rFonts w:hint="eastAsia"/>
        </w:rPr>
        <w:t xml:space="preserve">注：成本和产出数据均为虚构。</w:t>
      </w:r>
      <w:r>
        <w:rPr>
          <w:rFonts w:hint="eastAsia"/>
        </w:rPr>
        <w:t xml:space="preserve">“拨款占比”</w:t>
      </w:r>
      <w:r>
        <w:rPr>
          <w:rFonts w:hint="eastAsia"/>
        </w:rPr>
        <w:t xml:space="preserve">是指目前由即将到期的联邦拨款支持的部分。</w:t>
      </w:r>
    </w:p>
    <w:bookmarkEnd w:id="18"/>
    <w:bookmarkStart w:id="19" w:name="可能的方向并非互斥"/>
    <w:p>
      <w:pPr>
        <w:pStyle w:val="Heading1"/>
      </w:pPr>
      <w:r>
        <w:rPr>
          <w:rFonts w:hint="eastAsia"/>
        </w:rPr>
        <w:t xml:space="preserve">可能的方向——并非互斥</w:t>
      </w:r>
    </w:p>
    <w:p>
      <w:pPr>
        <w:pStyle w:val="FirstParagraph"/>
      </w:pPr>
      <w:r>
        <w:rPr>
          <w:rFonts w:hint="eastAsia"/>
          <w:b/>
          <w:bCs/>
        </w:rPr>
        <w:t xml:space="preserve">集中于预防死亡。</w:t>
      </w:r>
      <w:r>
        <w:t xml:space="preserve"> </w:t>
      </w:r>
      <w:r>
        <w:rPr>
          <w:rFonts w:hint="eastAsia"/>
        </w:rPr>
        <w:t xml:space="preserve">保护纳洛酮分发和热点外展工作，即使治疗连续性有所减弱也可接受。</w:t>
      </w:r>
    </w:p>
    <w:p>
      <w:pPr>
        <w:pStyle w:val="BodyText"/>
      </w:pPr>
      <w:r>
        <w:rPr>
          <w:rFonts w:hint="eastAsia"/>
          <w:b/>
          <w:bCs/>
        </w:rPr>
        <w:t xml:space="preserve">转向治疗保留率。</w:t>
      </w:r>
      <w:r>
        <w:t xml:space="preserve"> </w:t>
      </w:r>
      <w:r>
        <w:rPr>
          <w:rFonts w:hint="eastAsia"/>
        </w:rPr>
        <w:t xml:space="preserve">减少广泛分发，转而投资于交通、护理导航、应急管理和更长期的随访。</w:t>
      </w:r>
    </w:p>
    <w:p>
      <w:pPr>
        <w:pStyle w:val="BodyText"/>
      </w:pPr>
      <w:r>
        <w:rPr>
          <w:rFonts w:hint="eastAsia"/>
          <w:b/>
          <w:bCs/>
        </w:rPr>
        <w:t xml:space="preserve">针对高负担人群和地点。</w:t>
      </w:r>
      <w:r>
        <w:t xml:space="preserve"> </w:t>
      </w:r>
      <w:r>
        <w:rPr>
          <w:rFonts w:hint="eastAsia"/>
        </w:rPr>
        <w:t xml:space="preserve">利用社区和人口统计数据集中资源，即使全县范围内的可及性因此变得不那么均匀。</w:t>
      </w:r>
    </w:p>
    <w:p>
      <w:pPr>
        <w:pStyle w:val="BodyText"/>
      </w:pPr>
      <w:r>
        <w:rPr>
          <w:rFonts w:hint="eastAsia"/>
          <w:b/>
          <w:bCs/>
        </w:rPr>
        <w:t xml:space="preserve">将服务纳入主流机构。</w:t>
      </w:r>
      <w:r>
        <w:t xml:space="preserve"> </w:t>
      </w:r>
      <w:r>
        <w:rPr>
          <w:rFonts w:hint="eastAsia"/>
        </w:rPr>
        <w:t xml:space="preserve">与医院、初级保健诊所、药店和监狱签订合同，而非维持由县运营的项目。</w:t>
      </w:r>
    </w:p>
    <w:p>
      <w:pPr>
        <w:pStyle w:val="BodyText"/>
      </w:pPr>
      <w:r>
        <w:rPr>
          <w:rFonts w:hint="eastAsia"/>
          <w:b/>
          <w:bCs/>
        </w:rPr>
        <w:t xml:space="preserve">构建更具适应性的项目组合。</w:t>
      </w:r>
      <w:r>
        <w:t xml:space="preserve"> </w:t>
      </w:r>
      <w:r>
        <w:rPr>
          <w:rFonts w:hint="eastAsia"/>
        </w:rPr>
        <w:t xml:space="preserve">保留部分预算用于与领先指标相关联的快速试验，随着证据的积累对项目进行扩展或叫停。</w:t>
      </w:r>
    </w:p>
    <w:bookmarkEnd w:id="19"/>
    <w:bookmarkStart w:id="20" w:name="何为成功"/>
    <w:p>
      <w:pPr>
        <w:pStyle w:val="Heading1"/>
      </w:pPr>
      <w:r>
        <w:rPr>
          <w:rFonts w:hint="eastAsia"/>
        </w:rPr>
        <w:t xml:space="preserve">何为成功？</w:t>
      </w:r>
    </w:p>
    <w:p>
      <w:pPr>
        <w:pStyle w:val="FirstParagraph"/>
      </w:pPr>
      <w:r>
        <w:rPr>
          <w:rFonts w:hint="eastAsia"/>
        </w:rPr>
        <w:t xml:space="preserve">利益相关方对目标并未达成一致。县行政长官希望每花费一美元能减少更多死亡人数。医院优先考虑治疗启动率和减少急诊科使用。倡导者强调生存、尊严和公平获取。警方领导关注公开吸毒行为和重复报警。提供者以护理保留率作为衡量标准。流行病学团队警告说，任何单一指标上表面的改善都可能反映的是转移效应、报告滞后、药物成分变化，或是均值回归现象。</w:t>
      </w:r>
    </w:p>
    <w:p>
      <w:pPr>
        <w:pStyle w:val="BodyText"/>
      </w:pPr>
      <w:r>
        <w:rPr>
          <w:rFonts w:hint="eastAsia"/>
        </w:rPr>
        <w:t xml:space="preserve">Torres还必须决定多少证据才算充分。一项由联邦资助的大型社区干预项目未能在其评估期内证明阿片类药物过量死亡率有统计学意义上的显著下降，尽管循证实践的采用有所增加——这说明将一整套广泛的服务转化为可衡量的人群层面结果有多么困难。⁷</w:t>
      </w:r>
    </w:p>
    <w:bookmarkEnd w:id="20"/>
    <w:bookmarkStart w:id="21" w:name="图1.-riverton过量用药指标"/>
    <w:p>
      <w:pPr>
        <w:pStyle w:val="Heading1"/>
      </w:pPr>
      <w:r>
        <w:rPr>
          <w:rFonts w:hint="eastAsia"/>
        </w:rPr>
        <w:t xml:space="preserve">图1.</w:t>
      </w:r>
      <w:r>
        <w:t xml:space="preserve"> </w:t>
      </w:r>
      <w:r>
        <w:rPr>
          <w:rFonts w:hint="eastAsia"/>
        </w:rPr>
        <w:t xml:space="preserve">Riverton过量用药指标</w:t>
      </w:r>
    </w:p>
    <w:tbl>
      <w:tblPr>
        <w:tblStyle w:val="Table"/>
        <w:tblW w:type="pct" w:w="4899"/>
        <w:tblLayout w:type="fixed"/>
        <w:tblLook w:firstRow="1" w:lastRow="0" w:firstColumn="0" w:lastColumn="0" w:noHBand="0" w:noVBand="0" w:val="0020"/>
      </w:tblPr>
      <w:tblGrid>
        <w:gridCol w:w="2880"/>
        <w:gridCol w:w="960"/>
        <w:gridCol w:w="960"/>
        <w:gridCol w:w="960"/>
        <w:gridCol w:w="960"/>
        <w:gridCol w:w="1040"/>
      </w:tblGrid>
      <w:tr>
        <w:trPr>
          <w:tblHeader w:val="on"/>
        </w:trPr>
        <w:tc>
          <w:tcPr/>
          <w:p>
            <w:pPr>
              <w:pStyle w:val="Compact"/>
              <w:jc w:val="left"/>
            </w:pPr>
            <w:r>
              <w:rPr>
                <w:rFonts w:hint="eastAsia"/>
              </w:rPr>
              <w:t xml:space="preserve">指标</w:t>
            </w:r>
          </w:p>
        </w:tc>
        <w:tc>
          <w:tcPr/>
          <w:p>
            <w:pPr>
              <w:pStyle w:val="Compact"/>
              <w:jc w:val="center"/>
            </w:pPr>
            <w:r>
              <w:t xml:space="preserve">2022</w:t>
            </w:r>
          </w:p>
        </w:tc>
        <w:tc>
          <w:tcPr/>
          <w:p>
            <w:pPr>
              <w:pStyle w:val="Compact"/>
              <w:jc w:val="center"/>
            </w:pPr>
            <w:r>
              <w:t xml:space="preserve">2023</w:t>
            </w:r>
          </w:p>
        </w:tc>
        <w:tc>
          <w:tcPr/>
          <w:p>
            <w:pPr>
              <w:pStyle w:val="Compact"/>
              <w:jc w:val="center"/>
            </w:pPr>
            <w:r>
              <w:t xml:space="preserve">2024</w:t>
            </w:r>
          </w:p>
        </w:tc>
        <w:tc>
          <w:tcPr/>
          <w:p>
            <w:pPr>
              <w:pStyle w:val="Compact"/>
              <w:jc w:val="center"/>
            </w:pPr>
            <w:r>
              <w:t xml:space="preserve">2025</w:t>
            </w:r>
          </w:p>
        </w:tc>
        <w:tc>
          <w:tcPr/>
          <w:p>
            <w:pPr>
              <w:pStyle w:val="Compact"/>
              <w:jc w:val="right"/>
            </w:pPr>
            <w:r>
              <w:rPr>
                <w:rFonts w:hint="eastAsia"/>
              </w:rPr>
              <w:t xml:space="preserve">2026年初至今*</w:t>
            </w:r>
          </w:p>
        </w:tc>
      </w:tr>
      <w:tr>
        <w:tc>
          <w:tcPr/>
          <w:p>
            <w:pPr>
              <w:pStyle w:val="Compact"/>
              <w:jc w:val="left"/>
            </w:pPr>
            <w:r>
              <w:rPr>
                <w:rFonts w:hint="eastAsia"/>
              </w:rPr>
              <w:t xml:space="preserve">致命过量事件</w:t>
            </w:r>
          </w:p>
        </w:tc>
        <w:tc>
          <w:tcPr/>
          <w:p>
            <w:pPr>
              <w:pStyle w:val="Compact"/>
              <w:jc w:val="center"/>
            </w:pPr>
            <w:r>
              <w:t xml:space="preserve">118</w:t>
            </w:r>
          </w:p>
        </w:tc>
        <w:tc>
          <w:tcPr/>
          <w:p>
            <w:pPr>
              <w:pStyle w:val="Compact"/>
              <w:jc w:val="center"/>
            </w:pPr>
            <w:r>
              <w:t xml:space="preserve">136</w:t>
            </w:r>
          </w:p>
        </w:tc>
        <w:tc>
          <w:tcPr/>
          <w:p>
            <w:pPr>
              <w:pStyle w:val="Compact"/>
              <w:jc w:val="center"/>
            </w:pPr>
            <w:r>
              <w:t xml:space="preserve">129</w:t>
            </w:r>
          </w:p>
        </w:tc>
        <w:tc>
          <w:tcPr/>
          <w:p>
            <w:pPr>
              <w:pStyle w:val="Compact"/>
              <w:jc w:val="center"/>
            </w:pPr>
            <w:r>
              <w:t xml:space="preserve">101</w:t>
            </w:r>
          </w:p>
        </w:tc>
        <w:tc>
          <w:tcPr/>
          <w:p>
            <w:pPr>
              <w:pStyle w:val="Compact"/>
              <w:jc w:val="right"/>
            </w:pPr>
            <w:r>
              <w:t xml:space="preserve">43</w:t>
            </w:r>
          </w:p>
        </w:tc>
      </w:tr>
      <w:tr>
        <w:tc>
          <w:tcPr/>
          <w:p>
            <w:pPr>
              <w:pStyle w:val="Compact"/>
              <w:jc w:val="left"/>
            </w:pPr>
            <w:r>
              <w:rPr>
                <w:rFonts w:hint="eastAsia"/>
              </w:rPr>
              <w:t xml:space="preserve">EMS治疗的非致命过量事件</w:t>
            </w:r>
          </w:p>
        </w:tc>
        <w:tc>
          <w:tcPr/>
          <w:p>
            <w:pPr>
              <w:pStyle w:val="Compact"/>
              <w:jc w:val="center"/>
            </w:pPr>
            <w:r>
              <w:t xml:space="preserve">642</w:t>
            </w:r>
          </w:p>
        </w:tc>
        <w:tc>
          <w:tcPr/>
          <w:p>
            <w:pPr>
              <w:pStyle w:val="Compact"/>
              <w:jc w:val="center"/>
            </w:pPr>
            <w:r>
              <w:t xml:space="preserve">714</w:t>
            </w:r>
          </w:p>
        </w:tc>
        <w:tc>
          <w:tcPr/>
          <w:p>
            <w:pPr>
              <w:pStyle w:val="Compact"/>
              <w:jc w:val="center"/>
            </w:pPr>
            <w:r>
              <w:t xml:space="preserve">746</w:t>
            </w:r>
          </w:p>
        </w:tc>
        <w:tc>
          <w:tcPr/>
          <w:p>
            <w:pPr>
              <w:pStyle w:val="Compact"/>
              <w:jc w:val="center"/>
            </w:pPr>
            <w:r>
              <w:t xml:space="preserve">691</w:t>
            </w:r>
          </w:p>
        </w:tc>
        <w:tc>
          <w:tcPr/>
          <w:p>
            <w:pPr>
              <w:pStyle w:val="Compact"/>
              <w:jc w:val="right"/>
            </w:pPr>
            <w:r>
              <w:t xml:space="preserve">286</w:t>
            </w:r>
          </w:p>
        </w:tc>
      </w:tr>
      <w:tr>
        <w:tc>
          <w:tcPr/>
          <w:p>
            <w:pPr>
              <w:pStyle w:val="Compact"/>
              <w:jc w:val="left"/>
            </w:pPr>
            <w:r>
              <w:rPr>
                <w:rFonts w:hint="eastAsia"/>
              </w:rPr>
              <w:t xml:space="preserve">EMS纳洛酮使用次数</w:t>
            </w:r>
          </w:p>
        </w:tc>
        <w:tc>
          <w:tcPr/>
          <w:p>
            <w:pPr>
              <w:pStyle w:val="Compact"/>
              <w:jc w:val="center"/>
            </w:pPr>
            <w:r>
              <w:t xml:space="preserve">508</w:t>
            </w:r>
          </w:p>
        </w:tc>
        <w:tc>
          <w:tcPr/>
          <w:p>
            <w:pPr>
              <w:pStyle w:val="Compact"/>
              <w:jc w:val="center"/>
            </w:pPr>
            <w:r>
              <w:t xml:space="preserve">575</w:t>
            </w:r>
          </w:p>
        </w:tc>
        <w:tc>
          <w:tcPr/>
          <w:p>
            <w:pPr>
              <w:pStyle w:val="Compact"/>
              <w:jc w:val="center"/>
            </w:pPr>
            <w:r>
              <w:t xml:space="preserve">612</w:t>
            </w:r>
          </w:p>
        </w:tc>
        <w:tc>
          <w:tcPr/>
          <w:p>
            <w:pPr>
              <w:pStyle w:val="Compact"/>
              <w:jc w:val="center"/>
            </w:pPr>
            <w:r>
              <w:t xml:space="preserve">584</w:t>
            </w:r>
          </w:p>
        </w:tc>
        <w:tc>
          <w:tcPr/>
          <w:p>
            <w:pPr>
              <w:pStyle w:val="Compact"/>
              <w:jc w:val="right"/>
            </w:pPr>
            <w:r>
              <w:t xml:space="preserve">241</w:t>
            </w:r>
          </w:p>
        </w:tc>
      </w:tr>
      <w:tr>
        <w:tc>
          <w:tcPr/>
          <w:p>
            <w:pPr>
              <w:pStyle w:val="Compact"/>
              <w:jc w:val="left"/>
            </w:pPr>
            <w:r>
              <w:rPr>
                <w:rFonts w:hint="eastAsia"/>
              </w:rPr>
              <w:t xml:space="preserve">医院过量用药就诊次数</w:t>
            </w:r>
          </w:p>
        </w:tc>
        <w:tc>
          <w:tcPr/>
          <w:p>
            <w:pPr>
              <w:pStyle w:val="Compact"/>
              <w:jc w:val="center"/>
            </w:pPr>
            <w:r>
              <w:t xml:space="preserve">884</w:t>
            </w:r>
          </w:p>
        </w:tc>
        <w:tc>
          <w:tcPr/>
          <w:p>
            <w:pPr>
              <w:pStyle w:val="Compact"/>
              <w:jc w:val="center"/>
            </w:pPr>
            <w:r>
              <w:t xml:space="preserve">963</w:t>
            </w:r>
          </w:p>
        </w:tc>
        <w:tc>
          <w:tcPr/>
          <w:p>
            <w:pPr>
              <w:pStyle w:val="Compact"/>
              <w:jc w:val="center"/>
            </w:pPr>
            <w:r>
              <w:t xml:space="preserve">1,022</w:t>
            </w:r>
          </w:p>
        </w:tc>
        <w:tc>
          <w:tcPr/>
          <w:p>
            <w:pPr>
              <w:pStyle w:val="Compact"/>
              <w:jc w:val="center"/>
            </w:pPr>
            <w:r>
              <w:t xml:space="preserve">947</w:t>
            </w:r>
          </w:p>
        </w:tc>
        <w:tc>
          <w:tcPr/>
          <w:p>
            <w:pPr>
              <w:pStyle w:val="Compact"/>
              <w:jc w:val="right"/>
            </w:pPr>
            <w:r>
              <w:t xml:space="preserve">412</w:t>
            </w:r>
          </w:p>
        </w:tc>
      </w:tr>
      <w:tr>
        <w:tc>
          <w:tcPr/>
          <w:p>
            <w:pPr>
              <w:pStyle w:val="Compact"/>
              <w:jc w:val="left"/>
            </w:pPr>
            <w:r>
              <w:rPr>
                <w:rFonts w:hint="eastAsia"/>
              </w:rPr>
              <w:t xml:space="preserve">药物治疗启动次数</w:t>
            </w:r>
          </w:p>
        </w:tc>
        <w:tc>
          <w:tcPr/>
          <w:p>
            <w:pPr>
              <w:pStyle w:val="Compact"/>
              <w:jc w:val="center"/>
            </w:pPr>
            <w:r>
              <w:t xml:space="preserve">611</w:t>
            </w:r>
          </w:p>
        </w:tc>
        <w:tc>
          <w:tcPr/>
          <w:p>
            <w:pPr>
              <w:pStyle w:val="Compact"/>
              <w:jc w:val="center"/>
            </w:pPr>
            <w:r>
              <w:t xml:space="preserve">782</w:t>
            </w:r>
          </w:p>
        </w:tc>
        <w:tc>
          <w:tcPr/>
          <w:p>
            <w:pPr>
              <w:pStyle w:val="Compact"/>
              <w:jc w:val="center"/>
            </w:pPr>
            <w:r>
              <w:t xml:space="preserve">1,036</w:t>
            </w:r>
          </w:p>
        </w:tc>
        <w:tc>
          <w:tcPr/>
          <w:p>
            <w:pPr>
              <w:pStyle w:val="Compact"/>
              <w:jc w:val="center"/>
            </w:pPr>
            <w:r>
              <w:t xml:space="preserve">1,194</w:t>
            </w:r>
          </w:p>
        </w:tc>
        <w:tc>
          <w:tcPr/>
          <w:p>
            <w:pPr>
              <w:pStyle w:val="Compact"/>
              <w:jc w:val="right"/>
            </w:pPr>
            <w:r>
              <w:t xml:space="preserve">566</w:t>
            </w:r>
          </w:p>
        </w:tc>
      </w:tr>
      <w:tr>
        <w:tc>
          <w:tcPr/>
          <w:p>
            <w:pPr>
              <w:pStyle w:val="Compact"/>
              <w:jc w:val="left"/>
            </w:pPr>
            <w:r>
              <w:rPr>
                <w:rFonts w:hint="eastAsia"/>
              </w:rPr>
              <w:t xml:space="preserve">90天治疗保留率</w:t>
            </w:r>
          </w:p>
        </w:tc>
        <w:tc>
          <w:tcPr/>
          <w:p>
            <w:pPr>
              <w:pStyle w:val="Compact"/>
              <w:jc w:val="center"/>
            </w:pPr>
            <w:r>
              <w:t xml:space="preserve">29%</w:t>
            </w:r>
          </w:p>
        </w:tc>
        <w:tc>
          <w:tcPr/>
          <w:p>
            <w:pPr>
              <w:pStyle w:val="Compact"/>
              <w:jc w:val="center"/>
            </w:pPr>
            <w:r>
              <w:t xml:space="preserve">31%</w:t>
            </w:r>
          </w:p>
        </w:tc>
        <w:tc>
          <w:tcPr/>
          <w:p>
            <w:pPr>
              <w:pStyle w:val="Compact"/>
              <w:jc w:val="center"/>
            </w:pPr>
            <w:r>
              <w:t xml:space="preserve">34%</w:t>
            </w:r>
          </w:p>
        </w:tc>
        <w:tc>
          <w:tcPr/>
          <w:p>
            <w:pPr>
              <w:pStyle w:val="Compact"/>
              <w:jc w:val="center"/>
            </w:pPr>
            <w:r>
              <w:t xml:space="preserve">36%</w:t>
            </w:r>
          </w:p>
        </w:tc>
        <w:tc>
          <w:tcPr/>
          <w:p>
            <w:pPr>
              <w:pStyle w:val="Compact"/>
              <w:jc w:val="right"/>
            </w:pPr>
            <w:r>
              <w:t xml:space="preserve">35%</w:t>
            </w:r>
          </w:p>
        </w:tc>
      </w:tr>
    </w:tbl>
    <w:p>
      <w:pPr>
        <w:pStyle w:val="BodyText"/>
      </w:pPr>
      <w:r>
        <w:rPr>
          <w:rFonts w:hint="eastAsia"/>
        </w:rPr>
        <w:t xml:space="preserve">*截至2026年8月31日。所有Riverton数据均为虚构。年初至今的数值与全年总数不可直接比较。</w:t>
      </w:r>
    </w:p>
    <w:bookmarkEnd w:id="21"/>
    <w:bookmarkStart w:id="22" w:name="图2.-结果不均衡20232025"/>
    <w:p>
      <w:pPr>
        <w:pStyle w:val="Heading1"/>
      </w:pPr>
      <w:r>
        <w:rPr>
          <w:rFonts w:hint="eastAsia"/>
        </w:rPr>
        <w:t xml:space="preserve">图2.</w:t>
      </w:r>
      <w:r>
        <w:t xml:space="preserve"> </w:t>
      </w:r>
      <w:r>
        <w:rPr>
          <w:rFonts w:hint="eastAsia"/>
        </w:rPr>
        <w:t xml:space="preserve">结果不均衡，2023–2025</w:t>
      </w:r>
    </w:p>
    <w:tbl>
      <w:tblPr>
        <w:tblStyle w:val="Table"/>
        <w:tblW w:type="pct" w:w="4884"/>
        <w:tblLayout w:type="fixed"/>
        <w:tblLook w:firstRow="1" w:lastRow="0" w:firstColumn="0" w:lastColumn="0" w:noHBand="0" w:noVBand="0" w:val="0020"/>
      </w:tblPr>
      <w:tblGrid>
        <w:gridCol w:w="2762"/>
        <w:gridCol w:w="1657"/>
        <w:gridCol w:w="1657"/>
        <w:gridCol w:w="1657"/>
      </w:tblGrid>
      <w:tr>
        <w:trPr>
          <w:tblHeader w:val="on"/>
        </w:trPr>
        <w:tc>
          <w:tcPr/>
          <w:p>
            <w:pPr>
              <w:pStyle w:val="Compact"/>
              <w:jc w:val="left"/>
            </w:pPr>
            <w:r>
              <w:rPr>
                <w:rFonts w:hint="eastAsia"/>
              </w:rPr>
              <w:t xml:space="preserve">人口群体</w:t>
            </w:r>
          </w:p>
        </w:tc>
        <w:tc>
          <w:tcPr/>
          <w:p>
            <w:pPr>
              <w:pStyle w:val="Compact"/>
              <w:jc w:val="center"/>
            </w:pPr>
            <w:r>
              <w:rPr>
                <w:rFonts w:hint="eastAsia"/>
              </w:rPr>
              <w:t xml:space="preserve">2023年死亡人数</w:t>
            </w:r>
          </w:p>
        </w:tc>
        <w:tc>
          <w:tcPr/>
          <w:p>
            <w:pPr>
              <w:pStyle w:val="Compact"/>
              <w:jc w:val="center"/>
            </w:pPr>
            <w:r>
              <w:rPr>
                <w:rFonts w:hint="eastAsia"/>
              </w:rPr>
              <w:t xml:space="preserve">2025年死亡人数</w:t>
            </w:r>
          </w:p>
        </w:tc>
        <w:tc>
          <w:tcPr/>
          <w:p>
            <w:pPr>
              <w:pStyle w:val="Compact"/>
              <w:jc w:val="center"/>
            </w:pPr>
            <w:r>
              <w:rPr>
                <w:rFonts w:hint="eastAsia"/>
              </w:rPr>
              <w:t xml:space="preserve">变化</w:t>
            </w:r>
          </w:p>
        </w:tc>
      </w:tr>
      <w:tr>
        <w:tc>
          <w:tcPr/>
          <w:p>
            <w:pPr>
              <w:pStyle w:val="Compact"/>
              <w:jc w:val="left"/>
            </w:pPr>
            <w:r>
              <w:rPr>
                <w:rFonts w:hint="eastAsia"/>
              </w:rPr>
              <w:t xml:space="preserve">白人居民</w:t>
            </w:r>
          </w:p>
        </w:tc>
        <w:tc>
          <w:tcPr/>
          <w:p>
            <w:pPr>
              <w:pStyle w:val="Compact"/>
              <w:jc w:val="center"/>
            </w:pPr>
            <w:r>
              <w:t xml:space="preserve">76</w:t>
            </w:r>
          </w:p>
        </w:tc>
        <w:tc>
          <w:tcPr/>
          <w:p>
            <w:pPr>
              <w:pStyle w:val="Compact"/>
              <w:jc w:val="center"/>
            </w:pPr>
            <w:r>
              <w:t xml:space="preserve">55</w:t>
            </w:r>
          </w:p>
        </w:tc>
        <w:tc>
          <w:tcPr/>
          <w:p>
            <w:pPr>
              <w:pStyle w:val="Compact"/>
              <w:jc w:val="center"/>
            </w:pPr>
            <w:r>
              <w:t xml:space="preserve">-28%</w:t>
            </w:r>
          </w:p>
        </w:tc>
      </w:tr>
      <w:tr>
        <w:tc>
          <w:tcPr/>
          <w:p>
            <w:pPr>
              <w:pStyle w:val="Compact"/>
              <w:jc w:val="left"/>
            </w:pPr>
            <w:r>
              <w:rPr>
                <w:rFonts w:hint="eastAsia"/>
              </w:rPr>
              <w:t xml:space="preserve">黑人居民</w:t>
            </w:r>
          </w:p>
        </w:tc>
        <w:tc>
          <w:tcPr/>
          <w:p>
            <w:pPr>
              <w:pStyle w:val="Compact"/>
              <w:jc w:val="center"/>
            </w:pPr>
            <w:r>
              <w:t xml:space="preserve">34</w:t>
            </w:r>
          </w:p>
        </w:tc>
        <w:tc>
          <w:tcPr/>
          <w:p>
            <w:pPr>
              <w:pStyle w:val="Compact"/>
              <w:jc w:val="center"/>
            </w:pPr>
            <w:r>
              <w:t xml:space="preserve">32</w:t>
            </w:r>
          </w:p>
        </w:tc>
        <w:tc>
          <w:tcPr/>
          <w:p>
            <w:pPr>
              <w:pStyle w:val="Compact"/>
              <w:jc w:val="center"/>
            </w:pPr>
            <w:r>
              <w:t xml:space="preserve">-6%</w:t>
            </w:r>
          </w:p>
        </w:tc>
      </w:tr>
      <w:tr>
        <w:tc>
          <w:tcPr/>
          <w:p>
            <w:pPr>
              <w:pStyle w:val="Compact"/>
              <w:jc w:val="left"/>
            </w:pPr>
            <w:r>
              <w:rPr>
                <w:rFonts w:hint="eastAsia"/>
              </w:rPr>
              <w:t xml:space="preserve">西班牙裔居民</w:t>
            </w:r>
          </w:p>
        </w:tc>
        <w:tc>
          <w:tcPr/>
          <w:p>
            <w:pPr>
              <w:pStyle w:val="Compact"/>
              <w:jc w:val="center"/>
            </w:pPr>
            <w:r>
              <w:t xml:space="preserve">19</w:t>
            </w:r>
          </w:p>
        </w:tc>
        <w:tc>
          <w:tcPr/>
          <w:p>
            <w:pPr>
              <w:pStyle w:val="Compact"/>
              <w:jc w:val="center"/>
            </w:pPr>
            <w:r>
              <w:t xml:space="preserve">11</w:t>
            </w:r>
          </w:p>
        </w:tc>
        <w:tc>
          <w:tcPr/>
          <w:p>
            <w:pPr>
              <w:pStyle w:val="Compact"/>
              <w:jc w:val="center"/>
            </w:pPr>
            <w:r>
              <w:t xml:space="preserve">-42%</w:t>
            </w:r>
          </w:p>
        </w:tc>
      </w:tr>
      <w:tr>
        <w:tc>
          <w:tcPr/>
          <w:p>
            <w:pPr>
              <w:pStyle w:val="Compact"/>
              <w:jc w:val="left"/>
            </w:pPr>
            <w:r>
              <w:rPr>
                <w:rFonts w:hint="eastAsia"/>
              </w:rPr>
              <w:t xml:space="preserve">其他/多种族居民</w:t>
            </w:r>
          </w:p>
        </w:tc>
        <w:tc>
          <w:tcPr/>
          <w:p>
            <w:pPr>
              <w:pStyle w:val="Compact"/>
              <w:jc w:val="center"/>
            </w:pPr>
            <w:r>
              <w:t xml:space="preserve">7</w:t>
            </w:r>
          </w:p>
        </w:tc>
        <w:tc>
          <w:tcPr/>
          <w:p>
            <w:pPr>
              <w:pStyle w:val="Compact"/>
              <w:jc w:val="center"/>
            </w:pPr>
            <w:r>
              <w:t xml:space="preserve">3</w:t>
            </w:r>
          </w:p>
        </w:tc>
        <w:tc>
          <w:tcPr/>
          <w:p>
            <w:pPr>
              <w:pStyle w:val="Compact"/>
              <w:jc w:val="center"/>
            </w:pPr>
            <w:r>
              <w:t xml:space="preserve">-57%</w:t>
            </w:r>
          </w:p>
        </w:tc>
      </w:tr>
      <w:tr>
        <w:tc>
          <w:tcPr/>
          <w:p>
            <w:pPr>
              <w:pStyle w:val="Compact"/>
              <w:jc w:val="left"/>
            </w:pPr>
            <w:r>
              <w:rPr>
                <w:rFonts w:hint="eastAsia"/>
              </w:rPr>
              <w:t xml:space="preserve">45–64岁人群</w:t>
            </w:r>
          </w:p>
        </w:tc>
        <w:tc>
          <w:tcPr/>
          <w:p>
            <w:pPr>
              <w:pStyle w:val="Compact"/>
              <w:jc w:val="center"/>
            </w:pPr>
            <w:r>
              <w:t xml:space="preserve">47</w:t>
            </w:r>
          </w:p>
        </w:tc>
        <w:tc>
          <w:tcPr/>
          <w:p>
            <w:pPr>
              <w:pStyle w:val="Compact"/>
              <w:jc w:val="center"/>
            </w:pPr>
            <w:r>
              <w:t xml:space="preserve">47</w:t>
            </w:r>
          </w:p>
        </w:tc>
        <w:tc>
          <w:tcPr/>
          <w:p>
            <w:pPr>
              <w:pStyle w:val="Compact"/>
              <w:jc w:val="center"/>
            </w:pPr>
            <w:r>
              <w:t xml:space="preserve">0%</w:t>
            </w:r>
          </w:p>
        </w:tc>
      </w:tr>
      <w:tr>
        <w:tc>
          <w:tcPr/>
          <w:p>
            <w:pPr>
              <w:pStyle w:val="Compact"/>
              <w:jc w:val="left"/>
            </w:pPr>
            <w:r>
              <w:rPr>
                <w:rFonts w:hint="eastAsia"/>
              </w:rPr>
              <w:t xml:space="preserve">西部农村乡镇</w:t>
            </w:r>
          </w:p>
        </w:tc>
        <w:tc>
          <w:tcPr/>
          <w:p>
            <w:pPr>
              <w:pStyle w:val="Compact"/>
              <w:jc w:val="center"/>
            </w:pPr>
            <w:r>
              <w:t xml:space="preserve">29</w:t>
            </w:r>
          </w:p>
        </w:tc>
        <w:tc>
          <w:tcPr/>
          <w:p>
            <w:pPr>
              <w:pStyle w:val="Compact"/>
              <w:jc w:val="center"/>
            </w:pPr>
            <w:r>
              <w:t xml:space="preserve">27</w:t>
            </w:r>
          </w:p>
        </w:tc>
        <w:tc>
          <w:tcPr/>
          <w:p>
            <w:pPr>
              <w:pStyle w:val="Compact"/>
              <w:jc w:val="center"/>
            </w:pPr>
            <w:r>
              <w:t xml:space="preserve">-7%</w:t>
            </w:r>
          </w:p>
        </w:tc>
      </w:tr>
    </w:tbl>
    <w:bookmarkEnd w:id="22"/>
    <w:bookmarkStart w:id="23" w:name="讨论题"/>
    <w:p>
      <w:pPr>
        <w:pStyle w:val="Heading1"/>
      </w:pPr>
      <w:r>
        <w:rPr>
          <w:rFonts w:hint="eastAsia"/>
        </w:rPr>
        <w:t xml:space="preserve">讨论题</w:t>
      </w:r>
    </w:p>
    <w:p>
      <w:pPr>
        <w:numPr>
          <w:ilvl w:val="0"/>
          <w:numId w:val="1001"/>
        </w:numPr>
      </w:pPr>
      <w:r>
        <w:rPr>
          <w:rFonts w:hint="eastAsia"/>
        </w:rPr>
        <w:t xml:space="preserve">Torres实际上被要求解决的问题是什么？不同的问题界定方式会如何改变最终建议？</w:t>
      </w:r>
    </w:p>
    <w:p>
      <w:pPr>
        <w:numPr>
          <w:ilvl w:val="0"/>
          <w:numId w:val="1001"/>
        </w:numPr>
      </w:pPr>
      <w:r>
        <w:rPr>
          <w:rFonts w:hint="eastAsia"/>
        </w:rPr>
        <w:t xml:space="preserve">该项目组合应以哪些绩效指标为准：死亡人数、非致命过量事件、治疗启动次数、保留率、公平性、公共秩序、成本，还是某种组合？</w:t>
      </w:r>
    </w:p>
    <w:p>
      <w:pPr>
        <w:numPr>
          <w:ilvl w:val="0"/>
          <w:numId w:val="1001"/>
        </w:numPr>
      </w:pPr>
      <w:r>
        <w:rPr>
          <w:rFonts w:hint="eastAsia"/>
        </w:rPr>
        <w:t xml:space="preserve">哪些决策是紧迫的，哪些可以推迟到获得更好信息之后再做？</w:t>
      </w:r>
    </w:p>
    <w:p>
      <w:pPr>
        <w:numPr>
          <w:ilvl w:val="0"/>
          <w:numId w:val="1001"/>
        </w:numPr>
      </w:pPr>
      <w:r>
        <w:rPr>
          <w:rFonts w:hint="eastAsia"/>
        </w:rPr>
        <w:t xml:space="preserve">哪些不确定性最为重要？其中哪些可以通过数据收集或有限的试点项目来降低？</w:t>
      </w:r>
    </w:p>
    <w:p>
      <w:pPr>
        <w:numPr>
          <w:ilvl w:val="0"/>
          <w:numId w:val="1001"/>
        </w:numPr>
      </w:pPr>
      <w:r>
        <w:rPr>
          <w:rFonts w:hint="eastAsia"/>
        </w:rPr>
        <w:t xml:space="preserve">在芬太尼暴露和服务需求依然居高不下的情况下，该县应如何解读全国和本地死亡人数的下降？</w:t>
      </w:r>
    </w:p>
    <w:p>
      <w:pPr>
        <w:numPr>
          <w:ilvl w:val="0"/>
          <w:numId w:val="1001"/>
        </w:numPr>
      </w:pPr>
      <w:r>
        <w:rPr>
          <w:rFonts w:hint="eastAsia"/>
        </w:rPr>
        <w:t xml:space="preserve">当不同人口群体和社区之间的结果差异悬殊时，什么样的资源分配原则才是站得住脚的？</w:t>
      </w:r>
    </w:p>
    <w:p>
      <w:pPr>
        <w:numPr>
          <w:ilvl w:val="0"/>
          <w:numId w:val="1001"/>
        </w:numPr>
      </w:pPr>
      <w:r>
        <w:rPr>
          <w:rFonts w:hint="eastAsia"/>
        </w:rPr>
        <w:t xml:space="preserve">为下午4点的会议准备一份建议，包括预算、实施优先事项，以及未来可能触发调整的指标。</w:t>
      </w:r>
    </w:p>
    <w:bookmarkEnd w:id="23"/>
    <w:bookmarkStart w:id="29" w:name="决策框架问题"/>
    <w:p>
      <w:pPr>
        <w:pStyle w:val="Heading1"/>
      </w:pPr>
      <w:r>
        <w:rPr>
          <w:rFonts w:hint="eastAsia"/>
        </w:rPr>
        <w:t xml:space="preserve">决策框架问题</w:t>
      </w:r>
    </w:p>
    <w:p>
      <w:pPr>
        <w:numPr>
          <w:ilvl w:val="0"/>
          <w:numId w:val="1002"/>
        </w:numPr>
      </w:pPr>
      <w:r>
        <w:rPr>
          <w:rFonts w:hint="eastAsia"/>
        </w:rPr>
        <w:t xml:space="preserve">识别并描述决策者的职责范围。这将界定问题的边界。</w:t>
      </w:r>
    </w:p>
    <w:p>
      <w:pPr>
        <w:numPr>
          <w:ilvl w:val="0"/>
          <w:numId w:val="1002"/>
        </w:numPr>
      </w:pPr>
      <w:r>
        <w:rPr>
          <w:rFonts w:hint="eastAsia"/>
        </w:rPr>
        <w:t xml:space="preserve">使用</w:t>
      </w:r>
      <w:hyperlink r:id="rId24">
        <w:r>
          <w:rPr>
            <w:rStyle w:val="Hyperlink"/>
            <w:rFonts w:hint="eastAsia"/>
          </w:rPr>
          <w:t xml:space="preserve">指标金字塔工具</w:t>
        </w:r>
      </w:hyperlink>
      <w:r>
        <w:rPr>
          <w:rFonts w:hint="eastAsia"/>
        </w:rPr>
        <w:t xml:space="preserve">来识别并排定不同绩效指标的优先级。点击承载该指标的椭圆形，以标明该指标是需要最大化的（绿色）、需要最小化的（红色）、作为下限的目标（浅绿色）、作为上限的目标（浅红色），还是一个目标值（紫色）。</w:t>
      </w:r>
    </w:p>
    <w:p>
      <w:pPr>
        <w:numPr>
          <w:ilvl w:val="0"/>
          <w:numId w:val="1002"/>
        </w:numPr>
      </w:pPr>
      <w:r>
        <w:rPr>
          <w:rFonts w:hint="eastAsia"/>
        </w:rPr>
        <w:t xml:space="preserve">使用</w:t>
      </w:r>
      <w:hyperlink r:id="rId25">
        <w:r>
          <w:rPr>
            <w:rStyle w:val="Hyperlink"/>
            <w:rFonts w:hint="eastAsia"/>
          </w:rPr>
          <w:t xml:space="preserve">决策优先级工具</w:t>
        </w:r>
      </w:hyperlink>
      <w:r>
        <w:rPr>
          <w:rFonts w:hint="eastAsia"/>
        </w:rPr>
        <w:t xml:space="preserve">，首先列出不同类型的决策（可参考</w:t>
      </w:r>
      <w:hyperlink r:id="rId26">
        <w:r>
          <w:rPr>
            <w:rStyle w:val="Hyperlink"/>
            <w:rFonts w:hint="eastAsia"/>
          </w:rPr>
          <w:t xml:space="preserve">决策类型</w:t>
        </w:r>
      </w:hyperlink>
      <w:r>
        <w:rPr>
          <w:rFonts w:hint="eastAsia"/>
        </w:rPr>
        <w:t xml:space="preserve">作为指导）。这些决策将随后填充到右侧矩阵的各行中，而各列则按照上方金字塔中的优先级从左到右排列绩效指标。点击每个单元格，标明该决策对每个绩效指标的影响程度是高（红色）、中（橙色）、低（黄色）还是无（白色）。</w:t>
      </w:r>
    </w:p>
    <w:p>
      <w:pPr>
        <w:numPr>
          <w:ilvl w:val="0"/>
          <w:numId w:val="1002"/>
        </w:numPr>
      </w:pPr>
      <w:r>
        <w:rPr>
          <w:rFonts w:hint="eastAsia"/>
        </w:rPr>
        <w:t xml:space="preserve">你可以抓住每行最左侧的把手（三条横杠）将其上移或下移。对各行进行排序，使对最重要指标影响最大的决策位于顶部。左上角的单元格应集中最多的红色和橙色。此时，确定在你的研究中应给予最多关注的决策。如果没有任何决策对最重要的指标具有中等或高等程度的影响，请重新审视你的决策清单。</w:t>
      </w:r>
    </w:p>
    <w:p>
      <w:pPr>
        <w:numPr>
          <w:ilvl w:val="0"/>
          <w:numId w:val="1002"/>
        </w:numPr>
      </w:pPr>
      <w:r>
        <w:rPr>
          <w:rFonts w:hint="eastAsia"/>
        </w:rPr>
        <w:t xml:space="preserve">使用</w:t>
      </w:r>
      <w:hyperlink r:id="rId27">
        <w:r>
          <w:rPr>
            <w:rStyle w:val="Hyperlink"/>
            <w:rFonts w:hint="eastAsia"/>
          </w:rPr>
          <w:t xml:space="preserve">不确定性优先级工具</w:t>
        </w:r>
      </w:hyperlink>
      <w:r>
        <w:rPr>
          <w:rFonts w:hint="eastAsia"/>
        </w:rPr>
        <w:t xml:space="preserve">重复上述过程，列出并排定不确定性因素的优先级。可参考</w:t>
      </w:r>
      <w:hyperlink r:id="rId28">
        <w:r>
          <w:rPr>
            <w:rStyle w:val="Hyperlink"/>
            <w:rFonts w:hint="eastAsia"/>
          </w:rPr>
          <w:t xml:space="preserve">不确定性类别</w:t>
        </w:r>
      </w:hyperlink>
      <w:r>
        <w:rPr>
          <w:rFonts w:hint="eastAsia"/>
        </w:rPr>
        <w:t xml:space="preserve">来帮助识别这些因素。</w:t>
      </w:r>
    </w:p>
    <w:p>
      <w:pPr>
        <w:numPr>
          <w:ilvl w:val="0"/>
          <w:numId w:val="1002"/>
        </w:numPr>
      </w:pPr>
      <w:r>
        <w:rPr>
          <w:rFonts w:hint="eastAsia"/>
        </w:rPr>
        <w:t xml:space="preserve">区分哪些不确定性可以通过长期平均表现来评估、哪些可作为风险事件来评估，这一点很重要：</w:t>
      </w:r>
    </w:p>
    <w:p>
      <w:pPr>
        <w:numPr>
          <w:ilvl w:val="1"/>
          <w:numId w:val="1003"/>
        </w:numPr>
      </w:pPr>
      <w:r>
        <w:rPr>
          <w:rFonts w:hint="eastAsia"/>
        </w:rPr>
        <w:t xml:space="preserve">哪些不确定性来源可以通过长期平均绩效来捕捉？</w:t>
      </w:r>
    </w:p>
    <w:p>
      <w:pPr>
        <w:numPr>
          <w:ilvl w:val="1"/>
          <w:numId w:val="1003"/>
        </w:numPr>
      </w:pPr>
      <w:r>
        <w:rPr>
          <w:rFonts w:hint="eastAsia"/>
        </w:rPr>
        <w:t xml:space="preserve">哪些不确定性来源代表了无法用平均值恰当捕捉的风险形式？</w:t>
      </w:r>
    </w:p>
    <w:p>
      <w:pPr>
        <w:numPr>
          <w:ilvl w:val="0"/>
          <w:numId w:val="1002"/>
        </w:numPr>
      </w:pPr>
      <w:r>
        <w:rPr>
          <w:rFonts w:hint="eastAsia"/>
        </w:rPr>
        <w:t xml:space="preserve">选择对最重要指标影响似乎最大的单一决策。</w:t>
      </w:r>
    </w:p>
    <w:p>
      <w:pPr>
        <w:numPr>
          <w:ilvl w:val="1"/>
          <w:numId w:val="1004"/>
        </w:numPr>
      </w:pPr>
      <w:r>
        <w:rPr>
          <w:rFonts w:hint="eastAsia"/>
        </w:rPr>
        <w:t xml:space="preserve">你认为你会采用什么方法来做出这一决策？</w:t>
      </w:r>
    </w:p>
    <w:p>
      <w:pPr>
        <w:numPr>
          <w:ilvl w:val="1"/>
          <w:numId w:val="1004"/>
        </w:numPr>
      </w:pPr>
      <w:r>
        <w:rPr>
          <w:rFonts w:hint="eastAsia"/>
        </w:rPr>
        <w:t xml:space="preserve">做出该决策似乎需要哪些数据，包括在该决策具有高或中等影响的情况下，计算任何绩效指标所需的数据。</w:t>
      </w:r>
    </w:p>
    <w:p>
      <w:pPr>
        <w:numPr>
          <w:ilvl w:val="0"/>
          <w:numId w:val="1002"/>
        </w:numPr>
      </w:pPr>
      <w:r>
        <w:rPr>
          <w:rFonts w:hint="eastAsia"/>
        </w:rPr>
        <w:t xml:space="preserve">针对你在第(7)题中确定的同一决策，识别你需要与之合作以实施该决策的人员、部门、团体或组织。</w:t>
      </w:r>
    </w:p>
    <w:bookmarkEnd w:id="29"/>
    <w:bookmarkStart w:id="30" w:name="来源与说明"/>
    <w:p>
      <w:pPr>
        <w:pStyle w:val="Heading1"/>
      </w:pPr>
      <w:r>
        <w:rPr>
          <w:rFonts w:hint="eastAsia"/>
        </w:rPr>
        <w:t xml:space="preserve">来源与说明</w:t>
      </w:r>
    </w:p>
    <w:p>
      <w:pPr>
        <w:pStyle w:val="FirstParagraph"/>
      </w:pPr>
      <w:r>
        <w:t xml:space="preserve">1. </w:t>
      </w:r>
      <w:r>
        <w:rPr>
          <w:rFonts w:hint="eastAsia"/>
        </w:rPr>
        <w:t xml:space="preserve">CDC，《2024年美国过量用药死亡人数下降近27%》，2025年5月14日。据估计，涉及阿片类药物的死亡人数从2023年的83,140人降至2024年的54,743人。</w:t>
      </w:r>
    </w:p>
    <w:p>
      <w:pPr>
        <w:pStyle w:val="BodyText"/>
      </w:pPr>
      <w:r>
        <w:t xml:space="preserve">2. </w:t>
      </w:r>
      <w:r>
        <w:rPr>
          <w:rFonts w:hint="eastAsia"/>
        </w:rPr>
        <w:t xml:space="preserve">CDC，《美国过量用药死亡人数连续第三年下降》，2026年5月13日。据估计，涉及阿片类药物的死亡人数在2025年降至44,564人；若干州出现了增长。</w:t>
      </w:r>
    </w:p>
    <w:p>
      <w:pPr>
        <w:pStyle w:val="BodyText"/>
      </w:pPr>
      <w:r>
        <w:t xml:space="preserve">3. </w:t>
      </w:r>
      <w:r>
        <w:rPr>
          <w:rFonts w:hint="eastAsia"/>
        </w:rPr>
        <w:t xml:space="preserve">CDC/NCHS，《美国药物过量死亡情况，2023–2024》，数据简报第549号。涉及甲美沙酮以外合成阿片类药物的年龄调整死亡率从每100,000人22.2例降至14.3例。</w:t>
      </w:r>
    </w:p>
    <w:p>
      <w:pPr>
        <w:pStyle w:val="BodyText"/>
      </w:pPr>
      <w:r>
        <w:t xml:space="preserve">4. </w:t>
      </w:r>
      <w:r>
        <w:rPr>
          <w:rFonts w:hint="eastAsia"/>
        </w:rPr>
        <w:t xml:space="preserve">SAMHSA，2024年全国药物使用与健康调查发布数据：4,840万12岁及以上人群在过去一年中患有物质使用障碍。</w:t>
      </w:r>
    </w:p>
    <w:p>
      <w:pPr>
        <w:pStyle w:val="BodyText"/>
      </w:pPr>
      <w:r>
        <w:t xml:space="preserve">5. </w:t>
      </w:r>
      <w:r>
        <w:rPr>
          <w:rFonts w:hint="eastAsia"/>
        </w:rPr>
        <w:t xml:space="preserve">SAMHSA，《2024年全国药物使用与健康调查结果》。在阿片类药物使用障碍涉及滥用的人群中，42.4%为轻度，37.1%为重度障碍。</w:t>
      </w:r>
    </w:p>
    <w:p>
      <w:pPr>
        <w:pStyle w:val="BodyText"/>
      </w:pPr>
      <w:r>
        <w:t xml:space="preserve">6. </w:t>
      </w:r>
      <w:r>
        <w:rPr>
          <w:rFonts w:hint="eastAsia"/>
        </w:rPr>
        <w:t xml:space="preserve">CDC，《生命体征：药物过量死亡与差异》。从2019年到2020年，黑人过量死亡率上升了44%，美国原住民/阿拉斯加原住民上升了39%；多个种族和族裔群体中的治疗证据最为薄弱。</w:t>
      </w:r>
    </w:p>
    <w:p>
      <w:pPr>
        <w:pStyle w:val="BodyText"/>
      </w:pPr>
      <w:r>
        <w:t xml:space="preserve">7. </w:t>
      </w:r>
      <w:r>
        <w:rPr>
          <w:rFonts w:hint="eastAsia"/>
        </w:rPr>
        <w:t xml:space="preserve">美国国家药物滥用研究所，2024年6月，关于HEALing</w:t>
      </w:r>
      <w:r>
        <w:t xml:space="preserve"> Communities </w:t>
      </w:r>
      <w:r>
        <w:rPr>
          <w:rFonts w:hint="eastAsia"/>
        </w:rPr>
        <w:t xml:space="preserve">Study的报告：该干预措施增加了循证实践的采用，但在评估期内未能显著降低阿片类药物过量死亡率。</w:t>
      </w:r>
    </w:p>
    <w:bookmarkEnd w:id="30"/>
    <w:bookmarkStart w:id="33" w:name="chatgpt-说明"/>
    <w:p>
      <w:pPr>
        <w:pStyle w:val="Heading1"/>
      </w:pPr>
      <w:r>
        <w:t xml:space="preserve">ChatGPT </w:t>
      </w:r>
      <w:r>
        <w:rPr>
          <w:rFonts w:hint="eastAsia"/>
        </w:rPr>
        <w:t xml:space="preserve">说明</w:t>
      </w:r>
    </w:p>
    <w:bookmarkStart w:id="31" w:name="提示词"/>
    <w:p>
      <w:pPr>
        <w:pStyle w:val="Heading2"/>
      </w:pPr>
      <w:r>
        <w:rPr>
          <w:rFonts w:hint="eastAsia"/>
        </w:rPr>
        <w:t xml:space="preserve">提示词</w:t>
      </w:r>
    </w:p>
    <w:p>
      <w:pPr>
        <w:pStyle w:val="FirstParagraph"/>
      </w:pPr>
      <w:r>
        <w:rPr>
          <w:rFonts w:hint="eastAsia"/>
        </w:rPr>
        <w:t xml:space="preserve">案例研究</w:t>
      </w:r>
      <w:r>
        <w:t xml:space="preserve"> - </w:t>
      </w:r>
      <w:r>
        <w:rPr>
          <w:rFonts w:hint="eastAsia"/>
        </w:rPr>
        <w:t xml:space="preserve">以商业案例研究的风格，创建一个由统计数据支持的公共卫生问题案例研究。应为3至5页的Word文档，条理清晰，但不明确提供问题的解决方法。</w:t>
      </w:r>
    </w:p>
    <w:bookmarkEnd w:id="31"/>
    <w:bookmarkStart w:id="32" w:name="摘要"/>
    <w:p>
      <w:pPr>
        <w:pStyle w:val="Heading2"/>
      </w:pPr>
      <w:r>
        <w:rPr>
          <w:rFonts w:hint="eastAsia"/>
        </w:rPr>
        <w:t xml:space="preserve">摘要</w:t>
      </w:r>
    </w:p>
    <w:p>
      <w:pPr>
        <w:pStyle w:val="FirstParagraph"/>
      </w:pPr>
      <w:r>
        <w:rPr>
          <w:rFonts w:hint="eastAsia"/>
        </w:rPr>
        <w:t xml:space="preserve">它采用商学院案例研究的格式，包括：</w:t>
      </w:r>
    </w:p>
    <w:p>
      <w:pPr>
        <w:numPr>
          <w:ilvl w:val="0"/>
          <w:numId w:val="1005"/>
        </w:numPr>
      </w:pPr>
      <w:r>
        <w:rPr>
          <w:rFonts w:hint="eastAsia"/>
        </w:rPr>
        <w:t xml:space="preserve">一个面临芬太尼和过量用药危机的虚构县</w:t>
      </w:r>
    </w:p>
    <w:p>
      <w:pPr>
        <w:numPr>
          <w:ilvl w:val="0"/>
          <w:numId w:val="1005"/>
        </w:numPr>
      </w:pPr>
      <w:r>
        <w:rPr>
          <w:rFonts w:hint="eastAsia"/>
        </w:rPr>
        <w:t xml:space="preserve">来自CDC、SAMHSA和NIDA的最新全国统计数据</w:t>
      </w:r>
    </w:p>
    <w:p>
      <w:pPr>
        <w:numPr>
          <w:ilvl w:val="0"/>
          <w:numId w:val="1005"/>
        </w:numPr>
      </w:pPr>
      <w:r>
        <w:rPr>
          <w:rFonts w:hint="eastAsia"/>
        </w:rPr>
        <w:t xml:space="preserve">相互竞争的利益相关方观点</w:t>
      </w:r>
    </w:p>
    <w:p>
      <w:pPr>
        <w:numPr>
          <w:ilvl w:val="0"/>
          <w:numId w:val="1005"/>
        </w:numPr>
      </w:pPr>
      <w:r>
        <w:rPr>
          <w:rFonts w:hint="eastAsia"/>
        </w:rPr>
        <w:t xml:space="preserve">资金缺口与项目层面的预算数据</w:t>
      </w:r>
    </w:p>
    <w:p>
      <w:pPr>
        <w:numPr>
          <w:ilvl w:val="0"/>
          <w:numId w:val="1005"/>
        </w:numPr>
      </w:pPr>
      <w:r>
        <w:rPr>
          <w:rFonts w:hint="eastAsia"/>
        </w:rPr>
        <w:t xml:space="preserve">绩效、公平性及测量方面的不确定性</w:t>
      </w:r>
    </w:p>
    <w:p>
      <w:pPr>
        <w:numPr>
          <w:ilvl w:val="0"/>
          <w:numId w:val="1005"/>
        </w:numPr>
      </w:pPr>
      <w:r>
        <w:rPr>
          <w:rFonts w:hint="eastAsia"/>
        </w:rPr>
        <w:t xml:space="preserve">定量图表和讨论题</w:t>
      </w:r>
    </w:p>
    <w:p>
      <w:pPr>
        <w:numPr>
          <w:ilvl w:val="0"/>
          <w:numId w:val="1005"/>
        </w:numPr>
      </w:pPr>
      <w:r>
        <w:rPr>
          <w:rFonts w:hint="eastAsia"/>
        </w:rPr>
        <w:t xml:space="preserve">没有明确的首选解决方案</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5" Target="https://warrenpowell.org/decision-framing-tool/#decision-prioritization-tool" TargetMode="External" /><Relationship Type="http://schemas.openxmlformats.org/officeDocument/2006/relationships/hyperlink" Id="rId24" Target="https://warrenpowell.org/decision-framing-tool/#metrics-pyramid-tool" TargetMode="External" /><Relationship Type="http://schemas.openxmlformats.org/officeDocument/2006/relationships/hyperlink" Id="rId27" Target="https://warrenpowell.org/decision-framing-tool/#uncertainty-prioritization-tool" TargetMode="External" /><Relationship Type="http://schemas.openxmlformats.org/officeDocument/2006/relationships/hyperlink" Id="rId26" Target="https://warrenpowell.org/decisionsdecisions/#types-of-decision-settings" TargetMode="External" /><Relationship Type="http://schemas.openxmlformats.org/officeDocument/2006/relationships/hyperlink" Id="rId28"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25" Target="https://warrenpowell.org/decision-framing-tool/#decision-prioritization-tool" TargetMode="External" /><Relationship Type="http://schemas.openxmlformats.org/officeDocument/2006/relationships/hyperlink" Id="rId24" Target="https://warrenpowell.org/decision-framing-tool/#metrics-pyramid-tool" TargetMode="External" /><Relationship Type="http://schemas.openxmlformats.org/officeDocument/2006/relationships/hyperlink" Id="rId27" Target="https://warrenpowell.org/decision-framing-tool/#uncertainty-prioritization-tool" TargetMode="External" /><Relationship Type="http://schemas.openxmlformats.org/officeDocument/2006/relationships/hyperlink" Id="rId26" Target="https://warrenpowell.org/decisionsdecisions/#types-of-decision-settings" TargetMode="External" /><Relationship Type="http://schemas.openxmlformats.org/officeDocument/2006/relationships/hyperlink" Id="rId28"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2026-09-11T17:26:26Z</dcterms:created>
  <dcterms:modified xsi:type="dcterms:W3CDTF">2026-09-11T17:26:26Z</dcterms:modified>
</cp:coreProperties>
</file>

<file path=docProps/custom.xml><?xml version="1.0" encoding="utf-8"?>
<Properties xmlns="http://schemas.openxmlformats.org/officeDocument/2006/custom-properties" xmlns:vt="http://schemas.openxmlformats.org/officeDocument/2006/docPropsVTypes"/>
</file>