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SUMMIT RIDGE ASSET MANAGEMENT</w:t>
      </w:r>
    </w:p>
    <w:p>
      <w:pPr>
        <w:pStyle w:val="BodyText"/>
      </w:pPr>
      <w:r>
        <w:rPr>
          <w:rFonts w:hint="eastAsia"/>
        </w:rPr>
        <w:t xml:space="preserve">周一早晨的现金决策</w:t>
      </w:r>
    </w:p>
    <w:p>
      <w:pPr>
        <w:pStyle w:val="BodyText"/>
      </w:pPr>
      <w:r>
        <w:rPr>
          <w:rFonts w:hint="eastAsia"/>
        </w:rPr>
        <w:t xml:space="preserve">一个关于投资者资金流动、流动性、投资组合表现以及压力下交易的共同基金案例</w:t>
      </w:r>
    </w:p>
    <w:p>
      <w:pPr>
        <w:pStyle w:val="BodyText"/>
      </w:pPr>
      <w:r>
        <w:rPr>
          <w:rFonts w:hint="eastAsia"/>
        </w:rPr>
        <w:t xml:space="preserve">本案例为虚构内容，旨在用于教学讨论。人名、事件、基金及内部数据均为虚构，但所处的行业背景以公开数据为参考依据。</w:t>
      </w:r>
    </w:p>
    <w:bookmarkStart w:id="9" w:name="一个坏消息不断的周末"/>
    <w:p>
      <w:pPr>
        <w:pStyle w:val="Heading1"/>
      </w:pPr>
      <w:r>
        <w:rPr>
          <w:rFonts w:hint="eastAsia"/>
        </w:rPr>
        <w:t xml:space="preserve">一个坏消息不断的周末</w:t>
      </w:r>
    </w:p>
    <w:p>
      <w:pPr>
        <w:pStyle w:val="FirstParagraph"/>
      </w:pPr>
      <w:r>
        <w:rPr>
          <w:rFonts w:hint="eastAsia"/>
        </w:rPr>
        <w:t xml:space="preserve">2026年10月12日星期一上午7点05分，Summit</w:t>
      </w:r>
      <w:r>
        <w:t xml:space="preserve"> Ridge Asset </w:t>
      </w:r>
      <w:r>
        <w:rPr>
          <w:rFonts w:hint="eastAsia"/>
        </w:rPr>
        <w:t xml:space="preserve">Management首席投资官Elena</w:t>
      </w:r>
      <w:r>
        <w:t xml:space="preserve"> </w:t>
      </w:r>
      <w:r>
        <w:rPr>
          <w:rFonts w:hint="eastAsia"/>
        </w:rPr>
        <w:t xml:space="preserve">Marquez打开了公司过户代理机构发来的一条信息。自周五下午以来，Summit</w:t>
      </w:r>
      <w:r>
        <w:t xml:space="preserve"> Ridge Select Equity </w:t>
      </w:r>
      <w:r>
        <w:rPr>
          <w:rFonts w:hint="eastAsia"/>
        </w:rPr>
        <w:t xml:space="preserve">Fund的投资者已提交了估计约3.18亿美元的赎回请求。其中大部分来自三个机构账户。零售订单仍在处理中，在基金当天下午的定价截止时间之前，可能还会增加4千万至9千万美元。</w:t>
      </w:r>
    </w:p>
    <w:p>
      <w:pPr>
        <w:pStyle w:val="BodyText"/>
      </w:pPr>
      <w:r>
        <w:rPr>
          <w:rFonts w:hint="eastAsia"/>
        </w:rPr>
        <w:t xml:space="preserve">这些赎回请求是在一个艰难的周末之后到来的。一家大型科技公司警告称其季度营收将低于预期。海外市场大幅下跌，美国国债收益率走高，股指期货显示美国股市开盘可能下跌超过2%。该基金的几只最大持仓很可能会成为开盘时交易最活跃的证券之一。</w:t>
      </w:r>
    </w:p>
    <w:p>
      <w:pPr>
        <w:pStyle w:val="BodyText"/>
      </w:pPr>
      <w:r>
        <w:rPr>
          <w:rFonts w:hint="eastAsia"/>
        </w:rPr>
        <w:t xml:space="preserve">该基金持有2.46亿美元的现金及国库券，占净资产的2.9%。Marquez可以在不出售股票的情况下满足大部分已知的赎回需求，但这样做将几乎不剩什么流动性来应对额外的赎回。她可以立即筹集更多现金，但在下跌的市场中卖出可能会锁定不利的价格，并改变投资组合的构成。持有更大的永久性现金储备可以降低这一风险，但也可能导致基金在市场上涨期间落后于基准。</w:t>
      </w:r>
    </w:p>
    <w:tbl>
      <w:tblPr>
        <w:tblStyle w:val="Table"/>
        <w:tblW w:type="auto" w:w="0"/>
        <w:tblLook w:firstRow="0" w:lastRow="0" w:firstColumn="0" w:lastColumn="0" w:noHBand="0" w:noVBand="0" w:val="0000"/>
      </w:tblPr>
      <w:tblGrid>
        <w:gridCol w:w="7920"/>
      </w:tblGrid>
      <w:tr>
        <w:tc>
          <w:tcPr/>
          <w:p>
            <w:pPr>
              <w:pStyle w:val="Compact"/>
              <w:jc w:val="left"/>
            </w:pPr>
            <w:r>
              <w:t xml:space="preserve">Summit </w:t>
            </w:r>
            <w:r>
              <w:rPr>
                <w:rFonts w:hint="eastAsia"/>
              </w:rPr>
              <w:t xml:space="preserve">Ridge无需再决定现金是否有用。它必须决定多少流动性才算充足、何时筹集流动性，以及当资金流动迫使投资组合交易时，应由哪些投资者承担成本。</w:t>
            </w:r>
          </w:p>
        </w:tc>
      </w:tr>
    </w:tbl>
    <w:p>
      <w:r>
        <w:pict>
          <v:rect style="width:0;height:1.5pt" o:hralign="center" o:hrstd="t" o:hr="t"/>
        </w:pict>
      </w:r>
    </w:p>
    <w:bookmarkEnd w:id="9"/>
    <w:bookmarkStart w:id="11" w:name="summit-ridge与select-equity-fund"/>
    <w:p>
      <w:pPr>
        <w:pStyle w:val="Heading1"/>
      </w:pPr>
      <w:r>
        <w:t xml:space="preserve">Summit </w:t>
      </w:r>
      <w:r>
        <w:rPr>
          <w:rFonts w:hint="eastAsia"/>
        </w:rPr>
        <w:t xml:space="preserve">Ridge与Select</w:t>
      </w:r>
      <w:r>
        <w:t xml:space="preserve"> Equity Fund</w:t>
      </w:r>
    </w:p>
    <w:p>
      <w:pPr>
        <w:pStyle w:val="FirstParagraph"/>
      </w:pPr>
      <w:r>
        <w:t xml:space="preserve">Summit </w:t>
      </w:r>
      <w:r>
        <w:rPr>
          <w:rFonts w:hint="eastAsia"/>
        </w:rPr>
        <w:t xml:space="preserve">Ridge是一家私人持有的投资管理公司，管理着共同基金、单独管理账户和退休产品共计410亿美元的资产。Select</w:t>
      </w:r>
      <w:r>
        <w:t xml:space="preserve"> Equity </w:t>
      </w:r>
      <w:r>
        <w:rPr>
          <w:rFonts w:hint="eastAsia"/>
        </w:rPr>
        <w:t xml:space="preserve">Fund是其旗舰策略，持有由大中型美国公司组成的集中型投资组合。该基金长期业绩表现强劲，但近期由于投资者在成长股、防御性板块、债券和货币市场基金之间转换配置，其表现有所波动。</w:t>
      </w:r>
    </w:p>
    <w:p>
      <w:pPr>
        <w:pStyle w:val="BodyText"/>
      </w:pPr>
      <w:r>
        <w:rPr>
          <w:rFonts w:hint="eastAsia"/>
        </w:rPr>
        <w:t xml:space="preserve">美国共同基金行业规模庞大。截至2026年5月，长期共同基金持有的资产约为25.3万亿美元，其中股票型基金约为17.8万亿美元，债券型基金约为5.7万亿美元。行业规模之大并未消除资金流动的波动性。在截至2026年7月15日的一周内，长期共同基金出现了估计150.43亿美元的净流出，而与此同时交易所交易基金则报告了净发行。截至2025年3月，货币市场基金资产已突破7万亿美元，原因是投资者寻求流动性和有吸引力的短期收益率。</w:t>
      </w:r>
    </w:p>
    <w:p>
      <w:pPr>
        <w:pStyle w:val="BodyText"/>
      </w:pPr>
      <w:r>
        <w:rPr>
          <w:rFonts w:hint="eastAsia"/>
        </w:rPr>
        <w:t xml:space="preserve">开放式共同基金被要求随时准备按资产净值赎回份额。因此，当赎回超过新申购时，Summit</w:t>
      </w:r>
      <w:r>
        <w:t xml:space="preserve"> </w:t>
      </w:r>
      <w:r>
        <w:rPr>
          <w:rFonts w:hint="eastAsia"/>
        </w:rPr>
        <w:t xml:space="preserve">Ridge必须将部分投资组合转换为现金。美国证券交易委员会的流动性规则也要求基金评估持仓转换为现金的速度，并在适用情况下维持最低水平的高流动性投资。</w:t>
      </w:r>
    </w:p>
    <w:bookmarkStart w:id="10" w:name="展示项1.-select-equity-fund概况"/>
    <w:p>
      <w:pPr>
        <w:pStyle w:val="Heading2"/>
      </w:pPr>
      <w:r>
        <w:rPr>
          <w:rFonts w:hint="eastAsia"/>
        </w:rPr>
        <w:t xml:space="preserve">展示项1.</w:t>
      </w:r>
      <w:r>
        <w:t xml:space="preserve"> Select Equity </w:t>
      </w:r>
      <w:r>
        <w:rPr>
          <w:rFonts w:hint="eastAsia"/>
        </w:rPr>
        <w:t xml:space="preserve">Fund概况</w:t>
      </w:r>
    </w:p>
    <w:tbl>
      <w:tblPr>
        <w:tblStyle w:val="Table"/>
        <w:tblW w:type="pct" w:w="4861"/>
        <w:tblLayout w:type="fixed"/>
        <w:tblLook w:firstRow="1" w:lastRow="0" w:firstColumn="0" w:lastColumn="0" w:noHBand="0" w:noVBand="0" w:val="0020"/>
      </w:tblPr>
      <w:tblGrid>
        <w:gridCol w:w="3630"/>
        <w:gridCol w:w="1980"/>
        <w:gridCol w:w="209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当前值</w:t>
            </w:r>
          </w:p>
        </w:tc>
        <w:tc>
          <w:tcPr/>
          <w:p>
            <w:pPr>
              <w:pStyle w:val="Compact"/>
              <w:jc w:val="center"/>
            </w:pPr>
            <w:r>
              <w:rPr>
                <w:rFonts w:hint="eastAsia"/>
              </w:rPr>
              <w:t xml:space="preserve">一年前</w:t>
            </w:r>
          </w:p>
        </w:tc>
      </w:tr>
      <w:tr>
        <w:tc>
          <w:tcPr/>
          <w:p>
            <w:pPr>
              <w:pStyle w:val="Compact"/>
              <w:jc w:val="left"/>
            </w:pPr>
            <w:r>
              <w:rPr>
                <w:rFonts w:hint="eastAsia"/>
              </w:rPr>
              <w:t xml:space="preserve">净资产</w:t>
            </w:r>
          </w:p>
        </w:tc>
        <w:tc>
          <w:tcPr/>
          <w:p>
            <w:pPr>
              <w:pStyle w:val="Compact"/>
              <w:jc w:val="center"/>
            </w:pPr>
            <w:r>
              <w:rPr>
                <w:rFonts w:hint="eastAsia"/>
              </w:rPr>
              <w:t xml:space="preserve">84.8亿美元</w:t>
            </w:r>
          </w:p>
        </w:tc>
        <w:tc>
          <w:tcPr/>
          <w:p>
            <w:pPr>
              <w:pStyle w:val="Compact"/>
              <w:jc w:val="center"/>
            </w:pPr>
            <w:r>
              <w:rPr>
                <w:rFonts w:hint="eastAsia"/>
              </w:rPr>
              <w:t xml:space="preserve">79.2亿美元</w:t>
            </w:r>
          </w:p>
        </w:tc>
      </w:tr>
      <w:tr>
        <w:tc>
          <w:tcPr/>
          <w:p>
            <w:pPr>
              <w:pStyle w:val="Compact"/>
              <w:jc w:val="left"/>
            </w:pPr>
            <w:r>
              <w:rPr>
                <w:rFonts w:hint="eastAsia"/>
              </w:rPr>
              <w:t xml:space="preserve">投资组合持仓数量</w:t>
            </w:r>
          </w:p>
        </w:tc>
        <w:tc>
          <w:tcPr/>
          <w:p>
            <w:pPr>
              <w:pStyle w:val="Compact"/>
              <w:jc w:val="center"/>
            </w:pPr>
            <w:r>
              <w:t xml:space="preserve">64</w:t>
            </w:r>
          </w:p>
        </w:tc>
        <w:tc>
          <w:tcPr/>
          <w:p>
            <w:pPr>
              <w:pStyle w:val="Compact"/>
              <w:jc w:val="center"/>
            </w:pPr>
            <w:r>
              <w:t xml:space="preserve">61</w:t>
            </w:r>
          </w:p>
        </w:tc>
      </w:tr>
      <w:tr>
        <w:tc>
          <w:tcPr/>
          <w:p>
            <w:pPr>
              <w:pStyle w:val="Compact"/>
              <w:jc w:val="left"/>
            </w:pPr>
            <w:r>
              <w:rPr>
                <w:rFonts w:hint="eastAsia"/>
              </w:rPr>
              <w:t xml:space="preserve">现金及国库券</w:t>
            </w:r>
          </w:p>
        </w:tc>
        <w:tc>
          <w:tcPr/>
          <w:p>
            <w:pPr>
              <w:pStyle w:val="Compact"/>
              <w:jc w:val="center"/>
            </w:pPr>
            <w:r>
              <w:rPr>
                <w:rFonts w:hint="eastAsia"/>
              </w:rPr>
              <w:t xml:space="preserve">2.46亿美元</w:t>
            </w:r>
          </w:p>
        </w:tc>
        <w:tc>
          <w:tcPr/>
          <w:p>
            <w:pPr>
              <w:pStyle w:val="Compact"/>
              <w:jc w:val="center"/>
            </w:pPr>
            <w:r>
              <w:rPr>
                <w:rFonts w:hint="eastAsia"/>
              </w:rPr>
              <w:t xml:space="preserve">3.32亿美元</w:t>
            </w:r>
          </w:p>
        </w:tc>
      </w:tr>
      <w:tr>
        <w:tc>
          <w:tcPr/>
          <w:p>
            <w:pPr>
              <w:pStyle w:val="Compact"/>
              <w:jc w:val="left"/>
            </w:pPr>
            <w:r>
              <w:rPr>
                <w:rFonts w:hint="eastAsia"/>
              </w:rPr>
              <w:t xml:space="preserve">现金占净资产比例</w:t>
            </w:r>
          </w:p>
        </w:tc>
        <w:tc>
          <w:tcPr/>
          <w:p>
            <w:pPr>
              <w:pStyle w:val="Compact"/>
              <w:jc w:val="center"/>
            </w:pPr>
            <w:r>
              <w:t xml:space="preserve">2.9%</w:t>
            </w:r>
          </w:p>
        </w:tc>
        <w:tc>
          <w:tcPr/>
          <w:p>
            <w:pPr>
              <w:pStyle w:val="Compact"/>
              <w:jc w:val="center"/>
            </w:pPr>
            <w:r>
              <w:t xml:space="preserve">4.2%</w:t>
            </w:r>
          </w:p>
        </w:tc>
      </w:tr>
      <w:tr>
        <w:tc>
          <w:tcPr/>
          <w:p>
            <w:pPr>
              <w:pStyle w:val="Compact"/>
              <w:jc w:val="left"/>
            </w:pPr>
            <w:r>
              <w:rPr>
                <w:rFonts w:hint="eastAsia"/>
              </w:rPr>
              <w:t xml:space="preserve">前十大持仓</w:t>
            </w:r>
          </w:p>
        </w:tc>
        <w:tc>
          <w:tcPr/>
          <w:p>
            <w:pPr>
              <w:pStyle w:val="Compact"/>
              <w:jc w:val="center"/>
            </w:pPr>
            <w:r>
              <w:rPr>
                <w:rFonts w:hint="eastAsia"/>
              </w:rPr>
              <w:t xml:space="preserve">39.6%的资产</w:t>
            </w:r>
          </w:p>
        </w:tc>
        <w:tc>
          <w:tcPr/>
          <w:p>
            <w:pPr>
              <w:pStyle w:val="Compact"/>
              <w:jc w:val="center"/>
            </w:pPr>
            <w:r>
              <w:rPr>
                <w:rFonts w:hint="eastAsia"/>
              </w:rPr>
              <w:t xml:space="preserve">37.8%的资产</w:t>
            </w:r>
          </w:p>
        </w:tc>
      </w:tr>
      <w:tr>
        <w:tc>
          <w:tcPr/>
          <w:p>
            <w:pPr>
              <w:pStyle w:val="Compact"/>
              <w:jc w:val="left"/>
            </w:pPr>
            <w:r>
              <w:rPr>
                <w:rFonts w:hint="eastAsia"/>
              </w:rPr>
              <w:t xml:space="preserve">机构份额类别</w:t>
            </w:r>
          </w:p>
        </w:tc>
        <w:tc>
          <w:tcPr/>
          <w:p>
            <w:pPr>
              <w:pStyle w:val="Compact"/>
              <w:jc w:val="center"/>
            </w:pPr>
            <w:r>
              <w:rPr>
                <w:rFonts w:hint="eastAsia"/>
              </w:rPr>
              <w:t xml:space="preserve">57%的资产</w:t>
            </w:r>
          </w:p>
        </w:tc>
        <w:tc>
          <w:tcPr/>
          <w:p>
            <w:pPr>
              <w:pStyle w:val="Compact"/>
              <w:jc w:val="center"/>
            </w:pPr>
            <w:r>
              <w:rPr>
                <w:rFonts w:hint="eastAsia"/>
              </w:rPr>
              <w:t xml:space="preserve">54%的资产</w:t>
            </w:r>
          </w:p>
        </w:tc>
      </w:tr>
      <w:tr>
        <w:tc>
          <w:tcPr/>
          <w:p>
            <w:pPr>
              <w:pStyle w:val="Compact"/>
              <w:jc w:val="left"/>
            </w:pPr>
            <w:r>
              <w:rPr>
                <w:rFonts w:hint="eastAsia"/>
              </w:rPr>
              <w:t xml:space="preserve">零售及退休账户</w:t>
            </w:r>
          </w:p>
        </w:tc>
        <w:tc>
          <w:tcPr/>
          <w:p>
            <w:pPr>
              <w:pStyle w:val="Compact"/>
              <w:jc w:val="center"/>
            </w:pPr>
            <w:r>
              <w:rPr>
                <w:rFonts w:hint="eastAsia"/>
              </w:rPr>
              <w:t xml:space="preserve">43%的资产</w:t>
            </w:r>
          </w:p>
        </w:tc>
        <w:tc>
          <w:tcPr/>
          <w:p>
            <w:pPr>
              <w:pStyle w:val="Compact"/>
              <w:jc w:val="center"/>
            </w:pPr>
            <w:r>
              <w:rPr>
                <w:rFonts w:hint="eastAsia"/>
              </w:rPr>
              <w:t xml:space="preserve">46%的资产</w:t>
            </w:r>
          </w:p>
        </w:tc>
      </w:tr>
      <w:tr>
        <w:tc>
          <w:tcPr/>
          <w:p>
            <w:pPr>
              <w:pStyle w:val="Compact"/>
              <w:jc w:val="left"/>
            </w:pPr>
            <w:r>
              <w:rPr>
                <w:rFonts w:hint="eastAsia"/>
              </w:rPr>
              <w:t xml:space="preserve">一年期回报率</w:t>
            </w:r>
          </w:p>
        </w:tc>
        <w:tc>
          <w:tcPr/>
          <w:p>
            <w:pPr>
              <w:pStyle w:val="Compact"/>
              <w:jc w:val="center"/>
            </w:pPr>
            <w:r>
              <w:t xml:space="preserve">8.7%</w:t>
            </w:r>
          </w:p>
        </w:tc>
        <w:tc>
          <w:tcPr/>
          <w:p>
            <w:pPr>
              <w:pStyle w:val="Compact"/>
              <w:jc w:val="center"/>
            </w:pPr>
            <w:r>
              <w:rPr>
                <w:rFonts w:hint="eastAsia"/>
              </w:rPr>
              <w:t xml:space="preserve">14.9%（基准）</w:t>
            </w:r>
          </w:p>
        </w:tc>
      </w:tr>
    </w:tbl>
    <w:p>
      <w:pPr>
        <w:pStyle w:val="BodyText"/>
      </w:pPr>
      <w:r>
        <w:rPr>
          <w:rFonts w:hint="eastAsia"/>
        </w:rPr>
        <w:t xml:space="preserve">来源：Summit</w:t>
      </w:r>
      <w:r>
        <w:t xml:space="preserve"> </w:t>
      </w:r>
      <w:r>
        <w:rPr>
          <w:rFonts w:hint="eastAsia"/>
        </w:rPr>
        <w:t xml:space="preserve">Ridge内部估算；所有与基金相关的数据均为虚构。</w:t>
      </w:r>
    </w:p>
    <w:bookmarkEnd w:id="10"/>
    <w:bookmarkEnd w:id="11"/>
    <w:bookmarkStart w:id="13" w:name="两类投资者"/>
    <w:p>
      <w:pPr>
        <w:pStyle w:val="Heading1"/>
      </w:pPr>
      <w:r>
        <w:rPr>
          <w:rFonts w:hint="eastAsia"/>
        </w:rPr>
        <w:t xml:space="preserve">两类投资者</w:t>
      </w:r>
    </w:p>
    <w:p>
      <w:pPr>
        <w:pStyle w:val="FirstParagraph"/>
      </w:pPr>
      <w:r>
        <w:rPr>
          <w:rFonts w:hint="eastAsia"/>
        </w:rPr>
        <w:t xml:space="preserve">该基金服务于零售和机构投资者。零售的申购与赎回通过退休计划、券商平台、财务顾问和直接账户到达。这些订单数量众多，但通常金额较小。过户代理机构在当天通常只能部分掌握情况，最终总额只有在中介机构完成处理后才能获得。</w:t>
      </w:r>
    </w:p>
    <w:p>
      <w:pPr>
        <w:pStyle w:val="BodyText"/>
      </w:pPr>
      <w:r>
        <w:rPr>
          <w:rFonts w:hint="eastAsia"/>
        </w:rPr>
        <w:t xml:space="preserve">机构投资者的行为方式则不同。养老金计划、捐赠基金和顾问公司有时会一次性调动数千万甚至数亿美元。有些机构会提前通知Summit</w:t>
      </w:r>
      <w:r>
        <w:t xml:space="preserve"> </w:t>
      </w:r>
      <w:r>
        <w:rPr>
          <w:rFonts w:hint="eastAsia"/>
        </w:rPr>
        <w:t xml:space="preserve">Ridge，但另一些则会等到交易当天才通知。一家机构赎回2亿美元，即使同时有数千名零售投资者在买入份额，也可能实质性地改变基金的现金状况。</w:t>
      </w:r>
    </w:p>
    <w:p>
      <w:pPr>
        <w:pStyle w:val="BodyText"/>
      </w:pPr>
      <w:r>
        <w:rPr>
          <w:rFonts w:hint="eastAsia"/>
        </w:rPr>
        <w:t xml:space="preserve">资金流动并非独立于市场之外。强劲的业绩和上涨的市场往往会吸引申购，使投资组合团队能够逐步部署新增现金。市场下跌、负面报道或一段基准跑输的时期，都可能恰好在流动性成本最高时引发赎回。较高的短期利率也可能促使投资者将资金从股票基金转移到货币市场基金或债券基金。</w:t>
      </w:r>
    </w:p>
    <w:bookmarkStart w:id="12" w:name="展示项2.-近期每日投资者资金流动"/>
    <w:p>
      <w:pPr>
        <w:pStyle w:val="Heading2"/>
      </w:pPr>
      <w:r>
        <w:rPr>
          <w:rFonts w:hint="eastAsia"/>
        </w:rPr>
        <w:t xml:space="preserve">展示项2.</w:t>
      </w:r>
      <w:r>
        <w:t xml:space="preserve"> </w:t>
      </w:r>
      <w:r>
        <w:rPr>
          <w:rFonts w:hint="eastAsia"/>
        </w:rPr>
        <w:t xml:space="preserve">近期每日投资者资金流动</w:t>
      </w:r>
    </w:p>
    <w:tbl>
      <w:tblPr>
        <w:tblStyle w:val="Table"/>
        <w:tblW w:type="pct" w:w="4899"/>
        <w:tblLayout w:type="fixed"/>
        <w:tblLook w:firstRow="1" w:lastRow="0" w:firstColumn="0" w:lastColumn="0" w:noHBand="0" w:noVBand="0" w:val="0020"/>
      </w:tblPr>
      <w:tblGrid>
        <w:gridCol w:w="1520"/>
        <w:gridCol w:w="1520"/>
        <w:gridCol w:w="2000"/>
        <w:gridCol w:w="1280"/>
        <w:gridCol w:w="1440"/>
      </w:tblGrid>
      <w:tr>
        <w:trPr>
          <w:tblHeader w:val="on"/>
        </w:trPr>
        <w:tc>
          <w:tcPr/>
          <w:p>
            <w:pPr>
              <w:pStyle w:val="Compact"/>
              <w:jc w:val="left"/>
            </w:pPr>
            <w:r>
              <w:rPr>
                <w:rFonts w:hint="eastAsia"/>
              </w:rPr>
              <w:t xml:space="preserve">交易日</w:t>
            </w:r>
          </w:p>
        </w:tc>
        <w:tc>
          <w:tcPr/>
          <w:p>
            <w:pPr>
              <w:pStyle w:val="Compact"/>
              <w:jc w:val="center"/>
            </w:pPr>
            <w:r>
              <w:rPr>
                <w:rFonts w:hint="eastAsia"/>
              </w:rPr>
              <w:t xml:space="preserve">零售净流入</w:t>
            </w:r>
          </w:p>
        </w:tc>
        <w:tc>
          <w:tcPr/>
          <w:p>
            <w:pPr>
              <w:pStyle w:val="Compact"/>
              <w:jc w:val="right"/>
            </w:pPr>
            <w:r>
              <w:rPr>
                <w:rFonts w:hint="eastAsia"/>
              </w:rPr>
              <w:t xml:space="preserve">机构净流入</w:t>
            </w:r>
            <w:r>
              <w:t xml:space="preserve"> </w:t>
            </w:r>
            <w:r>
              <w:rPr>
                <w:rFonts w:hint="eastAsia"/>
              </w:rPr>
              <w:t xml:space="preserve">市</w:t>
            </w:r>
          </w:p>
        </w:tc>
        <w:tc>
          <w:tcPr/>
          <w:p>
            <w:pPr>
              <w:pStyle w:val="Compact"/>
              <w:jc w:val="left"/>
            </w:pPr>
            <w:r>
              <w:rPr>
                <w:rFonts w:hint="eastAsia"/>
              </w:rPr>
              <w:t xml:space="preserve">场回报率</w:t>
            </w:r>
          </w:p>
        </w:tc>
        <w:tc>
          <w:tcPr/>
          <w:p>
            <w:pPr>
              <w:pStyle w:val="Compact"/>
              <w:jc w:val="left"/>
            </w:pPr>
            <w:r>
              <w:rPr>
                <w:rFonts w:hint="eastAsia"/>
              </w:rPr>
              <w:t xml:space="preserve">期末现金</w:t>
            </w:r>
          </w:p>
        </w:tc>
      </w:tr>
      <w:tr>
        <w:tc>
          <w:tcPr/>
          <w:p>
            <w:pPr>
              <w:pStyle w:val="Compact"/>
              <w:jc w:val="left"/>
            </w:pPr>
            <w:r>
              <w:rPr>
                <w:rFonts w:hint="eastAsia"/>
              </w:rPr>
              <w:t xml:space="preserve">10月5日（周一）</w:t>
            </w:r>
          </w:p>
        </w:tc>
        <w:tc>
          <w:tcPr/>
          <w:p>
            <w:pPr>
              <w:pStyle w:val="Compact"/>
              <w:jc w:val="center"/>
            </w:pPr>
            <w:r>
              <w:rPr>
                <w:rFonts w:hint="eastAsia"/>
              </w:rPr>
              <w:t xml:space="preserve">+1800万美元</w:t>
            </w:r>
          </w:p>
        </w:tc>
        <w:tc>
          <w:tcPr/>
          <w:p>
            <w:pPr>
              <w:pStyle w:val="Compact"/>
              <w:jc w:val="right"/>
            </w:pPr>
            <w:r>
              <w:rPr>
                <w:rFonts w:hint="eastAsia"/>
              </w:rPr>
              <w:t xml:space="preserve">-2200万美元</w:t>
            </w:r>
          </w:p>
        </w:tc>
        <w:tc>
          <w:tcPr/>
          <w:p>
            <w:pPr>
              <w:pStyle w:val="Compact"/>
              <w:jc w:val="left"/>
            </w:pPr>
            <w:r>
              <w:t xml:space="preserve">+0.6</w:t>
            </w:r>
          </w:p>
        </w:tc>
        <w:tc>
          <w:tcPr/>
          <w:p>
            <w:pPr>
              <w:pStyle w:val="Compact"/>
              <w:jc w:val="left"/>
            </w:pPr>
            <w:r>
              <w:t xml:space="preserve">% </w:t>
            </w:r>
            <w:r>
              <w:rPr>
                <w:rFonts w:hint="eastAsia"/>
              </w:rPr>
              <w:t xml:space="preserve">2.79亿美元</w:t>
            </w:r>
          </w:p>
        </w:tc>
      </w:tr>
      <w:tr>
        <w:tc>
          <w:tcPr/>
          <w:p>
            <w:pPr>
              <w:pStyle w:val="Compact"/>
              <w:jc w:val="left"/>
            </w:pPr>
            <w:r>
              <w:rPr>
                <w:rFonts w:hint="eastAsia"/>
              </w:rPr>
              <w:t xml:space="preserve">10月6日（周二）</w:t>
            </w:r>
          </w:p>
        </w:tc>
        <w:tc>
          <w:tcPr/>
          <w:p>
            <w:pPr>
              <w:pStyle w:val="Compact"/>
              <w:jc w:val="center"/>
            </w:pPr>
            <w:r>
              <w:rPr>
                <w:rFonts w:hint="eastAsia"/>
              </w:rPr>
              <w:t xml:space="preserve">-1100万美元</w:t>
            </w:r>
          </w:p>
        </w:tc>
        <w:tc>
          <w:tcPr/>
          <w:p>
            <w:pPr>
              <w:pStyle w:val="Compact"/>
              <w:jc w:val="right"/>
            </w:pPr>
            <w:r>
              <w:rPr>
                <w:rFonts w:hint="eastAsia"/>
              </w:rPr>
              <w:t xml:space="preserve">+3500万美元</w:t>
            </w:r>
          </w:p>
        </w:tc>
        <w:tc>
          <w:tcPr/>
          <w:p>
            <w:pPr>
              <w:pStyle w:val="Compact"/>
              <w:jc w:val="left"/>
            </w:pPr>
            <w:r>
              <w:t xml:space="preserve">+0.2</w:t>
            </w:r>
          </w:p>
        </w:tc>
        <w:tc>
          <w:tcPr/>
          <w:p>
            <w:pPr>
              <w:pStyle w:val="Compact"/>
              <w:jc w:val="left"/>
            </w:pPr>
            <w:r>
              <w:t xml:space="preserve">% </w:t>
            </w:r>
            <w:r>
              <w:rPr>
                <w:rFonts w:hint="eastAsia"/>
              </w:rPr>
              <w:t xml:space="preserve">3.01亿美元</w:t>
            </w:r>
          </w:p>
        </w:tc>
      </w:tr>
      <w:tr>
        <w:tc>
          <w:tcPr/>
          <w:p>
            <w:pPr>
              <w:pStyle w:val="Compact"/>
              <w:jc w:val="left"/>
            </w:pPr>
            <w:r>
              <w:rPr>
                <w:rFonts w:hint="eastAsia"/>
              </w:rPr>
              <w:t xml:space="preserve">10月7日（周三）</w:t>
            </w:r>
          </w:p>
        </w:tc>
        <w:tc>
          <w:tcPr/>
          <w:p>
            <w:pPr>
              <w:pStyle w:val="Compact"/>
              <w:jc w:val="center"/>
            </w:pPr>
            <w:r>
              <w:rPr>
                <w:rFonts w:hint="eastAsia"/>
              </w:rPr>
              <w:t xml:space="preserve">-2400万美元</w:t>
            </w:r>
          </w:p>
        </w:tc>
        <w:tc>
          <w:tcPr/>
          <w:p>
            <w:pPr>
              <w:pStyle w:val="Compact"/>
              <w:jc w:val="right"/>
            </w:pPr>
            <w:r>
              <w:rPr>
                <w:rFonts w:hint="eastAsia"/>
              </w:rPr>
              <w:t xml:space="preserve">-6100万美元</w:t>
            </w:r>
          </w:p>
        </w:tc>
        <w:tc>
          <w:tcPr/>
          <w:p>
            <w:pPr>
              <w:pStyle w:val="Compact"/>
              <w:jc w:val="left"/>
            </w:pPr>
            <w:r>
              <w:t xml:space="preserve">-1.1</w:t>
            </w:r>
          </w:p>
        </w:tc>
        <w:tc>
          <w:tcPr/>
          <w:p>
            <w:pPr>
              <w:pStyle w:val="Compact"/>
              <w:jc w:val="left"/>
            </w:pPr>
            <w:r>
              <w:t xml:space="preserve">% </w:t>
            </w:r>
            <w:r>
              <w:rPr>
                <w:rFonts w:hint="eastAsia"/>
              </w:rPr>
              <w:t xml:space="preserve">2.68亿美元</w:t>
            </w:r>
          </w:p>
        </w:tc>
      </w:tr>
      <w:tr>
        <w:tc>
          <w:tcPr/>
          <w:p>
            <w:pPr>
              <w:pStyle w:val="Compact"/>
              <w:jc w:val="left"/>
            </w:pPr>
            <w:r>
              <w:rPr>
                <w:rFonts w:hint="eastAsia"/>
              </w:rPr>
              <w:t xml:space="preserve">10月8日（周四）</w:t>
            </w:r>
          </w:p>
        </w:tc>
        <w:tc>
          <w:tcPr/>
          <w:p>
            <w:pPr>
              <w:pStyle w:val="Compact"/>
              <w:jc w:val="center"/>
            </w:pPr>
            <w:r>
              <w:rPr>
                <w:rFonts w:hint="eastAsia"/>
              </w:rPr>
              <w:t xml:space="preserve">+700万美元</w:t>
            </w:r>
          </w:p>
        </w:tc>
        <w:tc>
          <w:tcPr/>
          <w:p>
            <w:pPr>
              <w:pStyle w:val="Compact"/>
              <w:jc w:val="right"/>
            </w:pPr>
            <w:r>
              <w:rPr>
                <w:rFonts w:hint="eastAsia"/>
              </w:rPr>
              <w:t xml:space="preserve">-1400万美元</w:t>
            </w:r>
          </w:p>
        </w:tc>
        <w:tc>
          <w:tcPr/>
          <w:p>
            <w:pPr>
              <w:pStyle w:val="Compact"/>
              <w:jc w:val="left"/>
            </w:pPr>
            <w:r>
              <w:t xml:space="preserve">+</w:t>
            </w:r>
          </w:p>
        </w:tc>
        <w:tc>
          <w:tcPr/>
          <w:p>
            <w:pPr>
              <w:pStyle w:val="Compact"/>
              <w:jc w:val="left"/>
            </w:pPr>
            <w:r>
              <w:t xml:space="preserve">0.4% </w:t>
            </w:r>
            <w:r>
              <w:rPr>
                <w:rFonts w:hint="eastAsia"/>
              </w:rPr>
              <w:t xml:space="preserve">2.51亿美元</w:t>
            </w:r>
          </w:p>
        </w:tc>
      </w:tr>
      <w:tr>
        <w:tc>
          <w:tcPr/>
          <w:p>
            <w:pPr>
              <w:pStyle w:val="Compact"/>
              <w:jc w:val="left"/>
            </w:pPr>
            <w:r>
              <w:rPr>
                <w:rFonts w:hint="eastAsia"/>
              </w:rPr>
              <w:t xml:space="preserve">10月9日（周五）</w:t>
            </w:r>
          </w:p>
        </w:tc>
        <w:tc>
          <w:tcPr/>
          <w:p>
            <w:pPr>
              <w:pStyle w:val="Compact"/>
              <w:jc w:val="center"/>
            </w:pPr>
            <w:r>
              <w:rPr>
                <w:rFonts w:hint="eastAsia"/>
              </w:rPr>
              <w:t xml:space="preserve">-1600万美元</w:t>
            </w:r>
          </w:p>
        </w:tc>
        <w:tc>
          <w:tcPr/>
          <w:p>
            <w:pPr>
              <w:pStyle w:val="Compact"/>
              <w:jc w:val="right"/>
            </w:pPr>
            <w:r>
              <w:rPr>
                <w:rFonts w:hint="eastAsia"/>
              </w:rPr>
              <w:t xml:space="preserve">+900万美元</w:t>
            </w:r>
          </w:p>
        </w:tc>
        <w:tc>
          <w:tcPr/>
          <w:p>
            <w:pPr>
              <w:pStyle w:val="Compact"/>
            </w:pPr>
          </w:p>
        </w:tc>
        <w:tc>
          <w:tcPr/>
          <w:p>
            <w:pPr>
              <w:pStyle w:val="Compact"/>
              <w:jc w:val="left"/>
            </w:pPr>
            <w:r>
              <w:t xml:space="preserve">-0.7% </w:t>
            </w:r>
            <w:r>
              <w:rPr>
                <w:rFonts w:hint="eastAsia"/>
              </w:rPr>
              <w:t xml:space="preserve">2.46亿美元</w:t>
            </w:r>
          </w:p>
        </w:tc>
      </w:tr>
      <w:tr>
        <w:tc>
          <w:tcPr/>
          <w:p>
            <w:pPr>
              <w:pStyle w:val="Compact"/>
              <w:jc w:val="left"/>
            </w:pPr>
            <w:r>
              <w:rPr>
                <w:rFonts w:hint="eastAsia"/>
              </w:rPr>
              <w:t xml:space="preserve">周末估计</w:t>
            </w:r>
          </w:p>
        </w:tc>
        <w:tc>
          <w:tcPr/>
          <w:p>
            <w:pPr>
              <w:pStyle w:val="Compact"/>
              <w:jc w:val="center"/>
            </w:pPr>
            <w:r>
              <w:rPr>
                <w:rFonts w:hint="eastAsia"/>
              </w:rPr>
              <w:t xml:space="preserve">-4000万至-9000万</w:t>
            </w:r>
          </w:p>
        </w:tc>
        <w:tc>
          <w:tcPr/>
          <w:p>
            <w:pPr>
              <w:pStyle w:val="Compact"/>
              <w:jc w:val="right"/>
            </w:pPr>
            <w:r>
              <w:rPr>
                <w:rFonts w:hint="eastAsia"/>
              </w:rPr>
              <w:t xml:space="preserve">美元</w:t>
            </w:r>
            <w:r>
              <w:t xml:space="preserve"> </w:t>
            </w:r>
            <w:r>
              <w:rPr>
                <w:rFonts w:hint="eastAsia"/>
              </w:rPr>
              <w:t xml:space="preserve">-2.78亿美元</w:t>
            </w:r>
          </w:p>
        </w:tc>
        <w:tc>
          <w:tcPr/>
          <w:p>
            <w:pPr>
              <w:pStyle w:val="Compact"/>
              <w:jc w:val="left"/>
            </w:pPr>
            <w:r>
              <w:rPr>
                <w:rFonts w:hint="eastAsia"/>
              </w:rPr>
              <w:t xml:space="preserve">期货</w:t>
            </w:r>
          </w:p>
        </w:tc>
        <w:tc>
          <w:tcPr/>
          <w:p>
            <w:pPr>
              <w:pStyle w:val="Compact"/>
              <w:jc w:val="left"/>
            </w:pPr>
            <w:r>
              <w:t xml:space="preserve">-2.1% </w:t>
            </w:r>
            <w:r>
              <w:rPr>
                <w:rFonts w:hint="eastAsia"/>
              </w:rPr>
              <w:t xml:space="preserve">尚未结算</w:t>
            </w:r>
          </w:p>
        </w:tc>
      </w:tr>
    </w:tbl>
    <w:p>
      <w:pPr>
        <w:pStyle w:val="BodyText"/>
      </w:pPr>
      <w:r>
        <w:rPr>
          <w:rFonts w:hint="eastAsia"/>
        </w:rPr>
        <w:t xml:space="preserve">来源：Summit</w:t>
      </w:r>
      <w:r>
        <w:t xml:space="preserve"> </w:t>
      </w:r>
      <w:r>
        <w:rPr>
          <w:rFonts w:hint="eastAsia"/>
        </w:rPr>
        <w:t xml:space="preserve">Ridge资金流动仪表板；虚构数据。</w:t>
      </w:r>
    </w:p>
    <w:bookmarkEnd w:id="12"/>
    <w:bookmarkEnd w:id="13"/>
    <w:bookmarkStart w:id="15" w:name="现金不足的代价"/>
    <w:p>
      <w:pPr>
        <w:pStyle w:val="Heading1"/>
      </w:pPr>
      <w:r>
        <w:rPr>
          <w:rFonts w:hint="eastAsia"/>
        </w:rPr>
        <w:t xml:space="preserve">现金不足的代价</w:t>
      </w:r>
    </w:p>
    <w:p>
      <w:pPr>
        <w:pStyle w:val="FirstParagraph"/>
      </w:pPr>
      <w:r>
        <w:rPr>
          <w:rFonts w:hint="eastAsia"/>
        </w:rPr>
        <w:t xml:space="preserve">如果基金可用现金低于赎回所需金额，交易台就必须卖出证券。直接成本包括佣金、买卖价差、部分市场的税费以及市场冲击成本。间接成本可能更大。仓促的卖出可能发生在价格被压低的时候，可能向其他交易者暴露Summit</w:t>
      </w:r>
      <w:r>
        <w:t xml:space="preserve"> </w:t>
      </w:r>
      <w:r>
        <w:rPr>
          <w:rFonts w:hint="eastAsia"/>
        </w:rPr>
        <w:t xml:space="preserve">Ridge的意图，或迫使投资组合偏离投资团队的偏好持仓。</w:t>
      </w:r>
    </w:p>
    <w:p>
      <w:pPr>
        <w:pStyle w:val="BodyText"/>
      </w:pPr>
      <w:r>
        <w:rPr>
          <w:rFonts w:hint="eastAsia"/>
        </w:rPr>
        <w:t xml:space="preserve">投资组合经理Victor</w:t>
      </w:r>
      <w:r>
        <w:t xml:space="preserve"> </w:t>
      </w:r>
      <w:r>
        <w:rPr>
          <w:rFonts w:hint="eastAsia"/>
        </w:rPr>
        <w:t xml:space="preserve">Hale认为，应优先卖出流动性最强的持仓，因为它们可以快速且低成本地转换为现金。Marquez担心，反复卖出流动性最强的证券会使剩余投资组合更难交易。这也可能增加对那些投资团队本不愿超配的小型持仓或板块的集中度。</w:t>
      </w:r>
    </w:p>
    <w:p>
      <w:pPr>
        <w:pStyle w:val="BodyText"/>
      </w:pPr>
      <w:r>
        <w:rPr>
          <w:rFonts w:hint="eastAsia"/>
        </w:rPr>
        <w:t xml:space="preserve">交易台也可以选择卖出分析师认为不那么有吸引力的持仓。这种方法可能改善投资组合，但这些证券有时流动性较差。投资判断也可能出错。为满足赎回而卖出的股票可能第二天就反弹，使剩余股东相对于持有更多现金的策略而言蒙受永久性损失。</w:t>
      </w:r>
    </w:p>
    <w:bookmarkStart w:id="14" w:name="展示项3.-筹集额外2亿美元现金的潜在来源"/>
    <w:p>
      <w:pPr>
        <w:pStyle w:val="Heading2"/>
      </w:pPr>
      <w:r>
        <w:rPr>
          <w:rFonts w:hint="eastAsia"/>
        </w:rPr>
        <w:t xml:space="preserve">展示项3.</w:t>
      </w:r>
      <w:r>
        <w:t xml:space="preserve"> </w:t>
      </w:r>
      <w:r>
        <w:rPr>
          <w:rFonts w:hint="eastAsia"/>
        </w:rPr>
        <w:t xml:space="preserve">筹集额外2亿美元现金的潜在来源</w:t>
      </w:r>
    </w:p>
    <w:tbl>
      <w:tblPr>
        <w:tblStyle w:val="Table"/>
        <w:tblW w:type="pct" w:w="4923"/>
        <w:tblLayout w:type="fixed"/>
        <w:tblLook w:firstRow="1" w:lastRow="0" w:firstColumn="0" w:lastColumn="0" w:noHBand="0" w:noVBand="0" w:val="0020"/>
      </w:tblPr>
      <w:tblGrid>
        <w:gridCol w:w="2132"/>
        <w:gridCol w:w="1766"/>
        <w:gridCol w:w="2376"/>
        <w:gridCol w:w="1523"/>
      </w:tblGrid>
      <w:tr>
        <w:trPr>
          <w:tblHeader w:val="on"/>
        </w:trPr>
        <w:tc>
          <w:tcPr/>
          <w:p>
            <w:pPr>
              <w:pStyle w:val="Compact"/>
              <w:jc w:val="left"/>
            </w:pPr>
            <w:r>
              <w:rPr>
                <w:rFonts w:hint="eastAsia"/>
              </w:rPr>
              <w:t xml:space="preserve">行动</w:t>
            </w:r>
          </w:p>
        </w:tc>
        <w:tc>
          <w:tcPr/>
          <w:p>
            <w:pPr>
              <w:pStyle w:val="Compact"/>
              <w:jc w:val="center"/>
            </w:pPr>
            <w:r>
              <w:rPr>
                <w:rFonts w:hint="eastAsia"/>
              </w:rPr>
              <w:t xml:space="preserve">估计交易成本</w:t>
            </w:r>
          </w:p>
        </w:tc>
        <w:tc>
          <w:tcPr/>
          <w:p>
            <w:pPr>
              <w:pStyle w:val="Compact"/>
              <w:jc w:val="center"/>
            </w:pPr>
            <w:r>
              <w:rPr>
                <w:rFonts w:hint="eastAsia"/>
              </w:rPr>
              <w:t xml:space="preserve">投资组合影响</w:t>
            </w:r>
          </w:p>
        </w:tc>
        <w:tc>
          <w:tcPr/>
          <w:p>
            <w:pPr>
              <w:pStyle w:val="Compact"/>
              <w:jc w:val="center"/>
            </w:pPr>
            <w:r>
              <w:rPr>
                <w:rFonts w:hint="eastAsia"/>
              </w:rPr>
              <w:t xml:space="preserve">可获得性</w:t>
            </w:r>
          </w:p>
        </w:tc>
      </w:tr>
      <w:tr>
        <w:tc>
          <w:tcPr/>
          <w:p>
            <w:pPr>
              <w:pStyle w:val="Compact"/>
              <w:jc w:val="left"/>
            </w:pPr>
            <w:r>
              <w:rPr>
                <w:rFonts w:hint="eastAsia"/>
              </w:rPr>
              <w:t xml:space="preserve">卖出股指期货／使用套保工具</w:t>
            </w:r>
          </w:p>
        </w:tc>
        <w:tc>
          <w:tcPr/>
          <w:p>
            <w:pPr>
              <w:pStyle w:val="Compact"/>
              <w:jc w:val="center"/>
            </w:pPr>
            <w:r>
              <w:rPr>
                <w:rFonts w:hint="eastAsia"/>
              </w:rPr>
              <w:t xml:space="preserve">30万至70万美元</w:t>
            </w:r>
          </w:p>
        </w:tc>
        <w:tc>
          <w:tcPr/>
          <w:p>
            <w:pPr>
              <w:pStyle w:val="Compact"/>
              <w:jc w:val="center"/>
            </w:pPr>
            <w:r>
              <w:rPr>
                <w:rFonts w:hint="eastAsia"/>
              </w:rPr>
              <w:t xml:space="preserve">暂时降低市场敞口</w:t>
            </w:r>
          </w:p>
        </w:tc>
        <w:tc>
          <w:tcPr/>
          <w:p>
            <w:pPr>
              <w:pStyle w:val="Compact"/>
              <w:jc w:val="center"/>
            </w:pPr>
            <w:r>
              <w:rPr>
                <w:rFonts w:hint="eastAsia"/>
              </w:rPr>
              <w:t xml:space="preserve">当天</w:t>
            </w:r>
          </w:p>
        </w:tc>
      </w:tr>
      <w:tr>
        <w:tc>
          <w:tcPr/>
          <w:p>
            <w:pPr>
              <w:pStyle w:val="Compact"/>
              <w:jc w:val="left"/>
            </w:pPr>
            <w:r>
              <w:rPr>
                <w:rFonts w:hint="eastAsia"/>
              </w:rPr>
              <w:t xml:space="preserve">卖出前10大流动性持仓</w:t>
            </w:r>
          </w:p>
        </w:tc>
        <w:tc>
          <w:tcPr/>
          <w:p>
            <w:pPr>
              <w:pStyle w:val="Compact"/>
              <w:jc w:val="center"/>
            </w:pPr>
            <w:r>
              <w:rPr>
                <w:rFonts w:hint="eastAsia"/>
              </w:rPr>
              <w:t xml:space="preserve">80万至150万美元</w:t>
            </w:r>
          </w:p>
        </w:tc>
        <w:tc>
          <w:tcPr/>
          <w:p>
            <w:pPr>
              <w:pStyle w:val="Compact"/>
              <w:jc w:val="center"/>
            </w:pPr>
            <w:r>
              <w:rPr>
                <w:rFonts w:hint="eastAsia"/>
              </w:rPr>
              <w:t xml:space="preserve">降低偏好核心持仓</w:t>
            </w:r>
          </w:p>
        </w:tc>
        <w:tc>
          <w:tcPr/>
          <w:p>
            <w:pPr>
              <w:pStyle w:val="Compact"/>
              <w:jc w:val="center"/>
            </w:pPr>
            <w:r>
              <w:rPr>
                <w:rFonts w:hint="eastAsia"/>
              </w:rPr>
              <w:t xml:space="preserve">当天</w:t>
            </w:r>
          </w:p>
        </w:tc>
      </w:tr>
      <w:tr>
        <w:tc>
          <w:tcPr/>
          <w:p>
            <w:pPr>
              <w:pStyle w:val="Compact"/>
              <w:jc w:val="left"/>
            </w:pPr>
            <w:r>
              <w:rPr>
                <w:rFonts w:hint="eastAsia"/>
              </w:rPr>
              <w:t xml:space="preserve">卖出低确信度持仓</w:t>
            </w:r>
          </w:p>
        </w:tc>
        <w:tc>
          <w:tcPr/>
          <w:p>
            <w:pPr>
              <w:pStyle w:val="Compact"/>
              <w:jc w:val="center"/>
            </w:pPr>
            <w:r>
              <w:rPr>
                <w:rFonts w:hint="eastAsia"/>
              </w:rPr>
              <w:t xml:space="preserve">160万至320万美元</w:t>
            </w:r>
          </w:p>
        </w:tc>
        <w:tc>
          <w:tcPr/>
          <w:p>
            <w:pPr>
              <w:pStyle w:val="Compact"/>
              <w:jc w:val="center"/>
            </w:pPr>
            <w:r>
              <w:rPr>
                <w:rFonts w:hint="eastAsia"/>
              </w:rPr>
              <w:t xml:space="preserve">可能改善投资组合逻辑</w:t>
            </w:r>
          </w:p>
        </w:tc>
        <w:tc>
          <w:tcPr/>
          <w:p>
            <w:pPr>
              <w:pStyle w:val="Compact"/>
              <w:jc w:val="center"/>
            </w:pPr>
            <w:r>
              <w:rPr>
                <w:rFonts w:hint="eastAsia"/>
              </w:rPr>
              <w:t xml:space="preserve">一至三天</w:t>
            </w:r>
          </w:p>
        </w:tc>
      </w:tr>
      <w:tr>
        <w:tc>
          <w:tcPr/>
          <w:p>
            <w:pPr>
              <w:pStyle w:val="Compact"/>
              <w:jc w:val="left"/>
            </w:pPr>
            <w:r>
              <w:rPr>
                <w:rFonts w:hint="eastAsia"/>
              </w:rPr>
              <w:t xml:space="preserve">动用银行信贷额度</w:t>
            </w:r>
          </w:p>
        </w:tc>
        <w:tc>
          <w:tcPr/>
          <w:p>
            <w:pPr>
              <w:pStyle w:val="Compact"/>
              <w:jc w:val="center"/>
            </w:pPr>
            <w:r>
              <w:rPr>
                <w:rFonts w:hint="eastAsia"/>
              </w:rPr>
              <w:t xml:space="preserve">每月等值110万美元</w:t>
            </w:r>
          </w:p>
        </w:tc>
        <w:tc>
          <w:tcPr/>
          <w:p>
            <w:pPr>
              <w:pStyle w:val="Compact"/>
              <w:jc w:val="center"/>
            </w:pPr>
            <w:r>
              <w:rPr>
                <w:rFonts w:hint="eastAsia"/>
              </w:rPr>
              <w:t xml:space="preserve">保留持仓；增加杠杆</w:t>
            </w:r>
          </w:p>
        </w:tc>
        <w:tc>
          <w:tcPr/>
          <w:p>
            <w:pPr>
              <w:pStyle w:val="Compact"/>
              <w:jc w:val="center"/>
            </w:pPr>
            <w:r>
              <w:rPr>
                <w:rFonts w:hint="eastAsia"/>
              </w:rPr>
              <w:t xml:space="preserve">如有额度则当天可用</w:t>
            </w:r>
          </w:p>
        </w:tc>
      </w:tr>
      <w:tr>
        <w:tc>
          <w:tcPr/>
          <w:p>
            <w:pPr>
              <w:pStyle w:val="Compact"/>
              <w:jc w:val="left"/>
            </w:pPr>
            <w:r>
              <w:rPr>
                <w:rFonts w:hint="eastAsia"/>
              </w:rPr>
              <w:t xml:space="preserve">使用到期国库券</w:t>
            </w:r>
          </w:p>
        </w:tc>
        <w:tc>
          <w:tcPr/>
          <w:p>
            <w:pPr>
              <w:pStyle w:val="Compact"/>
              <w:jc w:val="center"/>
            </w:pPr>
            <w:r>
              <w:rPr>
                <w:rFonts w:hint="eastAsia"/>
              </w:rPr>
              <w:t xml:space="preserve">极小</w:t>
            </w:r>
          </w:p>
        </w:tc>
        <w:tc>
          <w:tcPr/>
          <w:p>
            <w:pPr>
              <w:pStyle w:val="Compact"/>
              <w:jc w:val="center"/>
            </w:pPr>
            <w:r>
              <w:rPr>
                <w:rFonts w:hint="eastAsia"/>
              </w:rPr>
              <w:t xml:space="preserve">降低流动性缓冲</w:t>
            </w:r>
          </w:p>
        </w:tc>
        <w:tc>
          <w:tcPr/>
          <w:p>
            <w:pPr>
              <w:pStyle w:val="Compact"/>
              <w:jc w:val="center"/>
            </w:pPr>
            <w:r>
              <w:rPr>
                <w:rFonts w:hint="eastAsia"/>
              </w:rPr>
              <w:t xml:space="preserve">五天内7200万美元</w:t>
            </w:r>
          </w:p>
        </w:tc>
      </w:tr>
      <w:tr>
        <w:tc>
          <w:tcPr/>
          <w:p>
            <w:pPr>
              <w:pStyle w:val="Compact"/>
              <w:jc w:val="left"/>
            </w:pPr>
            <w:r>
              <w:rPr>
                <w:rFonts w:hint="eastAsia"/>
              </w:rPr>
              <w:t xml:space="preserve">推迟新增申购</w:t>
            </w:r>
          </w:p>
        </w:tc>
        <w:tc>
          <w:tcPr/>
          <w:p>
            <w:pPr>
              <w:pStyle w:val="Compact"/>
              <w:jc w:val="center"/>
            </w:pPr>
            <w:r>
              <w:rPr>
                <w:rFonts w:hint="eastAsia"/>
              </w:rPr>
              <w:t xml:space="preserve">机会成本不确定</w:t>
            </w:r>
            <w:r>
              <w:t xml:space="preserve"> </w:t>
            </w:r>
            <w:r>
              <w:rPr>
                <w:rFonts w:hint="eastAsia"/>
              </w:rPr>
              <w:t xml:space="preserve">仅</w:t>
            </w:r>
          </w:p>
        </w:tc>
        <w:tc>
          <w:tcPr/>
          <w:p>
            <w:pPr>
              <w:pStyle w:val="Compact"/>
              <w:jc w:val="center"/>
            </w:pPr>
            <w:r>
              <w:rPr>
                <w:rFonts w:hint="eastAsia"/>
              </w:rPr>
              <w:t xml:space="preserve">在资金流入到达后现金才能恢复</w:t>
            </w:r>
          </w:p>
        </w:tc>
        <w:tc>
          <w:tcPr/>
          <w:p>
            <w:pPr>
              <w:pStyle w:val="Compact"/>
              <w:jc w:val="center"/>
            </w:pPr>
            <w:r>
              <w:rPr>
                <w:rFonts w:hint="eastAsia"/>
              </w:rPr>
              <w:t xml:space="preserve">逐步进行</w:t>
            </w:r>
          </w:p>
        </w:tc>
      </w:tr>
    </w:tbl>
    <w:p>
      <w:pPr>
        <w:pStyle w:val="BodyText"/>
      </w:pPr>
      <w:r>
        <w:rPr>
          <w:rFonts w:hint="eastAsia"/>
        </w:rPr>
        <w:t xml:space="preserve">来源：Summit</w:t>
      </w:r>
      <w:r>
        <w:t xml:space="preserve"> </w:t>
      </w:r>
      <w:r>
        <w:rPr>
          <w:rFonts w:hint="eastAsia"/>
        </w:rPr>
        <w:t xml:space="preserve">Ridge交易与资金管理团队估算；虚构数据。成本随市场状况而变化。</w:t>
      </w:r>
    </w:p>
    <w:bookmarkEnd w:id="14"/>
    <w:bookmarkEnd w:id="15"/>
    <w:bookmarkStart w:id="17" w:name="现金过多的代价"/>
    <w:p>
      <w:pPr>
        <w:pStyle w:val="Heading1"/>
      </w:pPr>
      <w:r>
        <w:rPr>
          <w:rFonts w:hint="eastAsia"/>
        </w:rPr>
        <w:t xml:space="preserve">现金过多的代价</w:t>
      </w:r>
    </w:p>
    <w:p>
      <w:pPr>
        <w:pStyle w:val="FirstParagraph"/>
      </w:pPr>
      <w:r>
        <w:rPr>
          <w:rFonts w:hint="eastAsia"/>
        </w:rPr>
        <w:t xml:space="preserve">现金并非没有成本。在短期利率较高的时期，国库券和货币市场工具能产生可观的收益。但Select</w:t>
      </w:r>
      <w:r>
        <w:t xml:space="preserve"> Equity </w:t>
      </w:r>
      <w:r>
        <w:rPr>
          <w:rFonts w:hint="eastAsia"/>
        </w:rPr>
        <w:t xml:space="preserve">Fund是作为一只股票策略基金进行销售的，其基准几乎是满仓投资的。如果股票的涨幅快于现金收益，持续持有现金将造成业绩拖累。当股票表现比现金高出10个百分点时，3%的现金仓位大约会使年回报率降低0.30个百分点。</w:t>
      </w:r>
    </w:p>
    <w:p>
      <w:pPr>
        <w:pStyle w:val="BodyText"/>
      </w:pPr>
      <w:r>
        <w:rPr>
          <w:rFonts w:hint="eastAsia"/>
        </w:rPr>
        <w:t xml:space="preserve">这一影响看似微小，但与竞争对手相比时便显得重要。投资顾问机构常常依据相对细微的业绩差异对管理人进行排名。额外的0.30个百分点可能影响评级、机构筛选、顾问推荐、员工奖金以及未来的资金流入。具有讽刺意味的是，为防范赎回而持有现金，反而可能造成导致更多投资者离开的业绩不佳。</w:t>
      </w:r>
    </w:p>
    <w:p>
      <w:pPr>
        <w:pStyle w:val="BodyText"/>
      </w:pPr>
      <w:r>
        <w:rPr>
          <w:rFonts w:hint="eastAsia"/>
        </w:rPr>
        <w:t xml:space="preserve">在大规模资金流入之后，投资组合团队也面临相反的问题。买入过快可能推高价格，或迫使在分析师完成研究之前就进行购买。投资过慢则会使基金持有不必要的现金。团队必须决定买入哪些证券、交易速度应有多快，以及是否在研究和执行跟上进度之前使用股指期货作为临时敞口。</w:t>
      </w:r>
    </w:p>
    <w:bookmarkStart w:id="16" w:name="展示项4.-不同现金水平的年度影响示例"/>
    <w:p>
      <w:pPr>
        <w:pStyle w:val="Heading2"/>
      </w:pPr>
      <w:r>
        <w:rPr>
          <w:rFonts w:hint="eastAsia"/>
        </w:rPr>
        <w:t xml:space="preserve">展示项4.</w:t>
      </w:r>
      <w:r>
        <w:t xml:space="preserve"> </w:t>
      </w:r>
      <w:r>
        <w:rPr>
          <w:rFonts w:hint="eastAsia"/>
        </w:rPr>
        <w:t xml:space="preserve">不同现金水平的年度影响示例</w:t>
      </w:r>
    </w:p>
    <w:tbl>
      <w:tblPr>
        <w:tblStyle w:val="Table"/>
        <w:tblW w:type="pct" w:w="4912"/>
        <w:tblLayout w:type="fixed"/>
        <w:tblLook w:firstRow="1" w:lastRow="0" w:firstColumn="0" w:lastColumn="0" w:noHBand="0" w:noVBand="0" w:val="0020"/>
      </w:tblPr>
      <w:tblGrid>
        <w:gridCol w:w="1458"/>
        <w:gridCol w:w="2362"/>
        <w:gridCol w:w="1736"/>
        <w:gridCol w:w="2223"/>
      </w:tblGrid>
      <w:tr>
        <w:trPr>
          <w:tblHeader w:val="on"/>
        </w:trPr>
        <w:tc>
          <w:tcPr/>
          <w:p>
            <w:pPr>
              <w:pStyle w:val="Compact"/>
            </w:pPr>
            <w:r>
              <w:rPr>
                <w:rFonts w:hint="eastAsia"/>
              </w:rPr>
              <w:t xml:space="preserve">平均现金水平</w:t>
            </w:r>
            <w:r>
              <w:t xml:space="preserve"> </w:t>
            </w:r>
            <w:r>
              <w:rPr>
                <w:rFonts w:hint="eastAsia"/>
              </w:rPr>
              <w:t xml:space="preserve">股票相</w:t>
            </w:r>
          </w:p>
        </w:tc>
        <w:tc>
          <w:tcPr/>
          <w:p>
            <w:pPr>
              <w:pStyle w:val="Compact"/>
              <w:jc w:val="left"/>
            </w:pPr>
            <w:r>
              <w:rPr>
                <w:rFonts w:hint="eastAsia"/>
              </w:rPr>
              <w:t xml:space="preserve">对现金的超额收益</w:t>
            </w:r>
            <w:r>
              <w:t xml:space="preserve"> </w:t>
            </w:r>
            <w:r>
              <w:rPr>
                <w:rFonts w:hint="eastAsia"/>
              </w:rPr>
              <w:t xml:space="preserve">估计业绩拖累</w:t>
            </w:r>
          </w:p>
        </w:tc>
        <w:tc>
          <w:tcPr/>
          <w:p>
            <w:pPr>
              <w:pStyle w:val="Compact"/>
              <w:jc w:val="center"/>
            </w:pPr>
            <w:r>
              <w:rPr>
                <w:rFonts w:hint="eastAsia"/>
              </w:rPr>
              <w:t xml:space="preserve">85亿美元基金的可用现金</w:t>
            </w:r>
          </w:p>
        </w:tc>
        <w:tc>
          <w:tcPr/>
          <w:p>
            <w:pPr>
              <w:pStyle w:val="Compact"/>
            </w:pPr>
          </w:p>
        </w:tc>
      </w:tr>
      <w:tr>
        <w:tc>
          <w:tcPr/>
          <w:p>
            <w:pPr>
              <w:pStyle w:val="Compact"/>
            </w:pPr>
            <w:r>
              <w:t xml:space="preserve">2%</w:t>
            </w:r>
          </w:p>
        </w:tc>
        <w:tc>
          <w:tcPr/>
          <w:p>
            <w:pPr>
              <w:pStyle w:val="Compact"/>
              <w:jc w:val="left"/>
            </w:pPr>
            <w:r>
              <w:rPr>
                <w:rFonts w:hint="eastAsia"/>
              </w:rPr>
              <w:t xml:space="preserve">4个百分点</w:t>
            </w:r>
            <w:r>
              <w:t xml:space="preserve"> </w:t>
            </w:r>
            <w:r>
              <w:rPr>
                <w:rFonts w:hint="eastAsia"/>
              </w:rPr>
              <w:t xml:space="preserve">0.08个百分</w:t>
            </w:r>
          </w:p>
        </w:tc>
        <w:tc>
          <w:tcPr/>
          <w:p>
            <w:pPr>
              <w:pStyle w:val="Compact"/>
              <w:jc w:val="center"/>
            </w:pPr>
            <w:r>
              <w:rPr>
                <w:rFonts w:hint="eastAsia"/>
              </w:rPr>
              <w:t xml:space="preserve">点</w:t>
            </w:r>
            <w:r>
              <w:t xml:space="preserve"> </w:t>
            </w:r>
            <w:r>
              <w:rPr>
                <w:rFonts w:hint="eastAsia"/>
              </w:rPr>
              <w:t xml:space="preserve">1.70亿美元</w:t>
            </w:r>
          </w:p>
        </w:tc>
        <w:tc>
          <w:tcPr/>
          <w:p>
            <w:pPr>
              <w:pStyle w:val="Compact"/>
            </w:pPr>
          </w:p>
        </w:tc>
      </w:tr>
      <w:tr>
        <w:tc>
          <w:tcPr/>
          <w:p>
            <w:pPr>
              <w:pStyle w:val="Compact"/>
            </w:pPr>
            <w:r>
              <w:t xml:space="preserve">3%</w:t>
            </w:r>
          </w:p>
        </w:tc>
        <w:tc>
          <w:tcPr/>
          <w:p>
            <w:pPr>
              <w:pStyle w:val="Compact"/>
              <w:jc w:val="left"/>
            </w:pPr>
            <w:r>
              <w:rPr>
                <w:rFonts w:hint="eastAsia"/>
              </w:rPr>
              <w:t xml:space="preserve">6个百分点</w:t>
            </w:r>
            <w:r>
              <w:t xml:space="preserve"> </w:t>
            </w:r>
            <w:r>
              <w:rPr>
                <w:rFonts w:hint="eastAsia"/>
              </w:rPr>
              <w:t xml:space="preserve">0.18个百分</w:t>
            </w:r>
          </w:p>
        </w:tc>
        <w:tc>
          <w:tcPr/>
          <w:p>
            <w:pPr>
              <w:pStyle w:val="Compact"/>
              <w:jc w:val="center"/>
            </w:pPr>
            <w:r>
              <w:rPr>
                <w:rFonts w:hint="eastAsia"/>
              </w:rPr>
              <w:t xml:space="preserve">点</w:t>
            </w:r>
            <w:r>
              <w:t xml:space="preserve"> </w:t>
            </w:r>
            <w:r>
              <w:rPr>
                <w:rFonts w:hint="eastAsia"/>
              </w:rPr>
              <w:t xml:space="preserve">2.55亿美元</w:t>
            </w:r>
          </w:p>
        </w:tc>
        <w:tc>
          <w:tcPr/>
          <w:p>
            <w:pPr>
              <w:pStyle w:val="Compact"/>
            </w:pPr>
          </w:p>
        </w:tc>
      </w:tr>
      <w:tr>
        <w:tc>
          <w:tcPr/>
          <w:p>
            <w:pPr>
              <w:pStyle w:val="Compact"/>
            </w:pPr>
            <w:r>
              <w:t xml:space="preserve">4%</w:t>
            </w:r>
          </w:p>
        </w:tc>
        <w:tc>
          <w:tcPr/>
          <w:p>
            <w:pPr>
              <w:pStyle w:val="Compact"/>
              <w:jc w:val="left"/>
            </w:pPr>
            <w:r>
              <w:rPr>
                <w:rFonts w:hint="eastAsia"/>
              </w:rPr>
              <w:t xml:space="preserve">8个百分点</w:t>
            </w:r>
            <w:r>
              <w:t xml:space="preserve"> </w:t>
            </w:r>
            <w:r>
              <w:rPr>
                <w:rFonts w:hint="eastAsia"/>
              </w:rPr>
              <w:t xml:space="preserve">0.32个百分</w:t>
            </w:r>
          </w:p>
        </w:tc>
        <w:tc>
          <w:tcPr/>
          <w:p>
            <w:pPr>
              <w:pStyle w:val="Compact"/>
              <w:jc w:val="center"/>
            </w:pPr>
            <w:r>
              <w:rPr>
                <w:rFonts w:hint="eastAsia"/>
              </w:rPr>
              <w:t xml:space="preserve">点</w:t>
            </w:r>
            <w:r>
              <w:t xml:space="preserve"> </w:t>
            </w:r>
            <w:r>
              <w:rPr>
                <w:rFonts w:hint="eastAsia"/>
              </w:rPr>
              <w:t xml:space="preserve">3.40亿美元</w:t>
            </w:r>
          </w:p>
        </w:tc>
        <w:tc>
          <w:tcPr/>
          <w:p>
            <w:pPr>
              <w:pStyle w:val="Compact"/>
            </w:pPr>
          </w:p>
        </w:tc>
      </w:tr>
      <w:tr>
        <w:tc>
          <w:tcPr/>
          <w:p>
            <w:pPr>
              <w:pStyle w:val="Compact"/>
            </w:pPr>
            <w:r>
              <w:t xml:space="preserve">5%</w:t>
            </w:r>
          </w:p>
        </w:tc>
        <w:tc>
          <w:tcPr/>
          <w:p>
            <w:pPr>
              <w:pStyle w:val="Compact"/>
              <w:jc w:val="left"/>
            </w:pPr>
            <w:r>
              <w:rPr>
                <w:rFonts w:hint="eastAsia"/>
              </w:rPr>
              <w:t xml:space="preserve">10个百分点</w:t>
            </w:r>
            <w:r>
              <w:t xml:space="preserve"> </w:t>
            </w:r>
            <w:r>
              <w:rPr>
                <w:rFonts w:hint="eastAsia"/>
              </w:rPr>
              <w:t xml:space="preserve">0.50个百分</w:t>
            </w:r>
          </w:p>
        </w:tc>
        <w:tc>
          <w:tcPr/>
          <w:p>
            <w:pPr>
              <w:pStyle w:val="Compact"/>
              <w:jc w:val="center"/>
            </w:pPr>
            <w:r>
              <w:rPr>
                <w:rFonts w:hint="eastAsia"/>
              </w:rPr>
              <w:t xml:space="preserve">点</w:t>
            </w:r>
            <w:r>
              <w:t xml:space="preserve"> </w:t>
            </w:r>
            <w:r>
              <w:rPr>
                <w:rFonts w:hint="eastAsia"/>
              </w:rPr>
              <w:t xml:space="preserve">4.25亿美元</w:t>
            </w:r>
          </w:p>
        </w:tc>
        <w:tc>
          <w:tcPr/>
          <w:p>
            <w:pPr>
              <w:pStyle w:val="Compact"/>
            </w:pPr>
          </w:p>
        </w:tc>
      </w:tr>
      <w:tr>
        <w:tc>
          <w:tcPr/>
          <w:p>
            <w:pPr>
              <w:pStyle w:val="Compact"/>
            </w:pPr>
            <w:r>
              <w:t xml:space="preserve">7%</w:t>
            </w:r>
          </w:p>
        </w:tc>
        <w:tc>
          <w:tcPr/>
          <w:p>
            <w:pPr>
              <w:pStyle w:val="Compact"/>
              <w:jc w:val="left"/>
            </w:pPr>
            <w:r>
              <w:rPr>
                <w:rFonts w:hint="eastAsia"/>
              </w:rPr>
              <w:t xml:space="preserve">12个百分点</w:t>
            </w:r>
            <w:r>
              <w:t xml:space="preserve"> </w:t>
            </w:r>
            <w:r>
              <w:rPr>
                <w:rFonts w:hint="eastAsia"/>
              </w:rPr>
              <w:t xml:space="preserve">0.84个百分</w:t>
            </w:r>
          </w:p>
        </w:tc>
        <w:tc>
          <w:tcPr/>
          <w:p>
            <w:pPr>
              <w:pStyle w:val="Compact"/>
              <w:jc w:val="center"/>
            </w:pPr>
            <w:r>
              <w:rPr>
                <w:rFonts w:hint="eastAsia"/>
              </w:rPr>
              <w:t xml:space="preserve">点</w:t>
            </w:r>
            <w:r>
              <w:t xml:space="preserve"> </w:t>
            </w:r>
            <w:r>
              <w:rPr>
                <w:rFonts w:hint="eastAsia"/>
              </w:rPr>
              <w:t xml:space="preserve">5.95亿美元</w:t>
            </w:r>
          </w:p>
        </w:tc>
        <w:tc>
          <w:tcPr/>
          <w:p>
            <w:pPr>
              <w:pStyle w:val="Compact"/>
            </w:pPr>
          </w:p>
        </w:tc>
      </w:tr>
    </w:tbl>
    <w:p>
      <w:pPr>
        <w:pStyle w:val="BodyText"/>
      </w:pPr>
      <w:r>
        <w:rPr>
          <w:rFonts w:hint="eastAsia"/>
        </w:rPr>
        <w:t xml:space="preserve">来源：示例性计算。实际结果取决于市场回报率、利率和时机。</w:t>
      </w:r>
    </w:p>
    <w:bookmarkEnd w:id="16"/>
    <w:bookmarkEnd w:id="17"/>
    <w:bookmarkStart w:id="19" w:name="预测与预警"/>
    <w:p>
      <w:pPr>
        <w:pStyle w:val="Heading1"/>
      </w:pPr>
      <w:r>
        <w:rPr>
          <w:rFonts w:hint="eastAsia"/>
        </w:rPr>
        <w:t xml:space="preserve">预测与预警</w:t>
      </w:r>
    </w:p>
    <w:p>
      <w:pPr>
        <w:pStyle w:val="FirstParagraph"/>
      </w:pPr>
      <w:r>
        <w:t xml:space="preserve">Summit </w:t>
      </w:r>
      <w:r>
        <w:rPr>
          <w:rFonts w:hint="eastAsia"/>
        </w:rPr>
        <w:t xml:space="preserve">Ridge的资金管理团队利用历史投资者行为、中介机构报告、月末退休金缴款、纳税日期、市场波动以及已知的机构活动，制作每日资金流动预测。该模型在正常市场条件下表现尚可，但其最大的误差恰恰出现在现金最有价值的时期。一个围绕平均每日行为设计的预测模型，无法可靠地预见养老金计划更换管理人，或顾问机构将该基金列入观察名单。</w:t>
      </w:r>
    </w:p>
    <w:p>
      <w:pPr>
        <w:pStyle w:val="BodyText"/>
      </w:pPr>
      <w:r>
        <w:rPr>
          <w:rFonts w:hint="eastAsia"/>
        </w:rPr>
        <w:t xml:space="preserve">首席数据官Nina</w:t>
      </w:r>
      <w:r>
        <w:t xml:space="preserve"> </w:t>
      </w:r>
      <w:r>
        <w:rPr>
          <w:rFonts w:hint="eastAsia"/>
        </w:rPr>
        <w:t xml:space="preserve">Shah提议从分销平台获取更及时的信息，并要求机构客户对大额资金变动提供非约束性的提前提示。一些平台可以提供盘中估算数据，但需收取费用，且只能覆盖基金的一部分。机构不愿透露可能影响其交易处理方式的意图。合规团队警告，不应给予受青睐的客户可能使其他股东处于不利地位的信息或待遇。</w:t>
      </w:r>
    </w:p>
    <w:p>
      <w:pPr>
        <w:pStyle w:val="BodyText"/>
      </w:pPr>
      <w:r>
        <w:rPr>
          <w:rFonts w:hint="eastAsia"/>
        </w:rPr>
        <w:t xml:space="preserve">首席财务官Aaron</w:t>
      </w:r>
      <w:r>
        <w:t xml:space="preserve"> </w:t>
      </w:r>
      <w:r>
        <w:rPr>
          <w:rFonts w:hint="eastAsia"/>
        </w:rPr>
        <w:t xml:space="preserve">Bell提议建立一个与近期资金流动波动性及投资组合流动性挂钩的正式流动性储备制度。Hale反对称，固定规则会在市场平静时持有过多现金，而在真正发生挤兑时仍显不足。他更倾向于依靠管理人判断，辅以情景分析和信贷额度。独立基金董事希望有一个他们能够理解、监督并在事后能够加以说明的流程。</w:t>
      </w:r>
    </w:p>
    <w:bookmarkStart w:id="18" w:name="展示项5.-管理方案选项"/>
    <w:p>
      <w:pPr>
        <w:pStyle w:val="Heading2"/>
      </w:pPr>
      <w:r>
        <w:rPr>
          <w:rFonts w:hint="eastAsia"/>
        </w:rPr>
        <w:t xml:space="preserve">展示项5.</w:t>
      </w:r>
      <w:r>
        <w:t xml:space="preserve"> </w:t>
      </w:r>
      <w:r>
        <w:rPr>
          <w:rFonts w:hint="eastAsia"/>
        </w:rPr>
        <w:t xml:space="preserve">管理方案选项</w:t>
      </w:r>
    </w:p>
    <w:tbl>
      <w:tblPr>
        <w:tblStyle w:val="Table"/>
        <w:tblW w:type="pct" w:w="4925"/>
        <w:tblLayout w:type="fixed"/>
        <w:tblLook w:firstRow="1" w:lastRow="0" w:firstColumn="0" w:lastColumn="0" w:noHBand="0" w:noVBand="0" w:val="0020"/>
      </w:tblPr>
      <w:tblGrid>
        <w:gridCol w:w="2381"/>
        <w:gridCol w:w="2560"/>
        <w:gridCol w:w="2858"/>
      </w:tblGrid>
      <w:tr>
        <w:trPr>
          <w:tblHeader w:val="on"/>
        </w:trPr>
        <w:tc>
          <w:tcPr/>
          <w:p>
            <w:pPr>
              <w:pStyle w:val="Compact"/>
              <w:jc w:val="left"/>
            </w:pPr>
            <w:r>
              <w:rPr>
                <w:rFonts w:hint="eastAsia"/>
              </w:rPr>
              <w:t xml:space="preserve">方案</w:t>
            </w:r>
          </w:p>
        </w:tc>
        <w:tc>
          <w:tcPr/>
          <w:p>
            <w:pPr>
              <w:pStyle w:val="Compact"/>
              <w:jc w:val="center"/>
            </w:pPr>
            <w:r>
              <w:rPr>
                <w:rFonts w:hint="eastAsia"/>
              </w:rPr>
              <w:t xml:space="preserve">潜在优势</w:t>
            </w:r>
          </w:p>
        </w:tc>
        <w:tc>
          <w:tcPr/>
          <w:p>
            <w:pPr>
              <w:pStyle w:val="Compact"/>
              <w:jc w:val="center"/>
            </w:pPr>
            <w:r>
              <w:rPr>
                <w:rFonts w:hint="eastAsia"/>
              </w:rPr>
              <w:t xml:space="preserve">主要风险或权衡</w:t>
            </w:r>
          </w:p>
        </w:tc>
      </w:tr>
      <w:tr>
        <w:tc>
          <w:tcPr/>
          <w:p>
            <w:pPr>
              <w:pStyle w:val="Compact"/>
              <w:jc w:val="left"/>
            </w:pPr>
            <w:r>
              <w:rPr>
                <w:rFonts w:hint="eastAsia"/>
              </w:rPr>
              <w:t xml:space="preserve">将目标现金比例从3%提高至5%</w:t>
            </w:r>
          </w:p>
        </w:tc>
        <w:tc>
          <w:tcPr/>
          <w:p>
            <w:pPr>
              <w:pStyle w:val="Compact"/>
              <w:jc w:val="center"/>
            </w:pPr>
            <w:r>
              <w:rPr>
                <w:rFonts w:hint="eastAsia"/>
              </w:rPr>
              <w:t xml:space="preserve">对突发赎回提供更多保护</w:t>
            </w:r>
          </w:p>
        </w:tc>
        <w:tc>
          <w:tcPr/>
          <w:p>
            <w:pPr>
              <w:pStyle w:val="Compact"/>
              <w:jc w:val="center"/>
            </w:pPr>
            <w:r>
              <w:rPr>
                <w:rFonts w:hint="eastAsia"/>
              </w:rPr>
              <w:t xml:space="preserve">持续的业绩拖累</w:t>
            </w:r>
          </w:p>
        </w:tc>
      </w:tr>
      <w:tr>
        <w:tc>
          <w:tcPr/>
          <w:p>
            <w:pPr>
              <w:pStyle w:val="Compact"/>
              <w:jc w:val="left"/>
            </w:pPr>
            <w:r>
              <w:rPr>
                <w:rFonts w:hint="eastAsia"/>
              </w:rPr>
              <w:t xml:space="preserve">维持3%现金外加信贷额度</w:t>
            </w:r>
          </w:p>
        </w:tc>
        <w:tc>
          <w:tcPr/>
          <w:p>
            <w:pPr>
              <w:pStyle w:val="Compact"/>
              <w:jc w:val="center"/>
            </w:pPr>
            <w:r>
              <w:rPr>
                <w:rFonts w:hint="eastAsia"/>
              </w:rPr>
              <w:t xml:space="preserve">无需永久持有现金即可获得流动性</w:t>
            </w:r>
          </w:p>
        </w:tc>
        <w:tc>
          <w:tcPr/>
          <w:p>
            <w:pPr>
              <w:pStyle w:val="Compact"/>
              <w:jc w:val="center"/>
            </w:pPr>
            <w:r>
              <w:rPr>
                <w:rFonts w:hint="eastAsia"/>
              </w:rPr>
              <w:t xml:space="preserve">借款成本及市场紧张时的可获得性问题</w:t>
            </w:r>
          </w:p>
        </w:tc>
      </w:tr>
      <w:tr>
        <w:tc>
          <w:tcPr/>
          <w:p>
            <w:pPr>
              <w:pStyle w:val="Compact"/>
              <w:jc w:val="left"/>
            </w:pPr>
            <w:r>
              <w:rPr>
                <w:rFonts w:hint="eastAsia"/>
              </w:rPr>
              <w:t xml:space="preserve">采用动态现金目标</w:t>
            </w:r>
          </w:p>
        </w:tc>
        <w:tc>
          <w:tcPr/>
          <w:p>
            <w:pPr>
              <w:pStyle w:val="Compact"/>
              <w:jc w:val="center"/>
            </w:pPr>
            <w:r>
              <w:rPr>
                <w:rFonts w:hint="eastAsia"/>
              </w:rPr>
              <w:t xml:space="preserve">响应资金流动和市场状况</w:t>
            </w:r>
          </w:p>
        </w:tc>
        <w:tc>
          <w:tcPr/>
          <w:p>
            <w:pPr>
              <w:pStyle w:val="Compact"/>
              <w:jc w:val="center"/>
            </w:pPr>
            <w:r>
              <w:rPr>
                <w:rFonts w:hint="eastAsia"/>
              </w:rPr>
              <w:t xml:space="preserve">模型误差及频繁交易</w:t>
            </w:r>
          </w:p>
        </w:tc>
      </w:tr>
      <w:tr>
        <w:tc>
          <w:tcPr/>
          <w:p>
            <w:pPr>
              <w:pStyle w:val="Compact"/>
              <w:jc w:val="left"/>
            </w:pPr>
            <w:r>
              <w:rPr>
                <w:rFonts w:hint="eastAsia"/>
              </w:rPr>
              <w:t xml:space="preserve">持有更大规模的国库券阶梯组合</w:t>
            </w:r>
          </w:p>
        </w:tc>
        <w:tc>
          <w:tcPr/>
          <w:p>
            <w:pPr>
              <w:pStyle w:val="Compact"/>
              <w:jc w:val="center"/>
            </w:pPr>
            <w:r>
              <w:rPr>
                <w:rFonts w:hint="eastAsia"/>
              </w:rPr>
              <w:t xml:space="preserve">到期与收益可预测</w:t>
            </w:r>
          </w:p>
        </w:tc>
        <w:tc>
          <w:tcPr/>
          <w:p>
            <w:pPr>
              <w:pStyle w:val="Compact"/>
              <w:jc w:val="center"/>
            </w:pPr>
            <w:r>
              <w:rPr>
                <w:rFonts w:hint="eastAsia"/>
              </w:rPr>
              <w:t xml:space="preserve">可能无法匹配当日赎回需求</w:t>
            </w:r>
          </w:p>
        </w:tc>
      </w:tr>
      <w:tr>
        <w:tc>
          <w:tcPr/>
          <w:p>
            <w:pPr>
              <w:pStyle w:val="Compact"/>
              <w:jc w:val="left"/>
            </w:pPr>
            <w:r>
              <w:rPr>
                <w:rFonts w:hint="eastAsia"/>
              </w:rPr>
              <w:t xml:space="preserve">增加股指期货的使用</w:t>
            </w:r>
          </w:p>
        </w:tc>
        <w:tc>
          <w:tcPr/>
          <w:p>
            <w:pPr>
              <w:pStyle w:val="Compact"/>
              <w:jc w:val="center"/>
            </w:pPr>
            <w:r>
              <w:rPr>
                <w:rFonts w:hint="eastAsia"/>
              </w:rPr>
              <w:t xml:space="preserve">在持有现金的同时保持市场敞口</w:t>
            </w:r>
          </w:p>
        </w:tc>
        <w:tc>
          <w:tcPr/>
          <w:p>
            <w:pPr>
              <w:pStyle w:val="Compact"/>
              <w:jc w:val="center"/>
            </w:pPr>
            <w:r>
              <w:rPr>
                <w:rFonts w:hint="eastAsia"/>
              </w:rPr>
              <w:t xml:space="preserve">基差、保证金及交易对手风险</w:t>
            </w:r>
          </w:p>
        </w:tc>
      </w:tr>
      <w:tr>
        <w:tc>
          <w:tcPr/>
          <w:p>
            <w:pPr>
              <w:pStyle w:val="Compact"/>
              <w:jc w:val="left"/>
            </w:pPr>
            <w:r>
              <w:rPr>
                <w:rFonts w:hint="eastAsia"/>
              </w:rPr>
              <w:t xml:space="preserve">寻求更好的投资者资金流动信息</w:t>
            </w:r>
          </w:p>
        </w:tc>
        <w:tc>
          <w:tcPr/>
          <w:p>
            <w:pPr>
              <w:pStyle w:val="Compact"/>
              <w:jc w:val="center"/>
            </w:pPr>
            <w:r>
              <w:rPr>
                <w:rFonts w:hint="eastAsia"/>
              </w:rPr>
              <w:t xml:space="preserve">可能降低预测误差</w:t>
            </w:r>
          </w:p>
        </w:tc>
        <w:tc>
          <w:tcPr/>
          <w:p>
            <w:pPr>
              <w:pStyle w:val="Compact"/>
              <w:jc w:val="center"/>
            </w:pPr>
            <w:r>
              <w:rPr>
                <w:rFonts w:hint="eastAsia"/>
              </w:rPr>
              <w:t xml:space="preserve">成本、覆盖不完整、客户抵触</w:t>
            </w:r>
          </w:p>
        </w:tc>
      </w:tr>
      <w:tr>
        <w:tc>
          <w:tcPr/>
          <w:p>
            <w:pPr>
              <w:pStyle w:val="Compact"/>
              <w:jc w:val="left"/>
            </w:pPr>
            <w:r>
              <w:rPr>
                <w:rFonts w:hint="eastAsia"/>
              </w:rPr>
              <w:t xml:space="preserve">将投资组合向流动性方向重新设计</w:t>
            </w:r>
          </w:p>
        </w:tc>
        <w:tc>
          <w:tcPr/>
          <w:p>
            <w:pPr>
              <w:pStyle w:val="Compact"/>
              <w:jc w:val="center"/>
            </w:pPr>
            <w:r>
              <w:rPr>
                <w:rFonts w:hint="eastAsia"/>
              </w:rPr>
              <w:t xml:space="preserve">降低被迫卖出的成本</w:t>
            </w:r>
          </w:p>
        </w:tc>
        <w:tc>
          <w:tcPr/>
          <w:p>
            <w:pPr>
              <w:pStyle w:val="Compact"/>
              <w:jc w:val="center"/>
            </w:pPr>
            <w:r>
              <w:rPr>
                <w:rFonts w:hint="eastAsia"/>
              </w:rPr>
              <w:t xml:space="preserve">可能限制投资策略</w:t>
            </w:r>
          </w:p>
        </w:tc>
      </w:tr>
    </w:tbl>
    <w:p>
      <w:pPr>
        <w:pStyle w:val="BodyText"/>
      </w:pPr>
      <w:r>
        <w:rPr>
          <w:rFonts w:hint="eastAsia"/>
        </w:rPr>
        <w:t xml:space="preserve">来源：Summit</w:t>
      </w:r>
      <w:r>
        <w:t xml:space="preserve"> </w:t>
      </w:r>
      <w:r>
        <w:rPr>
          <w:rFonts w:hint="eastAsia"/>
        </w:rPr>
        <w:t xml:space="preserve">Ridge管理层提案；虚构数据。</w:t>
      </w:r>
    </w:p>
    <w:bookmarkEnd w:id="18"/>
    <w:bookmarkEnd w:id="19"/>
    <w:bookmarkStart w:id="20" w:name="周一上午8点30分"/>
    <w:p>
      <w:pPr>
        <w:pStyle w:val="Heading1"/>
      </w:pPr>
      <w:r>
        <w:rPr>
          <w:rFonts w:hint="eastAsia"/>
        </w:rPr>
        <w:t xml:space="preserve">周一上午8点30分</w:t>
      </w:r>
    </w:p>
    <w:p>
      <w:pPr>
        <w:pStyle w:val="FirstParagraph"/>
      </w:pPr>
      <w:r>
        <w:rPr>
          <w:rFonts w:hint="eastAsia"/>
        </w:rPr>
        <w:t xml:space="preserve">到上午8点20分，过户代理机构将估计赎回总额上调至3.47亿美元。一家机构客户已确认1.78亿美元的赎回。第二家机构已索取结算信息，但尚未正式提交订单。零售资金流为负，尽管该估计数据仍不稳定。该基金的银行确认，2.5亿美元的承诺信贷额度仍可使用，但需承担借款成本及抵押品要求。</w:t>
      </w:r>
    </w:p>
    <w:p>
      <w:pPr>
        <w:pStyle w:val="BodyText"/>
      </w:pPr>
      <w:r>
        <w:rPr>
          <w:rFonts w:hint="eastAsia"/>
        </w:rPr>
        <w:t xml:space="preserve">Marquez必须在市场开盘前批准开盘方案。她可以动用基金的大部分现金、开始卖出流动性强的核心持仓、卖出低确信度持仓、通过信贷额度借款，或将这些行动组合使用。她还必须决定是否要在已知赎回之外，提前筹集额外现金，以应对进一步的赎回。每一个选择都取决于决策做出之后才会展开的事件。</w:t>
      </w:r>
    </w:p>
    <w:p>
      <w:pPr>
        <w:pStyle w:val="BodyText"/>
      </w:pPr>
      <w:r>
        <w:rPr>
          <w:rFonts w:hint="eastAsia"/>
        </w:rPr>
        <w:t xml:space="preserve">更大的问题将在周一之后依然存在。Summit</w:t>
      </w:r>
      <w:r>
        <w:t xml:space="preserve"> </w:t>
      </w:r>
      <w:r>
        <w:rPr>
          <w:rFonts w:hint="eastAsia"/>
        </w:rPr>
        <w:t xml:space="preserve">Ridge需要一套可重复的流程，用以应对日常资金流入、意外的机构赎回、市场冲击以及持续赎回的时期。然而，一套在危机中能保护基金的流程，也可能在正常市场中削弱业绩、改变投资策略，或在不同时间进出的股东之间转移交易成本。</w:t>
      </w:r>
    </w:p>
    <w:p>
      <w:pPr>
        <w:pStyle w:val="BodyText"/>
      </w:pPr>
      <w:r>
        <w:rPr>
          <w:rFonts w:hint="eastAsia"/>
        </w:rPr>
        <w:t xml:space="preserve">上午8点28分，期货再次下跌半个百分点。Marquez看着现金仪表板、交易清单，以及第二家机构发来的信息。市场将在两分钟后开盘。</w:t>
      </w:r>
    </w:p>
    <w:bookmarkEnd w:id="20"/>
    <w:bookmarkStart w:id="21" w:name="复习题"/>
    <w:p>
      <w:pPr>
        <w:pStyle w:val="Heading1"/>
      </w:pPr>
      <w:r>
        <w:rPr>
          <w:rFonts w:hint="eastAsia"/>
        </w:rPr>
        <w:t xml:space="preserve">复习题</w:t>
      </w:r>
    </w:p>
    <w:p>
      <w:pPr>
        <w:numPr>
          <w:ilvl w:val="0"/>
          <w:numId w:val="1001"/>
        </w:numPr>
      </w:pPr>
      <w:r>
        <w:rPr>
          <w:rFonts w:hint="eastAsia"/>
        </w:rPr>
        <w:t xml:space="preserve">周一早晨Marquez面临的核心问题是什么？</w:t>
      </w:r>
    </w:p>
    <w:p>
      <w:pPr>
        <w:numPr>
          <w:ilvl w:val="0"/>
          <w:numId w:val="1001"/>
        </w:numPr>
      </w:pPr>
      <w:r>
        <w:t xml:space="preserve">Summit </w:t>
      </w:r>
      <w:r>
        <w:rPr>
          <w:rFonts w:hint="eastAsia"/>
        </w:rPr>
        <w:t xml:space="preserve">Ridge应在多大程度上重视已知赎回相对于可能的额外赎回？</w:t>
      </w:r>
    </w:p>
    <w:p>
      <w:pPr>
        <w:numPr>
          <w:ilvl w:val="0"/>
          <w:numId w:val="1001"/>
        </w:numPr>
      </w:pPr>
      <w:r>
        <w:rPr>
          <w:rFonts w:hint="eastAsia"/>
        </w:rPr>
        <w:t xml:space="preserve">持有过少现金会带来什么后果？持有过多现金又会带来什么后果？</w:t>
      </w:r>
    </w:p>
    <w:p>
      <w:pPr>
        <w:numPr>
          <w:ilvl w:val="0"/>
          <w:numId w:val="1001"/>
        </w:numPr>
      </w:pPr>
      <w:r>
        <w:rPr>
          <w:rFonts w:hint="eastAsia"/>
        </w:rPr>
        <w:t xml:space="preserve">当基金必须筹集现金时，应首先卖出哪些证券？</w:t>
      </w:r>
    </w:p>
    <w:p>
      <w:pPr>
        <w:numPr>
          <w:ilvl w:val="0"/>
          <w:numId w:val="1001"/>
        </w:numPr>
      </w:pPr>
      <w:r>
        <w:rPr>
          <w:rFonts w:hint="eastAsia"/>
        </w:rPr>
        <w:t xml:space="preserve">基金应在何时使用信贷额度，而不是卖出投资组合持仓？（如果有这种情况的话）</w:t>
      </w:r>
    </w:p>
    <w:p>
      <w:pPr>
        <w:numPr>
          <w:ilvl w:val="0"/>
          <w:numId w:val="1001"/>
        </w:numPr>
      </w:pPr>
      <w:r>
        <w:rPr>
          <w:rFonts w:hint="eastAsia"/>
        </w:rPr>
        <w:t xml:space="preserve">零售投资者与机构投资者之间的差异应如何影响现金规划？</w:t>
      </w:r>
    </w:p>
    <w:p>
      <w:pPr>
        <w:numPr>
          <w:ilvl w:val="0"/>
          <w:numId w:val="1001"/>
        </w:numPr>
      </w:pPr>
      <w:r>
        <w:rPr>
          <w:rFonts w:hint="eastAsia"/>
        </w:rPr>
        <w:t xml:space="preserve">哪些信息最能提升Summit</w:t>
      </w:r>
      <w:r>
        <w:t xml:space="preserve"> </w:t>
      </w:r>
      <w:r>
        <w:rPr>
          <w:rFonts w:hint="eastAsia"/>
        </w:rPr>
        <w:t xml:space="preserve">Ridge预见投资者资金流动的能力？</w:t>
      </w:r>
    </w:p>
    <w:p>
      <w:pPr>
        <w:numPr>
          <w:ilvl w:val="0"/>
          <w:numId w:val="1001"/>
        </w:numPr>
      </w:pPr>
      <w:r>
        <w:rPr>
          <w:rFonts w:hint="eastAsia"/>
        </w:rPr>
        <w:t xml:space="preserve">固定现金目标、动态规则，还是管理人判断，哪一种能提供最强有力的流程？</w:t>
      </w:r>
    </w:p>
    <w:p>
      <w:pPr>
        <w:numPr>
          <w:ilvl w:val="0"/>
          <w:numId w:val="1001"/>
        </w:numPr>
      </w:pPr>
      <w:r>
        <w:rPr>
          <w:rFonts w:hint="eastAsia"/>
        </w:rPr>
        <w:t xml:space="preserve">在设定流动性水平时，基金应如何考虑市场状况和利率？</w:t>
      </w:r>
    </w:p>
    <w:p>
      <w:pPr>
        <w:numPr>
          <w:ilvl w:val="0"/>
          <w:numId w:val="1001"/>
        </w:numPr>
      </w:pPr>
      <w:r>
        <w:t xml:space="preserve">Summit </w:t>
      </w:r>
      <w:r>
        <w:rPr>
          <w:rFonts w:hint="eastAsia"/>
        </w:rPr>
        <w:t xml:space="preserve">Ridge应如何评估其现金管理流程是否在公平地保护剩余股东？</w:t>
      </w:r>
    </w:p>
    <w:bookmarkEnd w:id="21"/>
    <w:bookmarkStart w:id="27"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识别并描述决策者的职责。这应界定问题的范围。</w:t>
      </w:r>
    </w:p>
    <w:p>
      <w:pPr>
        <w:numPr>
          <w:ilvl w:val="0"/>
          <w:numId w:val="1002"/>
        </w:numPr>
      </w:pPr>
      <w:r>
        <w:rPr>
          <w:rFonts w:hint="eastAsia"/>
        </w:rPr>
        <w:t xml:space="preserve">使用</w:t>
      </w:r>
      <w:hyperlink r:id="rId22">
        <w:r>
          <w:rPr>
            <w:rStyle w:val="Hyperlink"/>
            <w:rFonts w:hint="eastAsia"/>
          </w:rPr>
          <w:t xml:space="preserve">指标金字塔工具</w:t>
        </w:r>
      </w:hyperlink>
      <w:r>
        <w:rPr>
          <w:rFonts w:hint="eastAsia"/>
        </w:rPr>
        <w:t xml:space="preserve">来识别并排序不同的绩效指标。点击承载该指标的椭圆，以确定它是需要最大化的指标（绿色）、需要最小化的指标（红色）、作为下限的目标（浅绿色）、作为上限的目标（浅红色），还是最终的目标值（紫色）。</w:t>
      </w:r>
    </w:p>
    <w:p>
      <w:pPr>
        <w:numPr>
          <w:ilvl w:val="0"/>
          <w:numId w:val="1002"/>
        </w:numPr>
      </w:pPr>
      <w:r>
        <w:rPr>
          <w:rFonts w:hint="eastAsia"/>
        </w:rPr>
        <w:t xml:space="preserve">使用</w:t>
      </w:r>
      <w:hyperlink r:id="rId23">
        <w:r>
          <w:rPr>
            <w:rStyle w:val="Hyperlink"/>
            <w:rFonts w:hint="eastAsia"/>
          </w:rPr>
          <w:t xml:space="preserve">决策优先级排序工具</w:t>
        </w:r>
      </w:hyperlink>
      <w:r>
        <w:rPr>
          <w:rFonts w:hint="eastAsia"/>
        </w:rPr>
        <w:t xml:space="preserve">，首先列出不同类型的决策（可参考</w:t>
      </w:r>
      <w:hyperlink r:id="rId24">
        <w:r>
          <w:rPr>
            <w:rStyle w:val="Hyperlink"/>
            <w:rFonts w:hint="eastAsia"/>
          </w:rPr>
          <w:t xml:space="preserve">决策类型</w:t>
        </w:r>
      </w:hyperlink>
      <w:r>
        <w:rPr>
          <w:rFonts w:hint="eastAsia"/>
        </w:rPr>
        <w:t xml:space="preserve">作为指导）。这些决策将填充右侧矩阵的各行，而列则是按照上方金字塔中优先级从左到右排序的绩效指标。点击每个单元格，以表明该决策对各指标的影响程度是高（红色）、中（橙色）、低（黄色）还是无影响（白色）。</w:t>
      </w:r>
    </w:p>
    <w:p>
      <w:pPr>
        <w:numPr>
          <w:ilvl w:val="0"/>
          <w:numId w:val="1002"/>
        </w:numPr>
      </w:pPr>
      <w:r>
        <w:rPr>
          <w:rFonts w:hint="eastAsia"/>
        </w:rPr>
        <w:t xml:space="preserve">你可以抓住每行最左侧的手柄（三条横杠）将其上下移动。对各行进行排序，使对最重要指标影响最大的决策位于顶部。左上角的单元格应集中最多的红色和橙色单元格。此时，识别出在你的研究中应给予最多关注的决策。如果没有任何决策对最重要指标的影响达到中等或高等程度，请重新审视你的决策清单。</w:t>
      </w:r>
    </w:p>
    <w:p>
      <w:pPr>
        <w:numPr>
          <w:ilvl w:val="0"/>
          <w:numId w:val="1002"/>
        </w:numPr>
      </w:pPr>
      <w:r>
        <w:rPr>
          <w:rFonts w:hint="eastAsia"/>
        </w:rPr>
        <w:t xml:space="preserve">使用</w:t>
      </w:r>
      <w:hyperlink r:id="rId25">
        <w:r>
          <w:rPr>
            <w:rStyle w:val="Hyperlink"/>
            <w:rFonts w:hint="eastAsia"/>
          </w:rPr>
          <w:t xml:space="preserve">不确定性优先级排序工具</w:t>
        </w:r>
      </w:hyperlink>
      <w:r>
        <w:rPr>
          <w:rFonts w:hint="eastAsia"/>
        </w:rPr>
        <w:t xml:space="preserve">重复上述过程，列出并排序不确定性。使用</w:t>
      </w:r>
      <w:hyperlink r:id="rId26">
        <w:r>
          <w:rPr>
            <w:rStyle w:val="Hyperlink"/>
            <w:rFonts w:hint="eastAsia"/>
          </w:rPr>
          <w:t xml:space="preserve">不确定性类别</w:t>
        </w:r>
      </w:hyperlink>
      <w:r>
        <w:rPr>
          <w:rFonts w:hint="eastAsia"/>
        </w:rPr>
        <w:t xml:space="preserve">来帮助你识别这些不确定性。</w:t>
      </w:r>
    </w:p>
    <w:p>
      <w:pPr>
        <w:numPr>
          <w:ilvl w:val="0"/>
          <w:numId w:val="1002"/>
        </w:numPr>
      </w:pPr>
      <w:r>
        <w:rPr>
          <w:rFonts w:hint="eastAsia"/>
        </w:rPr>
        <w:t xml:space="preserve">区分那些可以通过平均表现来评估的不确定性，与那些属于风险事件的不确定性，这一点很重要：</w:t>
      </w:r>
    </w:p>
    <w:p>
      <w:pPr>
        <w:numPr>
          <w:ilvl w:val="1"/>
          <w:numId w:val="1003"/>
        </w:numPr>
      </w:pPr>
      <w:r>
        <w:rPr>
          <w:rFonts w:hint="eastAsia"/>
        </w:rPr>
        <w:t xml:space="preserve">哪些不确定性来源可以通过一段时间内的平均表现来体现？</w:t>
      </w:r>
    </w:p>
    <w:p>
      <w:pPr>
        <w:numPr>
          <w:ilvl w:val="1"/>
          <w:numId w:val="1003"/>
        </w:numPr>
      </w:pPr>
      <w:r>
        <w:rPr>
          <w:rFonts w:hint="eastAsia"/>
        </w:rPr>
        <w:t xml:space="preserve">哪些不确定性来源代表了无法通过平均值恰当体现的风险形式？</w:t>
      </w:r>
    </w:p>
    <w:p>
      <w:pPr>
        <w:numPr>
          <w:ilvl w:val="0"/>
          <w:numId w:val="1002"/>
        </w:numPr>
      </w:pPr>
      <w:r>
        <w:rPr>
          <w:rFonts w:hint="eastAsia"/>
        </w:rPr>
        <w:t xml:space="preserve">选择你认为对最重要指标影响最大的单一决策。</w:t>
      </w:r>
    </w:p>
    <w:p>
      <w:pPr>
        <w:numPr>
          <w:ilvl w:val="1"/>
          <w:numId w:val="1004"/>
        </w:numPr>
      </w:pPr>
      <w:r>
        <w:rPr>
          <w:rFonts w:hint="eastAsia"/>
        </w:rPr>
        <w:t xml:space="preserve">你认为你会采用什么方法来做出这一决策？</w:t>
      </w:r>
    </w:p>
    <w:p>
      <w:pPr>
        <w:numPr>
          <w:ilvl w:val="1"/>
          <w:numId w:val="1004"/>
        </w:numPr>
      </w:pPr>
      <w:r>
        <w:rPr>
          <w:rFonts w:hint="eastAsia"/>
        </w:rPr>
        <w:t xml:space="preserve">做出这一决策似乎需要哪些数据，包括计算该决策具有高或中等影响的任何绩效指标所需的数据。</w:t>
      </w:r>
    </w:p>
    <w:p>
      <w:pPr>
        <w:numPr>
          <w:ilvl w:val="0"/>
          <w:numId w:val="1002"/>
        </w:numPr>
      </w:pPr>
      <w:r>
        <w:rPr>
          <w:rFonts w:hint="eastAsia"/>
        </w:rPr>
        <w:t xml:space="preserve">针对你在第(7)问中确定的同一决策，识别在实施该决策时你需要合作的人员、部门、团队或组织。</w:t>
      </w:r>
    </w:p>
    <w:bookmarkEnd w:id="27"/>
    <w:bookmarkStart w:id="30" w:name="chatgpt备注"/>
    <w:p>
      <w:pPr>
        <w:pStyle w:val="Heading1"/>
      </w:pPr>
      <w:r>
        <w:rPr>
          <w:rFonts w:hint="eastAsia"/>
        </w:rPr>
        <w:t xml:space="preserve">ChatGPT备注</w:t>
      </w:r>
    </w:p>
    <w:bookmarkStart w:id="28" w:name="提示词"/>
    <w:p>
      <w:pPr>
        <w:pStyle w:val="Heading2"/>
      </w:pPr>
      <w:r>
        <w:rPr>
          <w:rFonts w:hint="eastAsia"/>
        </w:rPr>
        <w:t xml:space="preserve">提示词</w:t>
      </w:r>
    </w:p>
    <w:p>
      <w:pPr>
        <w:pStyle w:val="FirstParagraph"/>
      </w:pPr>
      <w:r>
        <w:rPr>
          <w:rFonts w:hint="eastAsia"/>
        </w:rPr>
        <w:t xml:space="preserve">根据</w:t>
      </w:r>
      <w:r>
        <w:t xml:space="preserve"> https://warrenpowell.org/bridging-vol1/chapter-2/#mutual-fund-cash-management </w:t>
      </w:r>
      <w:r>
        <w:rPr>
          <w:rFonts w:hint="eastAsia"/>
        </w:rPr>
        <w:t xml:space="preserve">部分中的内容，撰写一篇4-6页的案例研究。基于该部分中的指标、决策和不确定性构建情境，但不要明确指出这些要素。用数据为你的案例问题提供依据。</w:t>
      </w:r>
    </w:p>
    <w:bookmarkEnd w:id="28"/>
    <w:bookmarkStart w:id="29" w:name="摘要"/>
    <w:p>
      <w:pPr>
        <w:pStyle w:val="Heading2"/>
      </w:pPr>
      <w:r>
        <w:rPr>
          <w:rFonts w:hint="eastAsia"/>
        </w:rPr>
        <w:t xml:space="preserve">摘要</w:t>
      </w:r>
    </w:p>
    <w:p>
      <w:pPr>
        <w:pStyle w:val="FirstParagraph"/>
      </w:pPr>
      <w:r>
        <w:rPr>
          <w:rFonts w:hint="eastAsia"/>
        </w:rPr>
        <w:t xml:space="preserve">本案例呈现了一只虚构的股票型共同基金，在周末市场冲击之后面临大规模机构赎回的情形。管理层必须决定应保留多少现金、是否借款或出售证券、应交易哪些持仓，以及如何在不对投资业绩造成持续拖累的情况下为进一步的赎回做好准备。</w:t>
      </w:r>
    </w:p>
    <w:p>
      <w:pPr>
        <w:pStyle w:val="BodyText"/>
      </w:pPr>
      <w:r>
        <w:rPr>
          <w:rFonts w:hint="eastAsia"/>
        </w:rPr>
        <w:t xml:space="preserve">该情境取材于所指定的共同基金现金管理章节，包括持有过多现金与在赎回到来时被迫清仓投资之间的张力。其依据是行业数据：截至2026年5月，美国长期共同基金资产约为</w:t>
      </w:r>
      <w:r>
        <w:rPr>
          <w:rFonts w:hint="eastAsia"/>
          <w:b/>
          <w:bCs/>
        </w:rPr>
        <w:t xml:space="preserve">25.3万亿美元</w:t>
      </w:r>
      <w:r>
        <w:rPr>
          <w:rFonts w:hint="eastAsia"/>
        </w:rPr>
        <w:t xml:space="preserve">；2026年7月，共同基金估计单周净流出</w:t>
      </w:r>
      <w:r>
        <w:rPr>
          <w:rFonts w:hint="eastAsia"/>
          <w:b/>
          <w:bCs/>
        </w:rPr>
        <w:t xml:space="preserve">154.3亿美元</w:t>
      </w:r>
      <w:r>
        <w:rPr>
          <w:rFonts w:hint="eastAsia"/>
        </w:rPr>
        <w:t xml:space="preserve">；截至2025年3月，货币市场基金资产超过</w:t>
      </w:r>
      <w:r>
        <w:rPr>
          <w:rFonts w:hint="eastAsia"/>
          <w:b/>
          <w:bCs/>
        </w:rPr>
        <w:t xml:space="preserve">7万亿美元</w:t>
      </w:r>
      <w: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2026-09-11T17:27:47Z</dcterms:created>
  <dcterms:modified xsi:type="dcterms:W3CDTF">2026-09-11T17:27:47Z</dcterms:modified>
</cp:coreProperties>
</file>

<file path=docProps/custom.xml><?xml version="1.0" encoding="utf-8"?>
<Properties xmlns="http://schemas.openxmlformats.org/officeDocument/2006/custom-properties" xmlns:vt="http://schemas.openxmlformats.org/officeDocument/2006/docPropsVTypes"/>
</file>