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CB8FA" w14:textId="4D53DF7D" w:rsidR="00CB6D3D" w:rsidRPr="006C549B" w:rsidRDefault="00CB6D3D" w:rsidP="006C549B">
      <w:r>
        <w:rPr>
          <w:b/>
          <w:noProof/>
          <w:color w:val="000000"/>
        </w:rPr>
        <w:drawing>
          <wp:inline distT="114300" distB="114300" distL="114300" distR="114300" wp14:anchorId="4F9FF319" wp14:editId="3A411ABE">
            <wp:extent cx="4300538" cy="3116210"/>
            <wp:effectExtent l="0" t="0" r="0" b="0"/>
            <wp:docPr id="10" name="image8.png" descr="A graph of different colored lin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 descr="A graph of different colored lines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3116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011B67" w14:textId="77777777" w:rsidR="00CB6D3D" w:rsidRDefault="00CB6D3D" w:rsidP="00CB6D3D">
      <w:r>
        <w:rPr>
          <w:noProof/>
        </w:rPr>
        <w:drawing>
          <wp:inline distT="114300" distB="114300" distL="114300" distR="114300" wp14:anchorId="4D5CE292" wp14:editId="6EABC9F4">
            <wp:extent cx="4833938" cy="3149516"/>
            <wp:effectExtent l="0" t="0" r="0" b="0"/>
            <wp:docPr id="1" name="image5.png" descr="A screen shot of a graph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 descr="A screen shot of a graph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31495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84E3F4" w14:textId="10B8A178" w:rsidR="00CB6D3D" w:rsidRDefault="00CB6D3D" w:rsidP="00CB6D3D">
      <w:pPr>
        <w:pStyle w:val="Heading5"/>
        <w:jc w:val="both"/>
        <w:rPr>
          <w:color w:val="000000"/>
        </w:rPr>
      </w:pPr>
      <w:bookmarkStart w:id="0" w:name="_2wqmtpctiqun" w:colFirst="0" w:colLast="0"/>
      <w:bookmarkEnd w:id="0"/>
      <w:r>
        <w:rPr>
          <w:b/>
          <w:color w:val="000000"/>
        </w:rPr>
        <w:t>Figure S</w:t>
      </w:r>
      <w:r w:rsidR="006C549B">
        <w:rPr>
          <w:b/>
          <w:color w:val="000000"/>
        </w:rPr>
        <w:t>1</w:t>
      </w:r>
      <w:r>
        <w:rPr>
          <w:b/>
          <w:color w:val="000000"/>
        </w:rPr>
        <w:t xml:space="preserve"> - Alpha- and beta-diversity measures of bacterial dataset.</w:t>
      </w:r>
      <w:r>
        <w:rPr>
          <w:b/>
        </w:rPr>
        <w:t xml:space="preserve"> </w:t>
      </w:r>
    </w:p>
    <w:p w14:paraId="282A07EC" w14:textId="0FC4573E" w:rsidR="00CB6D3D" w:rsidRDefault="00CB6D3D" w:rsidP="00CB6D3D">
      <w:pPr>
        <w:jc w:val="both"/>
      </w:pPr>
      <w:r>
        <w:t xml:space="preserve">(A) </w:t>
      </w:r>
      <w:r>
        <w:rPr>
          <w:highlight w:val="white"/>
        </w:rPr>
        <w:t xml:space="preserve">Rarefaction analysis of </w:t>
      </w:r>
      <w:r w:rsidR="00772668">
        <w:rPr>
          <w:highlight w:val="white"/>
        </w:rPr>
        <w:t>bacterial</w:t>
      </w:r>
      <w:r>
        <w:rPr>
          <w:highlight w:val="white"/>
        </w:rPr>
        <w:t xml:space="preserve"> 16S rRNA</w:t>
      </w:r>
      <w:r w:rsidR="00772668">
        <w:rPr>
          <w:highlight w:val="white"/>
        </w:rPr>
        <w:t xml:space="preserve"> gene</w:t>
      </w:r>
      <w:r>
        <w:rPr>
          <w:highlight w:val="white"/>
        </w:rPr>
        <w:t xml:space="preserve"> amplicon sequences.</w:t>
      </w:r>
      <w:r>
        <w:t xml:space="preserve"> (B) </w:t>
      </w:r>
      <w:r>
        <w:rPr>
          <w:highlight w:val="white"/>
        </w:rPr>
        <w:t xml:space="preserve">Community similarity dendrogram calculated from </w:t>
      </w:r>
      <w:proofErr w:type="spellStart"/>
      <w:r>
        <w:rPr>
          <w:highlight w:val="white"/>
        </w:rPr>
        <w:t>Sørenson</w:t>
      </w:r>
      <w:proofErr w:type="spellEnd"/>
      <w:r>
        <w:rPr>
          <w:highlight w:val="white"/>
        </w:rPr>
        <w:t xml:space="preserve"> diversity index. (C) MDS plot of </w:t>
      </w:r>
      <w:r w:rsidR="00772668">
        <w:rPr>
          <w:highlight w:val="white"/>
        </w:rPr>
        <w:t xml:space="preserve">bacterial </w:t>
      </w:r>
      <w:r>
        <w:rPr>
          <w:highlight w:val="white"/>
        </w:rPr>
        <w:t>community similarity calculated from the Bray-Curtis diversity index</w:t>
      </w:r>
      <w:r>
        <w:t xml:space="preserve">. </w:t>
      </w:r>
    </w:p>
    <w:p w14:paraId="6F7EB216" w14:textId="21D7ACF5" w:rsidR="00CB6D3D" w:rsidRDefault="00CB6D3D" w:rsidP="00CB6D3D">
      <w:pPr>
        <w:pStyle w:val="Heading5"/>
        <w:rPr>
          <w:b/>
        </w:rPr>
      </w:pPr>
      <w:bookmarkStart w:id="1" w:name="_ht2hk2np03h6" w:colFirst="0" w:colLast="0"/>
      <w:bookmarkEnd w:id="1"/>
      <w:r>
        <w:rPr>
          <w:noProof/>
        </w:rPr>
        <w:lastRenderedPageBreak/>
        <w:drawing>
          <wp:inline distT="114300" distB="114300" distL="114300" distR="114300" wp14:anchorId="0F93D1DE" wp14:editId="4F6F9B2A">
            <wp:extent cx="5943600" cy="3848100"/>
            <wp:effectExtent l="0" t="0" r="0" b="0"/>
            <wp:docPr id="13" name="image10.png" descr="A chart of different colored lines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.png" descr="A chart of different colored lines&#10;&#10;Description automatically generated with medium confidenc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C549B">
        <w:rPr>
          <w:b/>
          <w:color w:val="000000" w:themeColor="text1"/>
        </w:rPr>
        <w:t>Figure S</w:t>
      </w:r>
      <w:r w:rsidR="005818DA">
        <w:rPr>
          <w:b/>
          <w:color w:val="000000" w:themeColor="text1"/>
        </w:rPr>
        <w:t>2</w:t>
      </w:r>
      <w:r w:rsidRPr="006C549B">
        <w:rPr>
          <w:b/>
          <w:color w:val="000000" w:themeColor="text1"/>
        </w:rPr>
        <w:t xml:space="preserve"> - Relative abundance of bacteria in the fluid, soil, and core samples at the Phylum level. </w:t>
      </w:r>
    </w:p>
    <w:p w14:paraId="6A82EF86" w14:textId="66B73223" w:rsidR="00CB6D3D" w:rsidRDefault="00CB6D3D" w:rsidP="00772668">
      <w:pPr>
        <w:jc w:val="both"/>
      </w:pPr>
      <w:r>
        <w:t xml:space="preserve">Due to its disproportionate abundance, the phylum Proteobacteria is represented at the Class level with </w:t>
      </w:r>
      <w:proofErr w:type="spellStart"/>
      <w:r w:rsidRPr="00772668">
        <w:rPr>
          <w:i/>
          <w:iCs/>
        </w:rPr>
        <w:t>Alphaproteobacteria</w:t>
      </w:r>
      <w:proofErr w:type="spellEnd"/>
      <w:r>
        <w:t xml:space="preserve"> and </w:t>
      </w:r>
      <w:r w:rsidRPr="00772668">
        <w:rPr>
          <w:i/>
          <w:iCs/>
        </w:rPr>
        <w:t>Gammaproteobacteria</w:t>
      </w:r>
      <w:r>
        <w:t xml:space="preserve">. No other classes of the Proteobacteria were detected. ‘Other’ represents phyla which were not more than 1% </w:t>
      </w:r>
      <w:r w:rsidR="00D60837">
        <w:t xml:space="preserve">relative abundance </w:t>
      </w:r>
      <w:r>
        <w:t xml:space="preserve">of a single sample. Depths of core samples are included in parentheses beside the sample name. </w:t>
      </w:r>
    </w:p>
    <w:p w14:paraId="3C2BD97F" w14:textId="77777777" w:rsidR="00CB6D3D" w:rsidRDefault="00CB6D3D" w:rsidP="00CB6D3D">
      <w:pPr>
        <w:pStyle w:val="Heading2"/>
        <w:rPr>
          <w:b/>
          <w:sz w:val="24"/>
          <w:szCs w:val="24"/>
        </w:rPr>
      </w:pPr>
      <w:bookmarkStart w:id="2" w:name="_s36mhvkgk6jf" w:colFirst="0" w:colLast="0"/>
      <w:bookmarkEnd w:id="2"/>
    </w:p>
    <w:p w14:paraId="7943B39A" w14:textId="00D42F0C" w:rsidR="00CB6D3D" w:rsidRDefault="00CB6D3D" w:rsidP="00CB6D3D">
      <w:pPr>
        <w:pStyle w:val="Heading5"/>
        <w:jc w:val="both"/>
        <w:rPr>
          <w:b/>
        </w:rPr>
      </w:pPr>
      <w:bookmarkStart w:id="3" w:name="_nnnmxx2mij2o" w:colFirst="0" w:colLast="0"/>
      <w:bookmarkEnd w:id="3"/>
      <w:r>
        <w:rPr>
          <w:noProof/>
          <w:color w:val="000000"/>
        </w:rPr>
        <w:drawing>
          <wp:inline distT="114300" distB="114300" distL="114300" distR="114300" wp14:anchorId="1991C70F" wp14:editId="07A0681D">
            <wp:extent cx="4205130" cy="3052763"/>
            <wp:effectExtent l="0" t="0" r="0" b="0"/>
            <wp:docPr id="4" name="image4.png" descr="A graph of amplicon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A graph of amplicons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5130" cy="3052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  <w:color w:val="000000"/>
        </w:rPr>
        <w:drawing>
          <wp:inline distT="114300" distB="114300" distL="114300" distR="114300" wp14:anchorId="53C24094" wp14:editId="2FC6C973">
            <wp:extent cx="5943600" cy="3492500"/>
            <wp:effectExtent l="0" t="0" r="0" b="0"/>
            <wp:docPr id="9" name="image6.png" descr="A graph with red dots and green lin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.png" descr="A graph with red dots and green lines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>Figure S</w:t>
      </w:r>
      <w:r w:rsidR="006C549B">
        <w:rPr>
          <w:b/>
          <w:color w:val="000000"/>
        </w:rPr>
        <w:t>3</w:t>
      </w:r>
      <w:r>
        <w:rPr>
          <w:b/>
          <w:color w:val="000000"/>
        </w:rPr>
        <w:t xml:space="preserve"> - Alpha- and beta-diversity measures of archaeal dataset.</w:t>
      </w:r>
      <w:r>
        <w:rPr>
          <w:b/>
        </w:rPr>
        <w:t xml:space="preserve"> </w:t>
      </w:r>
    </w:p>
    <w:p w14:paraId="354E0C50" w14:textId="77777777" w:rsidR="00CB6D3D" w:rsidRDefault="00CB6D3D" w:rsidP="00CB6D3D">
      <w:pPr>
        <w:jc w:val="both"/>
      </w:pPr>
      <w:r>
        <w:t xml:space="preserve">(A) </w:t>
      </w:r>
      <w:r>
        <w:rPr>
          <w:highlight w:val="white"/>
        </w:rPr>
        <w:t>Rarefaction analysis of archaeal 16S rRNA amplicon sequences.</w:t>
      </w:r>
      <w:r>
        <w:t xml:space="preserve"> (B) </w:t>
      </w:r>
      <w:r>
        <w:rPr>
          <w:highlight w:val="white"/>
        </w:rPr>
        <w:t xml:space="preserve">Community similarity dendrogram calculated from </w:t>
      </w:r>
      <w:proofErr w:type="spellStart"/>
      <w:r>
        <w:rPr>
          <w:highlight w:val="white"/>
        </w:rPr>
        <w:t>Sørenson</w:t>
      </w:r>
      <w:proofErr w:type="spellEnd"/>
      <w:r>
        <w:rPr>
          <w:highlight w:val="white"/>
        </w:rPr>
        <w:t xml:space="preserve"> diversity index. (C) MDS plot of archaeal community similarity calculated from the Bray-Curtis diversity index</w:t>
      </w:r>
      <w:r>
        <w:t xml:space="preserve">. </w:t>
      </w:r>
    </w:p>
    <w:p w14:paraId="0E3B2C29" w14:textId="77777777" w:rsidR="00CB6D3D" w:rsidRDefault="00CB6D3D" w:rsidP="00CB6D3D">
      <w:pPr>
        <w:pStyle w:val="Heading2"/>
        <w:rPr>
          <w:b/>
          <w:sz w:val="24"/>
          <w:szCs w:val="24"/>
        </w:rPr>
      </w:pPr>
      <w:bookmarkStart w:id="4" w:name="_2iwg92gqyrkk" w:colFirst="0" w:colLast="0"/>
      <w:bookmarkEnd w:id="4"/>
      <w:r>
        <w:rPr>
          <w:b/>
          <w:noProof/>
          <w:sz w:val="24"/>
          <w:szCs w:val="24"/>
        </w:rPr>
        <w:lastRenderedPageBreak/>
        <w:drawing>
          <wp:inline distT="114300" distB="114300" distL="114300" distR="114300" wp14:anchorId="19803665" wp14:editId="782AFAFE">
            <wp:extent cx="5943600" cy="3898900"/>
            <wp:effectExtent l="0" t="0" r="0" b="0"/>
            <wp:docPr id="8" name="image13.png" descr="A graph with different colored lines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3.png" descr="A graph with different colored lines&#10;&#10;Description automatically generated with medium confidenc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19E53C" w14:textId="75B6607B" w:rsidR="00CB6D3D" w:rsidRDefault="00CB6D3D" w:rsidP="00CB6D3D">
      <w:pPr>
        <w:pStyle w:val="Heading5"/>
        <w:jc w:val="both"/>
        <w:rPr>
          <w:color w:val="000000"/>
        </w:rPr>
      </w:pPr>
      <w:bookmarkStart w:id="5" w:name="_1th51vjm9ttw" w:colFirst="0" w:colLast="0"/>
      <w:bookmarkEnd w:id="5"/>
      <w:r>
        <w:rPr>
          <w:b/>
          <w:color w:val="000000"/>
        </w:rPr>
        <w:t>Figure S</w:t>
      </w:r>
      <w:r w:rsidR="006C549B">
        <w:rPr>
          <w:b/>
          <w:color w:val="000000"/>
        </w:rPr>
        <w:t>4</w:t>
      </w:r>
      <w:r>
        <w:rPr>
          <w:b/>
          <w:color w:val="000000"/>
        </w:rPr>
        <w:t xml:space="preserve"> - Relative abundance of archaea at the Class level.</w:t>
      </w:r>
      <w:r>
        <w:rPr>
          <w:b/>
        </w:rPr>
        <w:t xml:space="preserve"> </w:t>
      </w:r>
      <w:r>
        <w:rPr>
          <w:color w:val="000000"/>
        </w:rPr>
        <w:t>Depths of core samples are included in parentheses beside the sample name</w:t>
      </w:r>
      <w:r w:rsidR="00D60837">
        <w:rPr>
          <w:color w:val="000000"/>
        </w:rPr>
        <w:t>.</w:t>
      </w:r>
      <w:r>
        <w:br w:type="page"/>
      </w:r>
    </w:p>
    <w:p w14:paraId="33F8173B" w14:textId="7B335E87" w:rsidR="00CB6D3D" w:rsidRPr="00210247" w:rsidRDefault="00210247" w:rsidP="00772668">
      <w:pPr>
        <w:pStyle w:val="Heading5"/>
        <w:jc w:val="both"/>
        <w:rPr>
          <w:b/>
          <w:color w:val="000000"/>
        </w:rPr>
      </w:pPr>
      <w:bookmarkStart w:id="6" w:name="_1f0tj6c5pk00" w:colFirst="0" w:colLast="0"/>
      <w:bookmarkEnd w:id="6"/>
      <w:r>
        <w:rPr>
          <w:b/>
          <w:noProof/>
          <w:color w:val="000000"/>
        </w:rPr>
        <w:lastRenderedPageBreak/>
        <w:drawing>
          <wp:inline distT="0" distB="0" distL="0" distR="0" wp14:anchorId="1FD45DF1" wp14:editId="74D584B0">
            <wp:extent cx="5912056" cy="6500734"/>
            <wp:effectExtent l="0" t="0" r="0" b="1905"/>
            <wp:docPr id="1042264396" name="Picture 2" descr="A diagram of different colored circl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64396" name="Picture 2" descr="A diagram of different colored circles&#10;&#10;Description automatically generated with medium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312" cy="653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_fxayvlxl6pap" w:colFirst="0" w:colLast="0"/>
      <w:bookmarkStart w:id="8" w:name="_xuepord1velc" w:colFirst="0" w:colLast="0"/>
      <w:bookmarkEnd w:id="7"/>
      <w:bookmarkEnd w:id="8"/>
      <w:r w:rsidR="00CB6D3D">
        <w:rPr>
          <w:b/>
          <w:color w:val="000000"/>
        </w:rPr>
        <w:t>Figure S</w:t>
      </w:r>
      <w:r w:rsidR="006C549B">
        <w:rPr>
          <w:b/>
          <w:color w:val="000000"/>
        </w:rPr>
        <w:t>5</w:t>
      </w:r>
      <w:r w:rsidR="00CB6D3D">
        <w:rPr>
          <w:b/>
          <w:color w:val="000000"/>
        </w:rPr>
        <w:t xml:space="preserve"> - 16S rRNA phylogenetic tree of </w:t>
      </w:r>
      <w:proofErr w:type="spellStart"/>
      <w:r w:rsidR="00CB6D3D">
        <w:rPr>
          <w:b/>
          <w:color w:val="000000"/>
        </w:rPr>
        <w:t>Bathyarchaeota</w:t>
      </w:r>
      <w:proofErr w:type="spellEnd"/>
      <w:r w:rsidR="00CB6D3D">
        <w:rPr>
          <w:b/>
          <w:color w:val="000000"/>
        </w:rPr>
        <w:t xml:space="preserve"> OTUs. </w:t>
      </w:r>
      <w:r w:rsidR="00CB6D3D">
        <w:rPr>
          <w:color w:val="000000"/>
        </w:rPr>
        <w:t xml:space="preserve"> OTUs from this study are highlighted in red and represented in non-gray </w:t>
      </w:r>
      <w:proofErr w:type="spellStart"/>
      <w:r w:rsidR="00CB6D3D">
        <w:rPr>
          <w:color w:val="000000"/>
        </w:rPr>
        <w:t>Bathyarchaeota</w:t>
      </w:r>
      <w:proofErr w:type="spellEnd"/>
      <w:r w:rsidR="00CB6D3D">
        <w:rPr>
          <w:color w:val="000000"/>
        </w:rPr>
        <w:t xml:space="preserve"> subgroups.</w:t>
      </w:r>
      <w:r w:rsidR="00CB6D3D">
        <w:rPr>
          <w:b/>
          <w:color w:val="000000"/>
        </w:rPr>
        <w:t xml:space="preserve"> </w:t>
      </w:r>
      <w:r w:rsidR="00CB6D3D">
        <w:rPr>
          <w:color w:val="000000"/>
        </w:rPr>
        <w:t>Based on concatenated alignment of 16S rRNA gene V4-V6 hypervariable regions of representative sequences from this study and Zhou et al.</w:t>
      </w:r>
      <w:r w:rsidR="006C549B">
        <w:rPr>
          <w:color w:val="000000"/>
        </w:rPr>
        <w:t xml:space="preserve"> 2018</w:t>
      </w:r>
      <w:r w:rsidR="00CB6D3D">
        <w:rPr>
          <w:color w:val="000000"/>
        </w:rPr>
        <w:t xml:space="preserve">. </w:t>
      </w:r>
      <w:proofErr w:type="spellStart"/>
      <w:r w:rsidR="00CB6D3D" w:rsidRPr="00772668">
        <w:rPr>
          <w:i/>
          <w:iCs/>
          <w:color w:val="000000"/>
        </w:rPr>
        <w:t>Crenarchaeota</w:t>
      </w:r>
      <w:proofErr w:type="spellEnd"/>
      <w:r w:rsidR="00CB6D3D">
        <w:rPr>
          <w:color w:val="000000"/>
        </w:rPr>
        <w:t xml:space="preserve">, </w:t>
      </w:r>
      <w:proofErr w:type="spellStart"/>
      <w:r w:rsidR="00CB6D3D">
        <w:rPr>
          <w:color w:val="000000"/>
        </w:rPr>
        <w:t>Korarchaeota</w:t>
      </w:r>
      <w:proofErr w:type="spellEnd"/>
      <w:r w:rsidR="00CB6D3D">
        <w:rPr>
          <w:color w:val="000000"/>
        </w:rPr>
        <w:t>, and Candidatus YNPFFA sequences are referenced as outgroups. Bootstrap values &gt; 0.7 are shown with white dots. Core-enriched OTUs exclusive to CSW and QV30 cores are indicated by red and blue diamonds, respectively. OTUs marked by gray diamonds are found both in cores.</w:t>
      </w:r>
    </w:p>
    <w:p w14:paraId="0B704F9B" w14:textId="4B34030B" w:rsidR="00CB6D3D" w:rsidRPr="00210247" w:rsidRDefault="00D60837" w:rsidP="00210247">
      <w:pPr>
        <w:spacing w:after="160" w:line="278" w:lineRule="auto"/>
        <w:rPr>
          <w:lang w:val="en-US"/>
        </w:rPr>
      </w:pPr>
      <w:r>
        <w:rPr>
          <w:lang w:val="en-US"/>
        </w:rPr>
        <w:br w:type="page"/>
      </w:r>
      <w:r w:rsidRPr="00D60837">
        <w:rPr>
          <w:b/>
          <w:bCs/>
          <w:lang w:val="en-US"/>
        </w:rPr>
        <w:lastRenderedPageBreak/>
        <w:t>References</w:t>
      </w:r>
    </w:p>
    <w:p w14:paraId="709ED054" w14:textId="77777777" w:rsidR="006C549B" w:rsidRPr="006C549B" w:rsidRDefault="006C549B" w:rsidP="006C549B">
      <w:pPr>
        <w:rPr>
          <w:lang w:val="en-US"/>
        </w:rPr>
      </w:pPr>
      <w:r w:rsidRPr="006C549B">
        <w:rPr>
          <w:lang w:val="en-US"/>
        </w:rPr>
        <w:t xml:space="preserve">Zhou Z, Pan J, Wang F, Gu JD, Li M. </w:t>
      </w:r>
      <w:proofErr w:type="spellStart"/>
      <w:r w:rsidRPr="006C549B">
        <w:rPr>
          <w:lang w:val="en-US"/>
        </w:rPr>
        <w:t>Bathyarchaeota</w:t>
      </w:r>
      <w:proofErr w:type="spellEnd"/>
      <w:r w:rsidRPr="006C549B">
        <w:rPr>
          <w:lang w:val="en-US"/>
        </w:rPr>
        <w:t xml:space="preserve">: globally distributed metabolic generalists in anoxic environments. FEMS Microbiology Reviews. 2018 Sep 1;42(5):639–55. </w:t>
      </w:r>
    </w:p>
    <w:p w14:paraId="35A3B264" w14:textId="77777777" w:rsidR="006C549B" w:rsidRPr="006C549B" w:rsidRDefault="006C549B" w:rsidP="006C549B">
      <w:pPr>
        <w:rPr>
          <w:lang w:val="en-US"/>
        </w:rPr>
      </w:pPr>
    </w:p>
    <w:sectPr w:rsidR="006C549B" w:rsidRPr="006C5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59C"/>
    <w:rsid w:val="000775BA"/>
    <w:rsid w:val="00210247"/>
    <w:rsid w:val="0033159C"/>
    <w:rsid w:val="005818DA"/>
    <w:rsid w:val="005D6776"/>
    <w:rsid w:val="00692064"/>
    <w:rsid w:val="006C549B"/>
    <w:rsid w:val="00772668"/>
    <w:rsid w:val="009C65EF"/>
    <w:rsid w:val="00CB6D3D"/>
    <w:rsid w:val="00CE5D18"/>
    <w:rsid w:val="00D60837"/>
    <w:rsid w:val="00D81966"/>
    <w:rsid w:val="00E2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926149"/>
  <w15:chartTrackingRefBased/>
  <w15:docId w15:val="{6424229A-DD76-C645-A098-3B8AAF25D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59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5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5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59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59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3159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59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59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59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59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31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59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31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59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1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59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31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59C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D60837"/>
    <w:pPr>
      <w:tabs>
        <w:tab w:val="left" w:pos="260"/>
      </w:tabs>
      <w:spacing w:after="240" w:line="240" w:lineRule="auto"/>
      <w:ind w:left="264" w:hanging="264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Brazelton</dc:creator>
  <cp:keywords/>
  <dc:description/>
  <cp:lastModifiedBy>Katrina Twing</cp:lastModifiedBy>
  <cp:revision>2</cp:revision>
  <dcterms:created xsi:type="dcterms:W3CDTF">2025-01-24T22:29:00Z</dcterms:created>
  <dcterms:modified xsi:type="dcterms:W3CDTF">2025-01-24T22:29:00Z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id="eWND223I"/&gt;&lt;style id="http://www.zotero.org/styles/vancouver" locale="en-US" hasBibliography="1" bibliographyStyleHasBeenSet="1"/&gt;&lt;prefs&gt;&lt;pref name="fieldType" value="Field"/&gt;&lt;/prefs&gt;&lt;/data&gt;</vt:lpwstr>
  </property>
</Properties>
</file>