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jc w:val="center"/>
      </w:pPr>
      <w:r>
        <w:rPr>
          <w:rFonts w:ascii="Arial" w:cs="Arial" w:eastAsia="Arial" w:hAnsi="Arial"/>
          <w:b/>
          <w:bCs/>
          <w:sz w:val="32"/>
          <w:szCs w:val="32"/>
        </w:rPr>
        <w:t xml:space="preserve">SUMMARIZATION OF NEW APPENDICES (B, C, D, E, F, G, H)</w:t>
      </w:r>
    </w:p>
    <w:p>
      <w:pPr>
        <w:spacing w:after="120"/>
      </w:pPr>
      <w:r>
        <w:rPr>
          <w:rFonts w:ascii="Arial" w:cs="Arial" w:eastAsia="Arial" w:hAnsi="Arial"/>
          <w:b/>
          <w:bCs/>
          <w:sz w:val="24"/>
          <w:szCs w:val="24"/>
        </w:rPr>
        <w:t xml:space="preserve">STATUS: </w:t>
      </w:r>
      <w:r>
        <w:rPr>
          <w:rFonts w:ascii="Arial" w:cs="Arial" w:eastAsia="Arial" w:hAnsi="Arial"/>
          <w:b/>
          <w:bCs/>
          <w:i/>
          <w:iCs/>
          <w:sz w:val="24"/>
          <w:szCs w:val="24"/>
        </w:rPr>
        <w:t xml:space="preserve">DRAFT FOR PUBLIC REVIEW — pending formal submission</w:t>
      </w:r>
    </w:p>
    <w:p>
      <w:pPr>
        <w:spacing w:after="120"/>
      </w:pPr>
      <w:r>
        <w:rPr>
          <w:rFonts w:ascii="Arial" w:cs="Arial" w:eastAsia="Arial" w:hAnsi="Arial"/>
          <w:b/>
          <w:bCs/>
          <w:sz w:val="24"/>
          <w:szCs w:val="24"/>
        </w:rPr>
        <w:t xml:space="preserve">REVISION: </w:t>
      </w:r>
      <w:r>
        <w:rPr>
          <w:rFonts w:ascii="Arial" w:cs="Arial" w:eastAsia="Arial" w:hAnsi="Arial"/>
          <w:sz w:val="24"/>
          <w:szCs w:val="24"/>
        </w:rPr>
        <w:t xml:space="preserve">C  (supersedes Rev B, dated June 2, 2026)</w:t>
      </w:r>
    </w:p>
    <w:p>
      <w:pPr>
        <w:spacing w:after="120"/>
      </w:pPr>
      <w:r>
        <w:rPr>
          <w:rFonts w:ascii="Arial" w:cs="Arial" w:eastAsia="Arial" w:hAnsi="Arial"/>
          <w:b/>
          <w:bCs/>
          <w:sz w:val="24"/>
          <w:szCs w:val="24"/>
        </w:rPr>
        <w:t xml:space="preserve">DATE: </w:t>
      </w:r>
      <w:r>
        <w:rPr>
          <w:rFonts w:ascii="Arial" w:cs="Arial" w:eastAsia="Arial" w:hAnsi="Arial"/>
          <w:sz w:val="24"/>
          <w:szCs w:val="24"/>
        </w:rPr>
        <w:t xml:space="preserve">June 15, 2026</w:t>
      </w:r>
    </w:p>
    <w:p>
      <w:pPr>
        <w:spacing w:after="120"/>
      </w:pPr>
      <w:r>
        <w:rPr>
          <w:rFonts w:ascii="Arial" w:cs="Arial" w:eastAsia="Arial" w:hAnsi="Arial"/>
          <w:b/>
          <w:bCs/>
          <w:sz w:val="24"/>
          <w:szCs w:val="24"/>
        </w:rPr>
        <w:t xml:space="preserve">TO: </w:t>
      </w:r>
      <w:r>
        <w:rPr>
          <w:rFonts w:ascii="Arial" w:cs="Arial" w:eastAsia="Arial" w:hAnsi="Arial"/>
          <w:sz w:val="24"/>
          <w:szCs w:val="24"/>
        </w:rPr>
        <w:t xml:space="preserve">The City of Lebanon Wastewater Treatment Plant Site Selection Committee &amp; Lebanon City Council</w:t>
      </w:r>
    </w:p>
    <w:p>
      <w:pPr>
        <w:spacing w:after="120"/>
      </w:pPr>
      <w:r>
        <w:rPr>
          <w:rFonts w:ascii="Arial" w:cs="Arial" w:eastAsia="Arial" w:hAnsi="Arial"/>
          <w:b/>
          <w:bCs/>
          <w:sz w:val="24"/>
          <w:szCs w:val="24"/>
        </w:rPr>
        <w:t xml:space="preserve">RE: </w:t>
      </w:r>
      <w:r>
        <w:rPr>
          <w:rFonts w:ascii="Arial" w:cs="Arial" w:eastAsia="Arial" w:hAnsi="Arial"/>
          <w:sz w:val="24"/>
          <w:szCs w:val="24"/>
        </w:rPr>
        <w:t xml:space="preserve">Supplemental Public Comments and Risk Assessment regarding the Proposed 20 MGD Wastewater Treatment Facility</w:t>
      </w:r>
    </w:p>
    <w:p>
      <w:pPr>
        <w:spacing w:after="120"/>
      </w:pPr>
      <w:r>
        <w:rPr>
          <w:rFonts w:ascii="Arial" w:cs="Arial" w:eastAsia="Arial" w:hAnsi="Arial"/>
          <w:b/>
          <w:bCs/>
          <w:sz w:val="24"/>
          <w:szCs w:val="24"/>
        </w:rPr>
        <w:t xml:space="preserve">LOCATIONS UNDER CONSIDERATION: </w:t>
      </w:r>
      <w:r>
        <w:rPr>
          <w:rFonts w:ascii="Arial" w:cs="Arial" w:eastAsia="Arial" w:hAnsi="Arial"/>
          <w:sz w:val="24"/>
          <w:szCs w:val="24"/>
        </w:rPr>
        <w:t xml:space="preserve">Sites 1 through 7 — Mann Road, Berea Church Road, and Coles Ferry Pike corridor, Lebanon, TN</w:t>
      </w:r>
    </w:p>
    <w:p>
      <w:pPr>
        <w:spacing w:after="240"/>
      </w:pPr>
      <w:r>
        <w:rPr>
          <w:rFonts w:ascii="Arial" w:cs="Arial" w:eastAsia="Arial" w:hAnsi="Arial"/>
          <w:b/>
          <w:bCs/>
          <w:sz w:val="24"/>
          <w:szCs w:val="24"/>
        </w:rPr>
        <w:t xml:space="preserve">SUBMITTED BY: </w:t>
      </w:r>
      <w:r>
        <w:rPr>
          <w:rFonts w:ascii="Arial" w:cs="Arial" w:eastAsia="Arial" w:hAnsi="Arial"/>
          <w:sz w:val="24"/>
          <w:szCs w:val="24"/>
        </w:rPr>
        <w:t xml:space="preserve">Todd Roark, Tich Chaikumnerd, and Concerned Residents / Property Owners (See Appendix A of the Public Record Statement dated May 27, 2026, for the List of Endorsers, which is incorporated herein by this reference.)</w:t>
      </w:r>
    </w:p>
    <w:p>
      <w:pPr>
        <w:spacing w:after="120"/>
      </w:pPr>
      <w:r>
        <w:rPr>
          <w:rFonts w:ascii="Arial" w:cs="Arial" w:eastAsia="Arial" w:hAnsi="Arial"/>
          <w:b/>
          <w:bCs/>
          <w:sz w:val="24"/>
          <w:szCs w:val="24"/>
        </w:rPr>
        <w:t xml:space="preserve">CHANGES FROM REV B:</w:t>
      </w:r>
    </w:p>
    <w:p>
      <w:pPr>
        <w:spacing w:after="80"/>
        <w:ind w:left="360"/>
      </w:pPr>
      <w:r>
        <w:rPr>
          <w:rFonts w:ascii="Arial" w:cs="Arial" w:eastAsia="Arial" w:hAnsi="Arial"/>
          <w:sz w:val="22"/>
          <w:szCs w:val="22"/>
        </w:rPr>
        <w:t xml:space="preserve">•  Site count updated from 15 to 19 to reflect Sites 16, 17, 18, and 19 added to the candidate list at committee-member request on June 2, 2026.</w:t>
      </w:r>
    </w:p>
    <w:p>
      <w:pPr>
        <w:spacing w:after="80"/>
        <w:ind w:left="360"/>
      </w:pPr>
      <w:r>
        <w:rPr>
          <w:rFonts w:ascii="Arial" w:cs="Arial" w:eastAsia="Arial" w:hAnsi="Arial"/>
          <w:sz w:val="22"/>
          <w:szCs w:val="22"/>
        </w:rPr>
        <w:t xml:space="preserve">•  Septage analysis (Appendix D) reframed to emphasize regional-hub future-state operations in light of the city engineer's June 2 characterization of current Hartmann hauler traffic.</w:t>
      </w:r>
    </w:p>
    <w:p>
      <w:pPr>
        <w:spacing w:after="80"/>
        <w:ind w:left="360"/>
      </w:pPr>
      <w:r>
        <w:rPr>
          <w:rFonts w:ascii="Arial" w:cs="Arial" w:eastAsia="Arial" w:hAnsi="Arial"/>
          <w:sz w:val="22"/>
          <w:szCs w:val="22"/>
        </w:rPr>
        <w:t xml:space="preserve">•  Treatment technology disclosure (Appendix F) updated to reference the public comment by Teresa Rogers on June 2 regarding membrane bioreactor footprint, and to acknowledge that the technology disclosure question has now been raised in the public record by multiple parties.</w:t>
      </w:r>
    </w:p>
    <w:p>
      <w:pPr>
        <w:spacing w:after="80"/>
        <w:ind w:left="360"/>
      </w:pPr>
      <w:r>
        <w:rPr>
          <w:rFonts w:ascii="Arial" w:cs="Arial" w:eastAsia="Arial" w:hAnsi="Arial"/>
          <w:sz w:val="22"/>
          <w:szCs w:val="22"/>
        </w:rPr>
        <w:t xml:space="preserve">•  Columbia Gulf Transmission gas pipeline asymmetry documented (new Appendix H): the same pipeline class cited as a deprioritizing factor for Rockwood crosses the Mann Road / Berea Church Road / Coles Ferry Pike corridor.</w:t>
      </w:r>
    </w:p>
    <w:p>
      <w:pPr>
        <w:spacing w:after="480"/>
        <w:ind w:left="360"/>
      </w:pPr>
      <w:r>
        <w:rPr>
          <w:rFonts w:ascii="Arial" w:cs="Arial" w:eastAsia="Arial" w:hAnsi="Arial"/>
          <w:sz w:val="22"/>
          <w:szCs w:val="22"/>
        </w:rPr>
        <w:t xml:space="preserve">•  Endorser count updated to reflect approximately 200 signatures collected by June 2, 2026.</w:t>
      </w:r>
    </w:p>
    <w:p>
      <w:pPr>
        <w:spacing w:after="240" w:before="120" w:line="360"/>
      </w:pPr>
      <w:r>
        <w:rPr>
          <w:rFonts w:ascii="Arial" w:cs="Arial" w:eastAsia="Arial" w:hAnsi="Arial"/>
          <w:sz w:val="28"/>
          <w:szCs w:val="28"/>
        </w:rPr>
        <w:t xml:space="preserve">Seven of the nineteen sites under consideration — Sites 1 through 7 — fall within the same rural residential corridor along Coles Ferry Pike, Mann Road, and Berea Church Road. My comments today address that cluster as a whole, with data drawn from peer-reviewed literature, the TDEC public database, and the public record of the May 27 and June 2, 2026 Site Selection Committee meetings, and mapped directly to your scoring matrix criteria.</w:t>
      </w:r>
    </w:p>
    <w:p>
      <w:pPr>
        <w:spacing w:after="240" w:before="120" w:line="360"/>
      </w:pPr>
      <w:r>
        <w:rPr>
          <w:rFonts w:ascii="Arial" w:cs="Arial" w:eastAsia="Arial" w:hAnsi="Arial"/>
          <w:b/>
          <w:bCs/>
          <w:sz w:val="28"/>
          <w:szCs w:val="28"/>
        </w:rPr>
        <w:t xml:space="preserve">First, Community Impact — property values. </w:t>
      </w:r>
      <w:r>
        <w:rPr>
          <w:rFonts w:ascii="Arial" w:cs="Arial" w:eastAsia="Arial" w:hAnsi="Arial"/>
          <w:sz w:val="28"/>
          <w:szCs w:val="28"/>
        </w:rPr>
        <w:t xml:space="preserve">Last week I cited a 5 to 10 percent loss range. I want to give you sharper, peer-reviewed numbers. The strongest meta-analysis on facilities of this character — Ready, 2010, in the Journal of Real Estate Research — finds high-volume waste facilities decrease adjacent residential property values by 13.7 percent, declining at 5.9 percent per mile. For a $2 million home directly bordering Site 5 on Mann Road or Berea Church Road within the impact zone, that is roughly $274,000 in lost equity. These losses are permanent, with documented extended time-on-market, reduced buyer pools, and complications with mortgage financing and homeowner's insurance for years after construction. </w:t>
      </w:r>
      <w:r>
        <w:rPr>
          <w:rFonts w:ascii="Arial" w:cs="Arial" w:eastAsia="Arial" w:hAnsi="Arial"/>
          <w:b/>
          <w:bCs/>
          <w:sz w:val="28"/>
          <w:szCs w:val="28"/>
        </w:rPr>
        <w:t xml:space="preserve">For example, </w:t>
      </w:r>
      <w:r>
        <w:rPr>
          <w:rFonts w:ascii="Arial" w:cs="Arial" w:eastAsia="Arial" w:hAnsi="Arial"/>
          <w:sz w:val="28"/>
          <w:szCs w:val="28"/>
        </w:rPr>
        <w:t xml:space="preserve">even if sites in this corridor return acceptable existing-infrastructure and environmental-permitting scores, their Community Impact score must reflect the fact that they sit in a cluster of $400,000 to $2,000,000 residences. Appendix B documents the citations, the full distance-decay table, and applied dollar figures for the corridor.</w:t>
      </w:r>
    </w:p>
    <w:p>
      <w:pPr>
        <w:spacing w:after="240" w:before="120" w:line="360"/>
      </w:pPr>
      <w:r>
        <w:rPr>
          <w:rFonts w:ascii="Arial" w:cs="Arial" w:eastAsia="Arial" w:hAnsi="Arial"/>
          <w:b/>
          <w:bCs/>
          <w:sz w:val="28"/>
          <w:szCs w:val="28"/>
        </w:rPr>
        <w:t xml:space="preserve">Second, Service Efficiency and Community Impact — septage receiving operations. </w:t>
      </w:r>
      <w:r>
        <w:rPr>
          <w:rFonts w:ascii="Arial" w:cs="Arial" w:eastAsia="Arial" w:hAnsi="Arial"/>
          <w:sz w:val="28"/>
          <w:szCs w:val="28"/>
        </w:rPr>
        <w:t xml:space="preserve">The existing Hartmann Drive plant currently accepts septic hauler dumps under the city's hauler permit program. Whether that operation stays at Hartmann, moves to the new site, or is split between the two has not been disclosed — and the answer materially affects Community Impact scoring for every candidate site. Wilson County's roughly 20,000 to 26,000 septic systems generate an estimated 5,000 to 6,500 truckloads per year. If those trucks shift to the new site, residents along Coles Ferry Pike, Mann Road, and Berea Church Road absorb 30 to 70 sixty-thousand-pound heavy-vehicle trips per working day — traffic those roads do not currently see and were not engineered for. </w:t>
      </w:r>
      <w:r>
        <w:rPr>
          <w:rFonts w:ascii="Arial" w:cs="Arial" w:eastAsia="Arial" w:hAnsi="Arial"/>
          <w:b/>
          <w:bCs/>
          <w:sz w:val="28"/>
          <w:szCs w:val="28"/>
        </w:rPr>
        <w:t xml:space="preserve">I formally ask the committee to enter into the public record where septage receiving will operate after the new plant comes online, </w:t>
      </w:r>
      <w:r>
        <w:rPr>
          <w:rFonts w:ascii="Arial" w:cs="Arial" w:eastAsia="Arial" w:hAnsi="Arial"/>
          <w:sz w:val="28"/>
          <w:szCs w:val="28"/>
        </w:rPr>
        <w:t xml:space="preserve">and to factor that answer into every site's Community Impact score. Appendix D documents the calculations and disclosure requests in full.</w:t>
      </w:r>
    </w:p>
    <w:p>
      <w:pPr>
        <w:spacing w:after="240" w:before="120" w:line="360"/>
      </w:pPr>
      <w:r>
        <w:rPr>
          <w:rFonts w:ascii="Arial" w:cs="Arial" w:eastAsia="Arial" w:hAnsi="Arial"/>
          <w:b/>
          <w:bCs/>
          <w:sz w:val="28"/>
          <w:szCs w:val="28"/>
        </w:rPr>
        <w:t xml:space="preserve">Third, Environmental Impact and Permitting. </w:t>
      </w:r>
      <w:r>
        <w:rPr>
          <w:rFonts w:ascii="Arial" w:cs="Arial" w:eastAsia="Arial" w:hAnsi="Arial"/>
          <w:sz w:val="28"/>
          <w:szCs w:val="28"/>
        </w:rPr>
        <w:t xml:space="preserve">North Lebanon sits on karst limestone with no natural soil filtration. A single containment failure could contaminate every private well within a multi-mile radius. New data, filed today as Appendix C, Exhibit C-1: a query of the TDEC Water Well Locations public database identifies 38 documented private wells within 2 miles of the proposed sites — 6 within a half mile, the closest at 850 feet. Beyond those private wells, the LaGuardo Utility District serves over 12,000 residents from karst-fed groundwater. </w:t>
      </w:r>
      <w:r>
        <w:rPr>
          <w:rFonts w:ascii="Arial" w:cs="Arial" w:eastAsia="Arial" w:hAnsi="Arial"/>
          <w:b/>
          <w:bCs/>
          <w:sz w:val="28"/>
          <w:szCs w:val="28"/>
        </w:rPr>
        <w:t xml:space="preserve">The city has not, to our knowledge, entered any of these figures into the public record.</w:t>
      </w:r>
    </w:p>
    <w:p>
      <w:pPr>
        <w:spacing w:after="240" w:before="120" w:line="360"/>
      </w:pPr>
      <w:r>
        <w:rPr>
          <w:rFonts w:ascii="Arial" w:cs="Arial" w:eastAsia="Arial" w:hAnsi="Arial"/>
          <w:sz w:val="28"/>
          <w:szCs w:val="28"/>
        </w:rPr>
        <w:t xml:space="preserve">Our request: eliminate Sites 1 through 7 from the final ranking matrix. Prioritize the Rockwood and Alley-Cassetty footprints, or one of the additional sites Mayor Hutto referenced last week. Appendices B, C, D, E, F, G, and H are filed with the clerk and incorporate the citations, the well-count map, the truck-volume calculations, the F1/F2 reclassification analysis, the technology-and-footprint disclosure request, the recommended shortlisting safeguards, and the Columbia Gulf gas pipeline asymmetry analysis.</w:t>
      </w:r>
    </w:p>
    <w:p>
      <w:pPr>
        <w:spacing w:after="240" w:before="120" w:line="360"/>
      </w:pPr>
      <w:r>
        <w:rPr>
          <w:rFonts w:ascii="Arial" w:cs="Arial" w:eastAsia="Arial" w:hAnsi="Arial"/>
          <w:sz w:val="28"/>
          <w:szCs w:val="28"/>
        </w:rPr>
        <w:t xml:space="preserve">For these reasons, the petitioners respectfully request that the committee not solve a municipal problem by impacting residential neighborhoods of this scale.</w:t>
      </w:r>
    </w:p>
    <w:p>
      <w:r>
        <w:br w:type="page"/>
      </w:r>
    </w:p>
    <w:p>
      <w:pPr>
        <w:spacing w:after="80"/>
        <w:jc w:val="center"/>
      </w:pPr>
      <w:r>
        <w:rPr>
          <w:rFonts w:ascii="Arial" w:cs="Arial" w:eastAsia="Arial" w:hAnsi="Arial"/>
          <w:b/>
          <w:bCs/>
          <w:sz w:val="28"/>
          <w:szCs w:val="28"/>
        </w:rPr>
        <w:t xml:space="preserve">SUPPLEMENTAL NOTE — APPENDIX B</w:t>
      </w:r>
    </w:p>
    <w:p>
      <w:pPr>
        <w:spacing w:after="360"/>
        <w:jc w:val="center"/>
      </w:pPr>
      <w:r>
        <w:rPr>
          <w:rFonts w:ascii="Arial" w:cs="Arial" w:eastAsia="Arial" w:hAnsi="Arial"/>
          <w:b/>
          <w:bCs/>
          <w:sz w:val="24"/>
          <w:szCs w:val="24"/>
        </w:rPr>
        <w:t xml:space="preserve">Distance-Decay Property Value Impact — Quantified Estimates</w:t>
      </w:r>
    </w:p>
    <w:p>
      <w:pPr>
        <w:spacing w:after="160" w:before="80" w:line="300"/>
      </w:pPr>
      <w:r>
        <w:rPr>
          <w:rFonts w:ascii="Arial" w:cs="Arial" w:eastAsia="Arial" w:hAnsi="Arial"/>
          <w:sz w:val="22"/>
          <w:szCs w:val="22"/>
        </w:rPr>
        <w:t xml:space="preserve">The 5% to 10% structural decrease in property resale values cited in Section III of the principal statement reflects an </w:t>
      </w:r>
      <w:r>
        <w:rPr>
          <w:rFonts w:ascii="Arial" w:cs="Arial" w:eastAsia="Arial" w:hAnsi="Arial"/>
          <w:i/>
          <w:iCs/>
          <w:sz w:val="22"/>
          <w:szCs w:val="22"/>
        </w:rPr>
        <w:t xml:space="preserve">average</w:t>
      </w:r>
      <w:r>
        <w:rPr>
          <w:rFonts w:ascii="Arial" w:cs="Arial" w:eastAsia="Arial" w:hAnsi="Arial"/>
          <w:sz w:val="22"/>
          <w:szCs w:val="22"/>
        </w:rPr>
        <w:t xml:space="preserve"> impact across the 1-to-2-mile radius surrounding a wastewater treatment facility. This figure should not be interpreted as uniformly distributed. Hedonic Price Model research consistently demonstrates a </w:t>
      </w:r>
      <w:r>
        <w:rPr>
          <w:rFonts w:ascii="Arial" w:cs="Arial" w:eastAsia="Arial" w:hAnsi="Arial"/>
          <w:b/>
          <w:bCs/>
          <w:sz w:val="22"/>
          <w:szCs w:val="22"/>
        </w:rPr>
        <w:t xml:space="preserve">distance-decay relationship</w:t>
      </w:r>
      <w:r>
        <w:rPr>
          <w:rFonts w:ascii="Arial" w:cs="Arial" w:eastAsia="Arial" w:hAnsi="Arial"/>
          <w:sz w:val="22"/>
          <w:szCs w:val="22"/>
        </w:rPr>
        <w:t xml:space="preserve">, in which the magnitude of property devaluation is inversely proportional to the linear distance between the residence and the facility fence line.</w:t>
      </w:r>
    </w:p>
    <w:p>
      <w:pPr>
        <w:spacing w:after="120" w:before="240"/>
      </w:pPr>
      <w:r>
        <w:rPr>
          <w:rFonts w:ascii="Arial" w:cs="Arial" w:eastAsia="Arial" w:hAnsi="Arial"/>
          <w:b/>
          <w:bCs/>
          <w:sz w:val="24"/>
          <w:szCs w:val="24"/>
        </w:rPr>
        <w:t xml:space="preserve">Primary Source — Ready (2010)</w:t>
      </w:r>
    </w:p>
    <w:p>
      <w:pPr>
        <w:spacing w:after="160" w:before="80" w:line="300"/>
      </w:pPr>
      <w:r>
        <w:rPr>
          <w:rFonts w:ascii="Arial" w:cs="Arial" w:eastAsia="Arial" w:hAnsi="Arial"/>
          <w:sz w:val="22"/>
          <w:szCs w:val="22"/>
        </w:rPr>
        <w:t xml:space="preserve">The most directly applicable peer-reviewed meta-analysis is </w:t>
      </w:r>
      <w:r>
        <w:rPr>
          <w:rFonts w:ascii="Arial" w:cs="Arial" w:eastAsia="Arial" w:hAnsi="Arial"/>
          <w:b/>
          <w:bCs/>
          <w:sz w:val="22"/>
          <w:szCs w:val="22"/>
        </w:rPr>
        <w:t xml:space="preserve">Ready, R. (2010), "Do Landfills Always Depress Nearby Property Values?" Journal of Real Estate Research, Vol. 32, No. 3, pp. 321–340.</w:t>
      </w:r>
      <w:r>
        <w:rPr>
          <w:rFonts w:ascii="Arial" w:cs="Arial" w:eastAsia="Arial" w:hAnsi="Arial"/>
          <w:sz w:val="22"/>
          <w:szCs w:val="22"/>
        </w:rPr>
        <w:t xml:space="preserve"> Ready assembled all available hedonic-pricing estimates for landfills receiving high volumes of waste (500 tons per day or more) and found that adjacent residential property values decreased by an average of </w:t>
      </w:r>
      <w:r>
        <w:rPr>
          <w:rFonts w:ascii="Arial" w:cs="Arial" w:eastAsia="Arial" w:hAnsi="Arial"/>
          <w:b/>
          <w:bCs/>
          <w:sz w:val="22"/>
          <w:szCs w:val="22"/>
        </w:rPr>
        <w:t xml:space="preserve">13.7%, with a distance-decay gradient of 5.9% per mile.</w:t>
      </w:r>
      <w:r>
        <w:rPr>
          <w:rFonts w:ascii="Arial" w:cs="Arial" w:eastAsia="Arial" w:hAnsi="Arial"/>
          <w:sz w:val="22"/>
          <w:szCs w:val="22"/>
        </w:rPr>
        <w:t xml:space="preserve"> A wastewater treatment plant operating a regional septage receiving station is the closest available analog to a high-volume waste facility in terms of daily heavy-truck traffic, odor profile, and public-health stigma.</w:t>
      </w:r>
    </w:p>
    <w:p>
      <w:pPr>
        <w:spacing w:after="120" w:before="240"/>
      </w:pPr>
      <w:r>
        <w:rPr>
          <w:rFonts w:ascii="Arial" w:cs="Arial" w:eastAsia="Arial" w:hAnsi="Arial"/>
          <w:b/>
          <w:bCs/>
          <w:sz w:val="24"/>
          <w:szCs w:val="24"/>
        </w:rPr>
        <w:t xml:space="preserve">Corroborating Sources</w:t>
      </w:r>
    </w:p>
    <w:p>
      <w:pPr>
        <w:pStyle w:val="ListParagraph"/>
        <w:numPr>
          <w:ilvl w:val="0"/>
          <w:numId w:val="2"/>
        </w:numPr>
        <w:spacing w:after="120" w:before="60" w:line="300"/>
      </w:pPr>
      <w:r>
        <w:rPr>
          <w:rFonts w:ascii="Arial" w:cs="Arial" w:eastAsia="Arial" w:hAnsi="Arial"/>
          <w:b/>
          <w:bCs/>
          <w:sz w:val="22"/>
          <w:szCs w:val="22"/>
        </w:rPr>
        <w:t xml:space="preserve">Davis, L. (2011), Review of Economics and Statistics, Vol. 93(4), pp. 1391–1402. </w:t>
      </w:r>
      <w:r>
        <w:rPr>
          <w:rFonts w:ascii="Arial" w:cs="Arial" w:eastAsia="Arial" w:hAnsi="Arial"/>
          <w:sz w:val="22"/>
          <w:szCs w:val="22"/>
        </w:rPr>
        <w:t xml:space="preserve">Restricted U.S. Census microdata study of neighborhoods within 2 miles of newly opened power plants found 3–7% decreases in housing values and rents, with larger decreases within 1 mile and for large-capacity plants.</w:t>
      </w:r>
    </w:p>
    <w:p>
      <w:pPr>
        <w:pStyle w:val="ListParagraph"/>
        <w:numPr>
          <w:ilvl w:val="0"/>
          <w:numId w:val="2"/>
        </w:numPr>
        <w:spacing w:after="120" w:before="60" w:line="300"/>
      </w:pPr>
      <w:r>
        <w:rPr>
          <w:rFonts w:ascii="Arial" w:cs="Arial" w:eastAsia="Arial" w:hAnsi="Arial"/>
          <w:b/>
          <w:bCs/>
          <w:sz w:val="22"/>
          <w:szCs w:val="22"/>
        </w:rPr>
        <w:t xml:space="preserve">Zhao, Simons &amp; Fen (2016), International Real Estate Review, Vol. 19(4), pp. 515–546. </w:t>
      </w:r>
      <w:r>
        <w:rPr>
          <w:rFonts w:ascii="Arial" w:cs="Arial" w:eastAsia="Arial" w:hAnsi="Arial"/>
          <w:sz w:val="22"/>
          <w:szCs w:val="22"/>
        </w:rPr>
        <w:t xml:space="preserve">Hedonic pricing modeling of 2,200 residential transactions near three incineration plants in Hangzhou, China: properties showed up to 25% decrease in listing price for the nearest, with effects extending to approximately 3 kilometers, and the most consistent losses (≈10%) between 1–2 kilometers.</w:t>
      </w:r>
    </w:p>
    <w:p>
      <w:pPr>
        <w:pStyle w:val="ListParagraph"/>
        <w:numPr>
          <w:ilvl w:val="0"/>
          <w:numId w:val="2"/>
        </w:numPr>
        <w:spacing w:after="120" w:before="60" w:line="300"/>
      </w:pPr>
      <w:r>
        <w:rPr>
          <w:rFonts w:ascii="Arial" w:cs="Arial" w:eastAsia="Arial" w:hAnsi="Arial"/>
          <w:b/>
          <w:bCs/>
          <w:sz w:val="22"/>
          <w:szCs w:val="22"/>
        </w:rPr>
        <w:t xml:space="preserve">Mei, Gao &amp; Zhang (2018), Beijing WWTP study (Applied Economics, Vol. 51(55)). </w:t>
      </w:r>
      <w:r>
        <w:rPr>
          <w:rFonts w:ascii="Arial" w:cs="Arial" w:eastAsia="Arial" w:hAnsi="Arial"/>
          <w:sz w:val="22"/>
          <w:szCs w:val="22"/>
        </w:rPr>
        <w:t xml:space="preserve">Difference-in-difference analysis of Beijing wastewater plants found total estate value deterioration of approximately 32.53 billion RMB across surrounding properties — roughly 7.4 times the construction cost of the facilities themselves (4.38 billion RMB).</w:t>
      </w:r>
    </w:p>
    <w:p>
      <w:pPr>
        <w:spacing w:after="120" w:before="240"/>
      </w:pPr>
      <w:r>
        <w:rPr>
          <w:rFonts w:ascii="Arial" w:cs="Arial" w:eastAsia="Arial" w:hAnsi="Arial"/>
          <w:b/>
          <w:bCs/>
          <w:sz w:val="24"/>
          <w:szCs w:val="24"/>
        </w:rPr>
        <w:t xml:space="preserve">Applied Estimates — Mann Road and Berea Church Road Properties</w:t>
      </w:r>
    </w:p>
    <w:p>
      <w:pPr>
        <w:spacing w:after="160" w:before="80" w:line="300"/>
      </w:pPr>
      <w:r>
        <w:rPr>
          <w:rFonts w:ascii="Arial" w:cs="Arial" w:eastAsia="Arial" w:hAnsi="Arial"/>
          <w:sz w:val="22"/>
          <w:szCs w:val="22"/>
        </w:rPr>
        <w:t xml:space="preserve">Applying Ready's 13.7% adjacent / 5.9%-per-mile gradient to representative properties in the affected neighborhood:</w:t>
      </w:r>
    </w:p>
    <w:p>
      <w:pPr>
        <w:spacing w:after="160" w:before="80" w:line="300"/>
      </w:pPr>
      <w:r>
        <w:rPr>
          <w:sz w:val="4"/>
          <w:szCs w:val="4"/>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700"/>
          </w:tcPr>
          <w:p>
            <w:pPr>
              <w:jc w:val="center"/>
            </w:pPr>
            <w:r>
              <w:rPr>
                <w:rFonts w:ascii="Arial" w:cs="Arial" w:eastAsia="Arial" w:hAnsi="Arial"/>
                <w:b/>
                <w:bCs/>
                <w:sz w:val="20"/>
                <w:szCs w:val="20"/>
              </w:rPr>
              <w:t xml:space="preserve">Distance from fence line</w:t>
            </w:r>
          </w:p>
        </w:tc>
        <w:tc>
          <w:tcPr>
            <w:tcW w:type="dxa" w:w="1500"/>
          </w:tcPr>
          <w:p>
            <w:pPr>
              <w:jc w:val="center"/>
            </w:pPr>
            <w:r>
              <w:rPr>
                <w:rFonts w:ascii="Arial" w:cs="Arial" w:eastAsia="Arial" w:hAnsi="Arial"/>
                <w:b/>
                <w:bCs/>
                <w:sz w:val="20"/>
                <w:szCs w:val="20"/>
              </w:rPr>
              <w:t xml:space="preserve">% Loss</w:t>
            </w:r>
          </w:p>
        </w:tc>
        <w:tc>
          <w:tcPr>
            <w:tcW w:type="dxa" w:w="2400"/>
          </w:tcPr>
          <w:p>
            <w:pPr>
              <w:jc w:val="center"/>
            </w:pPr>
            <w:r>
              <w:rPr>
                <w:rFonts w:ascii="Arial" w:cs="Arial" w:eastAsia="Arial" w:hAnsi="Arial"/>
                <w:b/>
                <w:bCs/>
                <w:sz w:val="20"/>
                <w:szCs w:val="20"/>
              </w:rPr>
              <w:t xml:space="preserve">Loss on $440K home</w:t>
            </w:r>
          </w:p>
        </w:tc>
        <w:tc>
          <w:tcPr>
            <w:tcW w:type="dxa" w:w="2400"/>
          </w:tcPr>
          <w:p>
            <w:pPr>
              <w:jc w:val="center"/>
            </w:pPr>
            <w:r>
              <w:rPr>
                <w:rFonts w:ascii="Arial" w:cs="Arial" w:eastAsia="Arial" w:hAnsi="Arial"/>
                <w:b/>
                <w:bCs/>
                <w:sz w:val="20"/>
                <w:szCs w:val="20"/>
              </w:rPr>
              <w:t xml:space="preserve">Loss on $2.0M home</w:t>
            </w:r>
          </w:p>
        </w:tc>
      </w:tr>
      <w:tr>
        <w:tc>
          <w:tcPr>
            <w:tcW w:type="dxa" w:w="2700"/>
          </w:tcPr>
          <w:p>
            <w:pPr>
              <w:jc w:val="left"/>
            </w:pPr>
            <w:r>
              <w:rPr>
                <w:rFonts w:ascii="Arial" w:cs="Arial" w:eastAsia="Arial" w:hAnsi="Arial"/>
                <w:b/>
                <w:bCs/>
                <w:sz w:val="20"/>
                <w:szCs w:val="20"/>
              </w:rPr>
              <w:t xml:space="preserve">Adjacent (≤ 0.1 mi)</w:t>
            </w:r>
          </w:p>
        </w:tc>
        <w:tc>
          <w:tcPr>
            <w:tcW w:type="dxa" w:w="1500"/>
          </w:tcPr>
          <w:p>
            <w:pPr>
              <w:jc w:val="center"/>
            </w:pPr>
            <w:r>
              <w:rPr>
                <w:rFonts w:ascii="Arial" w:cs="Arial" w:eastAsia="Arial" w:hAnsi="Arial"/>
                <w:b/>
                <w:bCs/>
                <w:sz w:val="20"/>
                <w:szCs w:val="20"/>
              </w:rPr>
              <w:t xml:space="preserve">13.7%</w:t>
            </w:r>
          </w:p>
        </w:tc>
        <w:tc>
          <w:tcPr>
            <w:tcW w:type="dxa" w:w="2400"/>
          </w:tcPr>
          <w:p>
            <w:pPr>
              <w:jc w:val="center"/>
            </w:pPr>
            <w:r>
              <w:rPr>
                <w:rFonts w:ascii="Arial" w:cs="Arial" w:eastAsia="Arial" w:hAnsi="Arial"/>
                <w:b/>
                <w:bCs/>
                <w:sz w:val="20"/>
                <w:szCs w:val="20"/>
              </w:rPr>
              <w:t xml:space="preserve">$60,300</w:t>
            </w:r>
          </w:p>
        </w:tc>
        <w:tc>
          <w:tcPr>
            <w:tcW w:type="dxa" w:w="2400"/>
          </w:tcPr>
          <w:p>
            <w:pPr>
              <w:jc w:val="center"/>
            </w:pPr>
            <w:r>
              <w:rPr>
                <w:rFonts w:ascii="Arial" w:cs="Arial" w:eastAsia="Arial" w:hAnsi="Arial"/>
                <w:b/>
                <w:bCs/>
                <w:sz w:val="20"/>
                <w:szCs w:val="20"/>
              </w:rPr>
              <w:t xml:space="preserve">$274,000</w:t>
            </w:r>
          </w:p>
        </w:tc>
      </w:tr>
      <w:tr>
        <w:tc>
          <w:tcPr>
            <w:tcW w:type="dxa" w:w="2700"/>
          </w:tcPr>
          <w:p>
            <w:pPr>
              <w:jc w:val="left"/>
            </w:pPr>
            <w:r>
              <w:rPr>
                <w:rFonts w:ascii="Arial" w:cs="Arial" w:eastAsia="Arial" w:hAnsi="Arial"/>
                <w:sz w:val="20"/>
                <w:szCs w:val="20"/>
              </w:rPr>
              <w:t xml:space="preserve">0.25 mi</w:t>
            </w:r>
          </w:p>
        </w:tc>
        <w:tc>
          <w:tcPr>
            <w:tcW w:type="dxa" w:w="1500"/>
          </w:tcPr>
          <w:p>
            <w:pPr>
              <w:jc w:val="center"/>
            </w:pPr>
            <w:r>
              <w:rPr>
                <w:rFonts w:ascii="Arial" w:cs="Arial" w:eastAsia="Arial" w:hAnsi="Arial"/>
                <w:sz w:val="20"/>
                <w:szCs w:val="20"/>
              </w:rPr>
              <w:t xml:space="preserve">12.2%</w:t>
            </w:r>
          </w:p>
        </w:tc>
        <w:tc>
          <w:tcPr>
            <w:tcW w:type="dxa" w:w="2400"/>
          </w:tcPr>
          <w:p>
            <w:pPr>
              <w:jc w:val="center"/>
            </w:pPr>
            <w:r>
              <w:rPr>
                <w:rFonts w:ascii="Arial" w:cs="Arial" w:eastAsia="Arial" w:hAnsi="Arial"/>
                <w:sz w:val="20"/>
                <w:szCs w:val="20"/>
              </w:rPr>
              <w:t xml:space="preserve">$53,700</w:t>
            </w:r>
          </w:p>
        </w:tc>
        <w:tc>
          <w:tcPr>
            <w:tcW w:type="dxa" w:w="2400"/>
          </w:tcPr>
          <w:p>
            <w:pPr>
              <w:jc w:val="center"/>
            </w:pPr>
            <w:r>
              <w:rPr>
                <w:rFonts w:ascii="Arial" w:cs="Arial" w:eastAsia="Arial" w:hAnsi="Arial"/>
                <w:sz w:val="20"/>
                <w:szCs w:val="20"/>
              </w:rPr>
              <w:t xml:space="preserve">$244,000</w:t>
            </w:r>
          </w:p>
        </w:tc>
      </w:tr>
      <w:tr>
        <w:tc>
          <w:tcPr>
            <w:tcW w:type="dxa" w:w="2700"/>
          </w:tcPr>
          <w:p>
            <w:pPr>
              <w:jc w:val="left"/>
            </w:pPr>
            <w:r>
              <w:rPr>
                <w:rFonts w:ascii="Arial" w:cs="Arial" w:eastAsia="Arial" w:hAnsi="Arial"/>
                <w:sz w:val="20"/>
                <w:szCs w:val="20"/>
              </w:rPr>
              <w:t xml:space="preserve">0.5 mi</w:t>
            </w:r>
          </w:p>
        </w:tc>
        <w:tc>
          <w:tcPr>
            <w:tcW w:type="dxa" w:w="1500"/>
          </w:tcPr>
          <w:p>
            <w:pPr>
              <w:jc w:val="center"/>
            </w:pPr>
            <w:r>
              <w:rPr>
                <w:rFonts w:ascii="Arial" w:cs="Arial" w:eastAsia="Arial" w:hAnsi="Arial"/>
                <w:sz w:val="20"/>
                <w:szCs w:val="20"/>
              </w:rPr>
              <w:t xml:space="preserve">10.8%</w:t>
            </w:r>
          </w:p>
        </w:tc>
        <w:tc>
          <w:tcPr>
            <w:tcW w:type="dxa" w:w="2400"/>
          </w:tcPr>
          <w:p>
            <w:pPr>
              <w:jc w:val="center"/>
            </w:pPr>
            <w:r>
              <w:rPr>
                <w:rFonts w:ascii="Arial" w:cs="Arial" w:eastAsia="Arial" w:hAnsi="Arial"/>
                <w:sz w:val="20"/>
                <w:szCs w:val="20"/>
              </w:rPr>
              <w:t xml:space="preserve">$47,500</w:t>
            </w:r>
          </w:p>
        </w:tc>
        <w:tc>
          <w:tcPr>
            <w:tcW w:type="dxa" w:w="2400"/>
          </w:tcPr>
          <w:p>
            <w:pPr>
              <w:jc w:val="center"/>
            </w:pPr>
            <w:r>
              <w:rPr>
                <w:rFonts w:ascii="Arial" w:cs="Arial" w:eastAsia="Arial" w:hAnsi="Arial"/>
                <w:sz w:val="20"/>
                <w:szCs w:val="20"/>
              </w:rPr>
              <w:t xml:space="preserve">$216,000</w:t>
            </w:r>
          </w:p>
        </w:tc>
      </w:tr>
      <w:tr>
        <w:tc>
          <w:tcPr>
            <w:tcW w:type="dxa" w:w="2700"/>
          </w:tcPr>
          <w:p>
            <w:pPr>
              <w:jc w:val="left"/>
            </w:pPr>
            <w:r>
              <w:rPr>
                <w:rFonts w:ascii="Arial" w:cs="Arial" w:eastAsia="Arial" w:hAnsi="Arial"/>
                <w:sz w:val="20"/>
                <w:szCs w:val="20"/>
              </w:rPr>
              <w:t xml:space="preserve">1.0 mi</w:t>
            </w:r>
          </w:p>
        </w:tc>
        <w:tc>
          <w:tcPr>
            <w:tcW w:type="dxa" w:w="1500"/>
          </w:tcPr>
          <w:p>
            <w:pPr>
              <w:jc w:val="center"/>
            </w:pPr>
            <w:r>
              <w:rPr>
                <w:rFonts w:ascii="Arial" w:cs="Arial" w:eastAsia="Arial" w:hAnsi="Arial"/>
                <w:sz w:val="20"/>
                <w:szCs w:val="20"/>
              </w:rPr>
              <w:t xml:space="preserve">7.8%</w:t>
            </w:r>
          </w:p>
        </w:tc>
        <w:tc>
          <w:tcPr>
            <w:tcW w:type="dxa" w:w="2400"/>
          </w:tcPr>
          <w:p>
            <w:pPr>
              <w:jc w:val="center"/>
            </w:pPr>
            <w:r>
              <w:rPr>
                <w:rFonts w:ascii="Arial" w:cs="Arial" w:eastAsia="Arial" w:hAnsi="Arial"/>
                <w:sz w:val="20"/>
                <w:szCs w:val="20"/>
              </w:rPr>
              <w:t xml:space="preserve">$34,300</w:t>
            </w:r>
          </w:p>
        </w:tc>
        <w:tc>
          <w:tcPr>
            <w:tcW w:type="dxa" w:w="2400"/>
          </w:tcPr>
          <w:p>
            <w:pPr>
              <w:jc w:val="center"/>
            </w:pPr>
            <w:r>
              <w:rPr>
                <w:rFonts w:ascii="Arial" w:cs="Arial" w:eastAsia="Arial" w:hAnsi="Arial"/>
                <w:sz w:val="20"/>
                <w:szCs w:val="20"/>
              </w:rPr>
              <w:t xml:space="preserve">$156,000</w:t>
            </w:r>
          </w:p>
        </w:tc>
      </w:tr>
      <w:tr>
        <w:tc>
          <w:tcPr>
            <w:tcW w:type="dxa" w:w="2700"/>
          </w:tcPr>
          <w:p>
            <w:pPr>
              <w:jc w:val="left"/>
            </w:pPr>
            <w:r>
              <w:rPr>
                <w:rFonts w:ascii="Arial" w:cs="Arial" w:eastAsia="Arial" w:hAnsi="Arial"/>
                <w:sz w:val="20"/>
                <w:szCs w:val="20"/>
              </w:rPr>
              <w:t xml:space="preserve">1.5 mi</w:t>
            </w:r>
          </w:p>
        </w:tc>
        <w:tc>
          <w:tcPr>
            <w:tcW w:type="dxa" w:w="1500"/>
          </w:tcPr>
          <w:p>
            <w:pPr>
              <w:jc w:val="center"/>
            </w:pPr>
            <w:r>
              <w:rPr>
                <w:rFonts w:ascii="Arial" w:cs="Arial" w:eastAsia="Arial" w:hAnsi="Arial"/>
                <w:sz w:val="20"/>
                <w:szCs w:val="20"/>
              </w:rPr>
              <w:t xml:space="preserve">4.9%</w:t>
            </w:r>
          </w:p>
        </w:tc>
        <w:tc>
          <w:tcPr>
            <w:tcW w:type="dxa" w:w="2400"/>
          </w:tcPr>
          <w:p>
            <w:pPr>
              <w:jc w:val="center"/>
            </w:pPr>
            <w:r>
              <w:rPr>
                <w:rFonts w:ascii="Arial" w:cs="Arial" w:eastAsia="Arial" w:hAnsi="Arial"/>
                <w:sz w:val="20"/>
                <w:szCs w:val="20"/>
              </w:rPr>
              <w:t xml:space="preserve">$21,500</w:t>
            </w:r>
          </w:p>
        </w:tc>
        <w:tc>
          <w:tcPr>
            <w:tcW w:type="dxa" w:w="2400"/>
          </w:tcPr>
          <w:p>
            <w:pPr>
              <w:jc w:val="center"/>
            </w:pPr>
            <w:r>
              <w:rPr>
                <w:rFonts w:ascii="Arial" w:cs="Arial" w:eastAsia="Arial" w:hAnsi="Arial"/>
                <w:sz w:val="20"/>
                <w:szCs w:val="20"/>
              </w:rPr>
              <w:t xml:space="preserve">$98,000</w:t>
            </w:r>
          </w:p>
        </w:tc>
      </w:tr>
      <w:tr>
        <w:tc>
          <w:tcPr>
            <w:tcW w:type="dxa" w:w="2700"/>
          </w:tcPr>
          <w:p>
            <w:pPr>
              <w:jc w:val="left"/>
            </w:pPr>
            <w:r>
              <w:rPr>
                <w:rFonts w:ascii="Arial" w:cs="Arial" w:eastAsia="Arial" w:hAnsi="Arial"/>
                <w:sz w:val="20"/>
                <w:szCs w:val="20"/>
              </w:rPr>
              <w:t xml:space="preserve">2.0 mi</w:t>
            </w:r>
          </w:p>
        </w:tc>
        <w:tc>
          <w:tcPr>
            <w:tcW w:type="dxa" w:w="1500"/>
          </w:tcPr>
          <w:p>
            <w:pPr>
              <w:jc w:val="center"/>
            </w:pPr>
            <w:r>
              <w:rPr>
                <w:rFonts w:ascii="Arial" w:cs="Arial" w:eastAsia="Arial" w:hAnsi="Arial"/>
                <w:sz w:val="20"/>
                <w:szCs w:val="20"/>
              </w:rPr>
              <w:t xml:space="preserve">1.9%</w:t>
            </w:r>
          </w:p>
        </w:tc>
        <w:tc>
          <w:tcPr>
            <w:tcW w:type="dxa" w:w="2400"/>
          </w:tcPr>
          <w:p>
            <w:pPr>
              <w:jc w:val="center"/>
            </w:pPr>
            <w:r>
              <w:rPr>
                <w:rFonts w:ascii="Arial" w:cs="Arial" w:eastAsia="Arial" w:hAnsi="Arial"/>
                <w:sz w:val="20"/>
                <w:szCs w:val="20"/>
              </w:rPr>
              <w:t xml:space="preserve">$8,400</w:t>
            </w:r>
          </w:p>
        </w:tc>
        <w:tc>
          <w:tcPr>
            <w:tcW w:type="dxa" w:w="2400"/>
          </w:tcPr>
          <w:p>
            <w:pPr>
              <w:jc w:val="center"/>
            </w:pPr>
            <w:r>
              <w:rPr>
                <w:rFonts w:ascii="Arial" w:cs="Arial" w:eastAsia="Arial" w:hAnsi="Arial"/>
                <w:sz w:val="20"/>
                <w:szCs w:val="20"/>
              </w:rPr>
              <w:t xml:space="preserve">$38,000</w:t>
            </w:r>
          </w:p>
        </w:tc>
      </w:tr>
    </w:tbl>
    <w:p>
      <w:pPr>
        <w:spacing w:after="160" w:before="80" w:line="300"/>
      </w:pPr>
      <w:r>
        <w:rPr>
          <w:sz w:val="4"/>
          <w:szCs w:val="4"/>
        </w:rPr>
        <w:t xml:space="preserve"/>
      </w:r>
    </w:p>
    <w:p>
      <w:pPr>
        <w:spacing w:after="160" w:before="80" w:line="300"/>
      </w:pPr>
      <w:r>
        <w:rPr>
          <w:rFonts w:ascii="Arial" w:cs="Arial" w:eastAsia="Arial" w:hAnsi="Arial"/>
          <w:sz w:val="22"/>
          <w:szCs w:val="22"/>
        </w:rPr>
        <w:t xml:space="preserve">The losses identified above are conservative, for three reasons:</w:t>
      </w:r>
    </w:p>
    <w:p>
      <w:pPr>
        <w:pStyle w:val="ListParagraph"/>
        <w:numPr>
          <w:ilvl w:val="0"/>
          <w:numId w:val="2"/>
        </w:numPr>
        <w:spacing w:after="120" w:before="60" w:line="300"/>
      </w:pPr>
      <w:r>
        <w:rPr>
          <w:rFonts w:ascii="Arial" w:cs="Arial" w:eastAsia="Arial" w:hAnsi="Arial"/>
          <w:sz w:val="22"/>
          <w:szCs w:val="22"/>
        </w:rPr>
        <w:t xml:space="preserve">Ready's analysis is based on landfills, not septage-receiving wastewater plants; the literature suggests proximity to a continuously-operating sewage facility with truck traffic produces effects toward the higher end of comparable studies (cf. Zhao et al. 2016 up to 25% adjacent).</w:t>
      </w:r>
    </w:p>
    <w:p>
      <w:pPr>
        <w:pStyle w:val="ListParagraph"/>
        <w:numPr>
          <w:ilvl w:val="0"/>
          <w:numId w:val="2"/>
        </w:numPr>
        <w:spacing w:after="120" w:before="60" w:line="300"/>
      </w:pPr>
      <w:r>
        <w:rPr>
          <w:rFonts w:ascii="Arial" w:cs="Arial" w:eastAsia="Arial" w:hAnsi="Arial"/>
          <w:sz w:val="22"/>
          <w:szCs w:val="22"/>
        </w:rPr>
        <w:t xml:space="preserve">Lakefront properties on Berea Church Road carry a disproportionate amenity premium tied to the natural setting; the loss of that setting compounds the percentage decrement.</w:t>
      </w:r>
    </w:p>
    <w:p>
      <w:pPr>
        <w:pStyle w:val="ListParagraph"/>
        <w:numPr>
          <w:ilvl w:val="0"/>
          <w:numId w:val="2"/>
        </w:numPr>
        <w:spacing w:after="120" w:before="60" w:line="300"/>
      </w:pPr>
      <w:r>
        <w:rPr>
          <w:rFonts w:ascii="Arial" w:cs="Arial" w:eastAsia="Arial" w:hAnsi="Arial"/>
          <w:sz w:val="22"/>
          <w:szCs w:val="22"/>
        </w:rPr>
        <w:t xml:space="preserve">Time-on-market and financing effects are real but not included in the percentage above. Properties near wastewater facilities typically experience extended marketing periods, reduced buyer pools, and complications with mortgage approval and homeowner's insurance availability for years after construction.</w:t>
      </w:r>
    </w:p>
    <w:p>
      <w:pPr>
        <w:spacing w:after="120" w:before="240"/>
      </w:pPr>
      <w:r>
        <w:rPr>
          <w:rFonts w:ascii="Arial" w:cs="Arial" w:eastAsia="Arial" w:hAnsi="Arial"/>
          <w:b/>
          <w:bCs/>
          <w:sz w:val="24"/>
          <w:szCs w:val="24"/>
        </w:rPr>
        <w:t xml:space="preserve">Recommended Matrix Application</w:t>
      </w:r>
    </w:p>
    <w:p>
      <w:pPr>
        <w:spacing w:after="160" w:before="80" w:line="300"/>
      </w:pPr>
      <w:r>
        <w:rPr>
          <w:rFonts w:ascii="Arial" w:cs="Arial" w:eastAsia="Arial" w:hAnsi="Arial"/>
          <w:sz w:val="22"/>
          <w:szCs w:val="22"/>
        </w:rPr>
        <w:t xml:space="preserve">Under the committee's scoring matrix, </w:t>
      </w:r>
      <w:r>
        <w:rPr>
          <w:rFonts w:ascii="Arial" w:cs="Arial" w:eastAsia="Arial" w:hAnsi="Arial"/>
          <w:b/>
          <w:bCs/>
          <w:sz w:val="22"/>
          <w:szCs w:val="22"/>
        </w:rPr>
        <w:t xml:space="preserve">Community Impact</w:t>
      </w:r>
      <w:r>
        <w:rPr>
          <w:rFonts w:ascii="Arial" w:cs="Arial" w:eastAsia="Arial" w:hAnsi="Arial"/>
          <w:sz w:val="22"/>
          <w:szCs w:val="22"/>
        </w:rPr>
        <w:t xml:space="preserve"> should reflect the per-property dollar impact above for each site, not a uniform site-wide percentage. Sites whose 0.5-mile rings contain residences in the $400,000+ range carry materially greater Community Impact than sites in agricultural or low-residential-density areas. </w:t>
      </w:r>
      <w:r>
        <w:rPr>
          <w:rFonts w:ascii="Arial" w:cs="Arial" w:eastAsia="Arial" w:hAnsi="Arial"/>
          <w:b/>
          <w:bCs/>
          <w:sz w:val="22"/>
          <w:szCs w:val="22"/>
        </w:rPr>
        <w:t xml:space="preserve">The committee cannot meaningfully score Community Impact without entering this distance-weighted loss calculation into the public record for each candidate site.</w:t>
      </w:r>
    </w:p>
    <w:p>
      <w:pPr>
        <w:spacing w:after="160" w:before="80" w:line="300"/>
      </w:pPr>
      <w:r>
        <w:rPr>
          <w:rFonts w:ascii="Arial" w:cs="Arial" w:eastAsia="Arial" w:hAnsi="Arial"/>
          <w:b/>
          <w:bCs/>
          <w:sz w:val="22"/>
          <w:szCs w:val="22"/>
        </w:rPr>
        <w:t xml:space="preserve">Applied example — Site 5: </w:t>
      </w:r>
      <w:r>
        <w:rPr>
          <w:rFonts w:ascii="Arial" w:cs="Arial" w:eastAsia="Arial" w:hAnsi="Arial"/>
          <w:sz w:val="22"/>
          <w:szCs w:val="22"/>
        </w:rPr>
        <w:t xml:space="preserve">At 187 acres with zero percent floodplain and both force mains within 250 feet, Site 5 scores high on the matrix's Existing Infrastructure, Size, and Environmental Permitting criteria — and is therefore one of the most likely sites to advance to the short list. However, Site 5 sits within the same residential corridor as the Oakland Estates lakefront properties and the broader Mann Road / Berea Church Road / Coles Ferry Pike rural residential cluster. Applying Ready (2010) to representative properties within Site 5's distance-decay zone, total equity loss across the affected residences is reasonably estimated in the tens of millions of dollars. </w:t>
      </w:r>
      <w:r>
        <w:rPr>
          <w:rFonts w:ascii="Arial" w:cs="Arial" w:eastAsia="Arial" w:hAnsi="Arial"/>
          <w:b/>
          <w:bCs/>
          <w:sz w:val="22"/>
          <w:szCs w:val="22"/>
        </w:rPr>
        <w:t xml:space="preserve">Site 5 is therefore the most consequential site on the matrix from a Community Impact standpoint, and should be scored accordingly.</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w:t>
      </w:r>
    </w:p>
    <w:p>
      <w:r>
        <w:br w:type="page"/>
      </w:r>
    </w:p>
    <w:p>
      <w:pPr>
        <w:spacing w:after="80"/>
        <w:jc w:val="center"/>
      </w:pPr>
      <w:r>
        <w:rPr>
          <w:rFonts w:ascii="Arial" w:cs="Arial" w:eastAsia="Arial" w:hAnsi="Arial"/>
          <w:b/>
          <w:bCs/>
          <w:sz w:val="28"/>
          <w:szCs w:val="28"/>
        </w:rPr>
        <w:t xml:space="preserve">SUPPLEMENTAL NOTE — APPENDIX C</w:t>
      </w:r>
    </w:p>
    <w:p>
      <w:pPr>
        <w:spacing w:after="360"/>
        <w:jc w:val="center"/>
      </w:pPr>
      <w:r>
        <w:rPr>
          <w:rFonts w:ascii="Arial" w:cs="Arial" w:eastAsia="Arial" w:hAnsi="Arial"/>
          <w:b/>
          <w:bCs/>
          <w:sz w:val="24"/>
          <w:szCs w:val="24"/>
        </w:rPr>
        <w:t xml:space="preserve">Expanded Hydrological Exposure: Public Utility and Documented Private Wells</w:t>
      </w:r>
    </w:p>
    <w:p>
      <w:pPr>
        <w:spacing w:after="160" w:before="80" w:line="300"/>
      </w:pPr>
      <w:r>
        <w:rPr>
          <w:rFonts w:ascii="Arial" w:cs="Arial" w:eastAsia="Arial" w:hAnsi="Arial"/>
          <w:sz w:val="22"/>
          <w:szCs w:val="22"/>
        </w:rPr>
        <w:t xml:space="preserve">The hydrological risks identified in Section VI of the principal statement extend beyond the private wells of the immediate Mann Road and Berea Church Road residents. The LaGuardo Utility District (LUD), headquartered at 7880 Coles Ferry Pike, supplies drinking water to approximately 12,277 residents across Wilson County. The following pathways warrant formal evaluation by the Site Selection Committee prior to any siting decision.</w:t>
      </w:r>
    </w:p>
    <w:p>
      <w:pPr>
        <w:spacing w:after="120" w:before="240"/>
      </w:pPr>
      <w:r>
        <w:rPr>
          <w:rFonts w:ascii="Arial" w:cs="Arial" w:eastAsia="Arial" w:hAnsi="Arial"/>
          <w:b/>
          <w:bCs/>
          <w:sz w:val="24"/>
          <w:szCs w:val="24"/>
        </w:rPr>
        <w:t xml:space="preserve">1. Karst Aquifer Pathway</w:t>
      </w:r>
    </w:p>
    <w:p>
      <w:pPr>
        <w:spacing w:after="160" w:before="80" w:line="300"/>
      </w:pPr>
      <w:r>
        <w:rPr>
          <w:rFonts w:ascii="Arial" w:cs="Arial" w:eastAsia="Arial" w:hAnsi="Arial"/>
          <w:sz w:val="22"/>
          <w:szCs w:val="22"/>
        </w:rPr>
        <w:t xml:space="preserve">LUD has transitioned a portion of its supply to groundwater wells. Per publicly available reporting, those wells draw from the same karst limestone formation that underlies the proposed facility site. Karst hydrology is characterized by rapid contaminant migration through open subterranean fissures and channels, with little to no natural soil filtration. While definitive characterization of aquifer connectivity between the proposed site and the LUD well field requires a formal hydrogeological study, </w:t>
      </w:r>
      <w:r>
        <w:rPr>
          <w:rFonts w:ascii="Arial" w:cs="Arial" w:eastAsia="Arial" w:hAnsi="Arial"/>
          <w:b/>
          <w:bCs/>
          <w:sz w:val="22"/>
          <w:szCs w:val="22"/>
        </w:rPr>
        <w:t xml:space="preserve">the burden of proof on this question must rest with the city, not the affected utility's customers.</w:t>
      </w:r>
      <w:r>
        <w:rPr>
          <w:rFonts w:ascii="Arial" w:cs="Arial" w:eastAsia="Arial" w:hAnsi="Arial"/>
          <w:sz w:val="22"/>
          <w:szCs w:val="22"/>
        </w:rPr>
        <w:t xml:space="preserve"> The committee should not accept the proposed site absent a documented engineering finding that LUD's wells are hydraulically isolated from any potential contamination plume.</w:t>
      </w:r>
    </w:p>
    <w:p>
      <w:pPr>
        <w:spacing w:after="120" w:before="240"/>
      </w:pPr>
      <w:r>
        <w:rPr>
          <w:rFonts w:ascii="Arial" w:cs="Arial" w:eastAsia="Arial" w:hAnsi="Arial"/>
          <w:b/>
          <w:bCs/>
          <w:sz w:val="24"/>
          <w:szCs w:val="24"/>
        </w:rPr>
        <w:t xml:space="preserve">2. Infrastructure Proximity — Coles Ferry Pike</w:t>
      </w:r>
    </w:p>
    <w:p>
      <w:pPr>
        <w:spacing w:after="160" w:before="80" w:line="300"/>
      </w:pPr>
      <w:r>
        <w:rPr>
          <w:rFonts w:ascii="Arial" w:cs="Arial" w:eastAsia="Arial" w:hAnsi="Arial"/>
          <w:sz w:val="22"/>
          <w:szCs w:val="22"/>
        </w:rPr>
        <w:t xml:space="preserve">LUD's primary operations facility is located directly on Coles Ferry Pike, one of the construction-traffic corridors. Sustained heavy-vehicle traffic — including 30-ton chemical haulers and septage tankers — introduces incremental risk to the buried water mains, valves, and roadside infrastructure that LUD relies upon to deliver service.</w:t>
      </w:r>
    </w:p>
    <w:p>
      <w:pPr>
        <w:spacing w:after="120" w:before="240"/>
      </w:pPr>
      <w:r>
        <w:rPr>
          <w:rFonts w:ascii="Arial" w:cs="Arial" w:eastAsia="Arial" w:hAnsi="Arial"/>
          <w:b/>
          <w:bCs/>
          <w:sz w:val="24"/>
          <w:szCs w:val="24"/>
        </w:rPr>
        <w:t xml:space="preserve">3. Documented Private Wells Within the Contamination Radius</w:t>
      </w:r>
    </w:p>
    <w:p>
      <w:pPr>
        <w:spacing w:after="160" w:before="80" w:line="300"/>
      </w:pPr>
      <w:r>
        <w:rPr>
          <w:rFonts w:ascii="Arial" w:cs="Arial" w:eastAsia="Arial" w:hAnsi="Arial"/>
          <w:sz w:val="22"/>
          <w:szCs w:val="22"/>
        </w:rPr>
        <w:t xml:space="preserve">A query of the Tennessee Department of Environment and Conservation (TDEC) Water Well Locations public database identifies </w:t>
      </w:r>
      <w:r>
        <w:rPr>
          <w:rFonts w:ascii="Arial" w:cs="Arial" w:eastAsia="Arial" w:hAnsi="Arial"/>
          <w:b/>
          <w:bCs/>
          <w:sz w:val="22"/>
          <w:szCs w:val="22"/>
        </w:rPr>
        <w:t xml:space="preserve">a minimum of 38 permitted private wells within the 2-mile contamination radius</w:t>
      </w:r>
      <w:r>
        <w:rPr>
          <w:rFonts w:ascii="Arial" w:cs="Arial" w:eastAsia="Arial" w:hAnsi="Arial"/>
          <w:sz w:val="22"/>
          <w:szCs w:val="22"/>
        </w:rPr>
        <w:t xml:space="preserve"> surrounding the proposed Mann Road and Berea Church Road footprint. Of these:</w:t>
      </w:r>
    </w:p>
    <w:p>
      <w:pPr>
        <w:pStyle w:val="ListParagraph"/>
        <w:numPr>
          <w:ilvl w:val="0"/>
          <w:numId w:val="2"/>
        </w:numPr>
        <w:spacing w:after="120" w:before="60" w:line="300"/>
      </w:pPr>
      <w:r>
        <w:rPr>
          <w:rFonts w:ascii="Arial" w:cs="Arial" w:eastAsia="Arial" w:hAnsi="Arial"/>
          <w:b/>
          <w:bCs/>
          <w:sz w:val="22"/>
          <w:szCs w:val="22"/>
        </w:rPr>
        <w:t xml:space="preserve">6 wells are located within 0.5 miles </w:t>
      </w:r>
      <w:r>
        <w:rPr>
          <w:rFonts w:ascii="Arial" w:cs="Arial" w:eastAsia="Arial" w:hAnsi="Arial"/>
          <w:sz w:val="22"/>
          <w:szCs w:val="22"/>
        </w:rPr>
        <w:t xml:space="preserve">of a proposed site, including a well at 1079 Berea Church Road (Coster) situated approximately 850 feet (0.16 mi) from the Mann Road site;</w:t>
      </w:r>
    </w:p>
    <w:p>
      <w:pPr>
        <w:pStyle w:val="ListParagraph"/>
        <w:numPr>
          <w:ilvl w:val="0"/>
          <w:numId w:val="2"/>
        </w:numPr>
        <w:spacing w:after="120" w:before="60" w:line="300"/>
      </w:pPr>
      <w:r>
        <w:rPr>
          <w:rFonts w:ascii="Arial" w:cs="Arial" w:eastAsia="Arial" w:hAnsi="Arial"/>
          <w:b/>
          <w:bCs/>
          <w:sz w:val="22"/>
          <w:szCs w:val="22"/>
        </w:rPr>
        <w:t xml:space="preserve">16 wells are located within 1.0 mile </w:t>
      </w:r>
      <w:r>
        <w:rPr>
          <w:rFonts w:ascii="Arial" w:cs="Arial" w:eastAsia="Arial" w:hAnsi="Arial"/>
          <w:sz w:val="22"/>
          <w:szCs w:val="22"/>
        </w:rPr>
        <w:t xml:space="preserve">of a proposed site;</w:t>
      </w:r>
    </w:p>
    <w:p>
      <w:pPr>
        <w:pStyle w:val="ListParagraph"/>
        <w:numPr>
          <w:ilvl w:val="0"/>
          <w:numId w:val="2"/>
        </w:numPr>
        <w:spacing w:after="120" w:before="60" w:line="300"/>
      </w:pPr>
      <w:r>
        <w:rPr>
          <w:rFonts w:ascii="Arial" w:cs="Arial" w:eastAsia="Arial" w:hAnsi="Arial"/>
          <w:b/>
          <w:bCs/>
          <w:sz w:val="22"/>
          <w:szCs w:val="22"/>
        </w:rPr>
        <w:t xml:space="preserve">38 wells are located within 2.0 miles </w:t>
      </w:r>
      <w:r>
        <w:rPr>
          <w:rFonts w:ascii="Arial" w:cs="Arial" w:eastAsia="Arial" w:hAnsi="Arial"/>
          <w:sz w:val="22"/>
          <w:szCs w:val="22"/>
        </w:rPr>
        <w:t xml:space="preserve">of a proposed site, the outer boundary of the karst contamination radius identified in Section VI.</w:t>
      </w:r>
    </w:p>
    <w:p>
      <w:pPr>
        <w:spacing w:after="160" w:before="80" w:line="300"/>
      </w:pPr>
      <w:r>
        <w:rPr>
          <w:rFonts w:ascii="Arial" w:cs="Arial" w:eastAsia="Arial" w:hAnsi="Arial"/>
          <w:sz w:val="22"/>
          <w:szCs w:val="22"/>
        </w:rPr>
        <w:t xml:space="preserve">The geographic distribution of these wells, with concentric 0.5-mile, 1.0-mile, and 2.0-mile rings, is depicted in Exhibit C-1 below. Recorded uses include residential drinking water (32 wells), agricultural and irrigation (9 wells), and geothermal heat pump (3 wells). The Site Selection Committee has not, to the petitioners' knowledge, entered these figures into the public record.</w:t>
      </w:r>
    </w:p>
    <w:p>
      <w:pPr>
        <w:spacing w:after="160" w:before="80" w:line="300"/>
      </w:pPr>
      <w:r>
        <w:rPr>
          <w:rFonts w:ascii="Arial" w:cs="Arial" w:eastAsia="Arial" w:hAnsi="Arial"/>
          <w:b/>
          <w:bCs/>
          <w:sz w:val="22"/>
          <w:szCs w:val="22"/>
        </w:rPr>
        <w:t xml:space="preserve">Important caveat: </w:t>
      </w:r>
      <w:r>
        <w:rPr>
          <w:rFonts w:ascii="Arial" w:cs="Arial" w:eastAsia="Arial" w:hAnsi="Arial"/>
          <w:sz w:val="22"/>
          <w:szCs w:val="22"/>
        </w:rPr>
        <w:t xml:space="preserve">The figure of 38 wells is a minimum. The TDEC Water Well Locations database includes only those wells for which a licensed driller filed a report. Wells drilled prior to the establishment of mandatory driller reporting, owner-drilled wells, and wells for which a driller's report was never filed are not represented. The actual number of households dependent on private well water within the contamination radius is reasonably expected to be materially higher.</w:t>
      </w:r>
    </w:p>
    <w:p>
      <w:pPr>
        <w:spacing w:after="80" w:before="120"/>
        <w:jc w:val="center"/>
      </w:pPr>
      <w:r>
        <w:drawing>
          <wp:inline distT="0" distB="0" distL="0" distR="0">
            <wp:extent cx="62865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286500" cy="3228975"/>
                    </a:xfrm>
                    <a:prstGeom prst="rect">
                      <a:avLst/>
                    </a:prstGeom>
                  </pic:spPr>
                </pic:pic>
              </a:graphicData>
            </a:graphic>
          </wp:inline>
        </w:drawing>
      </w:r>
    </w:p>
    <w:p>
      <w:pPr>
        <w:spacing w:after="240"/>
        <w:jc w:val="center"/>
      </w:pPr>
      <w:r>
        <w:rPr>
          <w:rFonts w:ascii="Arial" w:cs="Arial" w:eastAsia="Arial" w:hAnsi="Arial"/>
          <w:i/>
          <w:iCs/>
          <w:sz w:val="20"/>
          <w:szCs w:val="20"/>
        </w:rPr>
        <w:t xml:space="preserve">Exhibit C-1: 0.5-mile, 1.0-mile, and 2.0-mile rings centered on 3230 Mann Road, plotted on the TDEC Water Wells Desktop Application map. Each dark dot represents a permitted private water well in the TDEC database.</w:t>
      </w:r>
    </w:p>
    <w:p>
      <w:pPr>
        <w:spacing w:after="120" w:before="240"/>
      </w:pPr>
      <w:r>
        <w:rPr>
          <w:rFonts w:ascii="Arial" w:cs="Arial" w:eastAsia="Arial" w:hAnsi="Arial"/>
          <w:b/>
          <w:bCs/>
          <w:sz w:val="24"/>
          <w:szCs w:val="24"/>
        </w:rPr>
        <w:t xml:space="preserve">Scale of Affected Population and Formal Requests</w:t>
      </w:r>
    </w:p>
    <w:p>
      <w:pPr>
        <w:spacing w:after="160" w:before="80" w:line="300"/>
      </w:pPr>
      <w:r>
        <w:rPr>
          <w:rFonts w:ascii="Arial" w:cs="Arial" w:eastAsia="Arial" w:hAnsi="Arial"/>
          <w:sz w:val="22"/>
          <w:szCs w:val="22"/>
        </w:rPr>
        <w:t xml:space="preserve">The combined effect of these pathways is that the public health and water security of approximately 12,000+ Wilson County residents — a population substantially exceeding the immediate Mann Road and Berea Church Road neighborhood — is materially affected by the siting decision before this committee. This factor has not, to our knowledge, been adequately reflected in the site evaluation criteria to date.</w:t>
      </w:r>
    </w:p>
    <w:p>
      <w:pPr>
        <w:spacing w:after="160" w:before="80" w:line="300"/>
      </w:pPr>
      <w:r>
        <w:rPr>
          <w:rFonts w:ascii="Arial" w:cs="Arial" w:eastAsia="Arial" w:hAnsi="Arial"/>
          <w:sz w:val="22"/>
          <w:szCs w:val="22"/>
        </w:rPr>
        <w:t xml:space="preserve">We respectfully request that the committee:</w:t>
      </w:r>
    </w:p>
    <w:p>
      <w:pPr>
        <w:pStyle w:val="ListParagraph"/>
        <w:numPr>
          <w:ilvl w:val="0"/>
          <w:numId w:val="2"/>
        </w:numPr>
        <w:spacing w:after="120" w:before="60" w:line="300"/>
      </w:pPr>
      <w:r>
        <w:rPr>
          <w:rFonts w:ascii="Arial" w:cs="Arial" w:eastAsia="Arial" w:hAnsi="Arial"/>
          <w:sz w:val="22"/>
          <w:szCs w:val="22"/>
        </w:rPr>
        <w:t xml:space="preserve">Formally request a hydrogeological study from a qualified third party documenting (or refuting) hydraulic connectivity between the proposed site footprint and the LUD well field;</w:t>
      </w:r>
    </w:p>
    <w:p>
      <w:pPr>
        <w:pStyle w:val="ListParagraph"/>
        <w:numPr>
          <w:ilvl w:val="0"/>
          <w:numId w:val="2"/>
        </w:numPr>
        <w:spacing w:after="120" w:before="60" w:line="300"/>
      </w:pPr>
      <w:r>
        <w:rPr>
          <w:rFonts w:ascii="Arial" w:cs="Arial" w:eastAsia="Arial" w:hAnsi="Arial"/>
          <w:sz w:val="22"/>
          <w:szCs w:val="22"/>
        </w:rPr>
        <w:t xml:space="preserve">Require coordination with the LaGuardo Utility District Board of Commissioners as a prerequisite to any further consideration of the Mann Road and Berea Church Road addresses;</w:t>
      </w:r>
    </w:p>
    <w:p>
      <w:pPr>
        <w:pStyle w:val="ListParagraph"/>
        <w:numPr>
          <w:ilvl w:val="0"/>
          <w:numId w:val="2"/>
        </w:numPr>
        <w:spacing w:after="120" w:before="60" w:line="300"/>
      </w:pPr>
      <w:r>
        <w:rPr>
          <w:rFonts w:ascii="Arial" w:cs="Arial" w:eastAsia="Arial" w:hAnsi="Arial"/>
          <w:sz w:val="22"/>
          <w:szCs w:val="22"/>
        </w:rPr>
        <w:t xml:space="preserve">Enter the well-count data and accompanying ring map (Exhibit C-1) into the official public record of the site selection proceedings, and supplement it with an independent staff verification against the most current TDEC Water Well Locations database;</w:t>
      </w:r>
    </w:p>
    <w:p>
      <w:pPr>
        <w:pStyle w:val="ListParagraph"/>
        <w:numPr>
          <w:ilvl w:val="0"/>
          <w:numId w:val="2"/>
        </w:numPr>
        <w:spacing w:after="120" w:before="60" w:line="300"/>
      </w:pPr>
      <w:r>
        <w:rPr>
          <w:rFonts w:ascii="Arial" w:cs="Arial" w:eastAsia="Arial" w:hAnsi="Arial"/>
          <w:sz w:val="22"/>
          <w:szCs w:val="22"/>
        </w:rPr>
        <w:t xml:space="preserve">Provide written notification to each identified well owner, and to all LUD ratepayers, of the proposed siting and the karst-aquifer contamination pathway described in Section VI of the principal statement.</w:t>
      </w:r>
    </w:p>
    <w:p>
      <w:pPr>
        <w:spacing w:after="160" w:before="80" w:line="300"/>
      </w:pPr>
      <w:r>
        <w:rPr>
          <w:rFonts w:ascii="Arial" w:cs="Arial" w:eastAsia="Arial" w:hAnsi="Arial"/>
          <w:b/>
          <w:bCs/>
          <w:sz w:val="22"/>
          <w:szCs w:val="22"/>
        </w:rPr>
        <w:t xml:space="preserve">The committee cannot reasonably weigh the risk to residents whose number has not been entered into the public record.</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w:t>
      </w:r>
    </w:p>
    <w:p>
      <w:r>
        <w:br w:type="page"/>
      </w:r>
    </w:p>
    <w:p>
      <w:pPr>
        <w:spacing w:after="80"/>
        <w:jc w:val="center"/>
      </w:pPr>
      <w:r>
        <w:rPr>
          <w:rFonts w:ascii="Arial" w:cs="Arial" w:eastAsia="Arial" w:hAnsi="Arial"/>
          <w:b/>
          <w:bCs/>
          <w:sz w:val="28"/>
          <w:szCs w:val="28"/>
        </w:rPr>
        <w:t xml:space="preserve">SUPPLEMENTAL NOTE — APPENDIX D</w:t>
      </w:r>
    </w:p>
    <w:p>
      <w:pPr>
        <w:spacing w:after="360"/>
        <w:jc w:val="center"/>
      </w:pPr>
      <w:r>
        <w:rPr>
          <w:rFonts w:ascii="Arial" w:cs="Arial" w:eastAsia="Arial" w:hAnsi="Arial"/>
          <w:b/>
          <w:bCs/>
          <w:sz w:val="24"/>
          <w:szCs w:val="24"/>
        </w:rPr>
        <w:t xml:space="preserve">Septage Receiving Operations: Scale Projections and Matrix Impact</w:t>
      </w:r>
    </w:p>
    <w:p>
      <w:pPr>
        <w:spacing w:after="160" w:before="80" w:line="300"/>
      </w:pPr>
      <w:r>
        <w:rPr>
          <w:rFonts w:ascii="Arial" w:cs="Arial" w:eastAsia="Arial" w:hAnsi="Arial"/>
          <w:sz w:val="22"/>
          <w:szCs w:val="22"/>
        </w:rPr>
        <w:t xml:space="preserve">This appendix documents the quantitative basis for the heavy-vehicle traffic projections cited in the spoken remarks of June 2, 2026, and recommends specific scoring matrix adjustments. The petitioners formally request that the Site Selection Committee require disclosure of the items in Section 5 prior to any vote eliminating or ranking sites.</w:t>
      </w:r>
    </w:p>
    <w:p>
      <w:pPr>
        <w:spacing w:after="120" w:before="240"/>
      </w:pPr>
      <w:r>
        <w:rPr>
          <w:rFonts w:ascii="Arial" w:cs="Arial" w:eastAsia="Arial" w:hAnsi="Arial"/>
          <w:b/>
          <w:bCs/>
          <w:sz w:val="24"/>
          <w:szCs w:val="24"/>
        </w:rPr>
        <w:t xml:space="preserve">1. Existing Septage Operation at the Hartmann Drive Facility</w:t>
      </w:r>
    </w:p>
    <w:p>
      <w:pPr>
        <w:spacing w:after="160" w:before="80" w:line="300"/>
      </w:pPr>
      <w:r>
        <w:rPr>
          <w:rFonts w:ascii="Arial" w:cs="Arial" w:eastAsia="Arial" w:hAnsi="Arial"/>
          <w:sz w:val="22"/>
          <w:szCs w:val="22"/>
        </w:rPr>
        <w:t xml:space="preserve">Septic haulers currently transport septage to the City of Lebanon's existing Wastewater Treatment Plant at 321 Hartmann Drive under the city's hauler permit program. Per the City of Lebanon Wastewater Treatment Plant page, </w:t>
      </w:r>
      <w:r>
        <w:rPr>
          <w:rFonts w:ascii="Arial" w:cs="Arial" w:eastAsia="Arial" w:hAnsi="Arial"/>
          <w:i/>
          <w:iCs/>
          <w:sz w:val="22"/>
          <w:szCs w:val="22"/>
        </w:rPr>
        <w:t xml:space="preserve">"City of Lebanon requires septic haulers to fill out the Hauler Application and pay a non-refundable application fee in order to request access to the City of Lebanon Wastewater Treatment Plant."</w:t>
      </w:r>
      <w:r>
        <w:rPr>
          <w:rFonts w:ascii="Arial" w:cs="Arial" w:eastAsia="Arial" w:hAnsi="Arial"/>
          <w:sz w:val="22"/>
          <w:szCs w:val="22"/>
        </w:rPr>
        <w:t xml:space="preserve"> The Hartmann Drive facility therefore already serves, in some capacity, as a septage receiving point for Wilson County and surrounding service areas.</w:t>
      </w:r>
    </w:p>
    <w:p>
      <w:pPr>
        <w:spacing w:after="160" w:before="80" w:line="300"/>
      </w:pPr>
      <w:r>
        <w:rPr>
          <w:rFonts w:ascii="Arial" w:cs="Arial" w:eastAsia="Arial" w:hAnsi="Arial"/>
          <w:sz w:val="22"/>
          <w:szCs w:val="22"/>
        </w:rPr>
        <w:t xml:space="preserve">On June 2, 2026, the city engineer addressed current septage hauler operations at Hartmann Drive directly (transcript minute 32:37), characterizing existing daily traffic as </w:t>
      </w:r>
      <w:r>
        <w:rPr>
          <w:rFonts w:ascii="Arial" w:cs="Arial" w:eastAsia="Arial" w:hAnsi="Arial"/>
          <w:i/>
          <w:iCs/>
          <w:sz w:val="22"/>
          <w:szCs w:val="22"/>
        </w:rPr>
        <w:t xml:space="preserve">"small septage haulers... the largest septic hauler tank I've ever seen come into a facility is about 5,000 gallons. Uh normally they're around 3,000 gallons."</w:t>
      </w:r>
      <w:r>
        <w:rPr>
          <w:rFonts w:ascii="Arial" w:cs="Arial" w:eastAsia="Arial" w:hAnsi="Arial"/>
          <w:sz w:val="22"/>
          <w:szCs w:val="22"/>
        </w:rPr>
        <w:t xml:space="preserve"> The petitioners accept this characterization of </w:t>
      </w:r>
      <w:r>
        <w:rPr>
          <w:rFonts w:ascii="Arial" w:cs="Arial" w:eastAsia="Arial" w:hAnsi="Arial"/>
          <w:b/>
          <w:bCs/>
          <w:sz w:val="22"/>
          <w:szCs w:val="22"/>
        </w:rPr>
        <w:t xml:space="preserve">current operations</w:t>
      </w:r>
      <w:r>
        <w:rPr>
          <w:rFonts w:ascii="Arial" w:cs="Arial" w:eastAsia="Arial" w:hAnsi="Arial"/>
          <w:sz w:val="22"/>
          <w:szCs w:val="22"/>
        </w:rPr>
        <w:t xml:space="preserve"> at Hartmann. The petitioners' concern is not with current operations but with the </w:t>
      </w:r>
      <w:r>
        <w:rPr>
          <w:rFonts w:ascii="Arial" w:cs="Arial" w:eastAsia="Arial" w:hAnsi="Arial"/>
          <w:b/>
          <w:bCs/>
          <w:sz w:val="22"/>
          <w:szCs w:val="22"/>
        </w:rPr>
        <w:t xml:space="preserve">future operational scope</w:t>
      </w:r>
      <w:r>
        <w:rPr>
          <w:rFonts w:ascii="Arial" w:cs="Arial" w:eastAsia="Arial" w:hAnsi="Arial"/>
          <w:sz w:val="22"/>
          <w:szCs w:val="22"/>
        </w:rPr>
        <w:t xml:space="preserve"> of the new 20 MGD facility, particularly under the regional-hub configuration referenced in the engineer's own matrix interpretation (transcript minute 14:32): "the potential to serve other areas... north of or out in the county or wherever this is... uh, county residents with failing septic systems and things like that could also be a consideration."</w:t>
      </w:r>
    </w:p>
    <w:p>
      <w:pPr>
        <w:spacing w:after="160" w:before="80" w:line="300"/>
      </w:pPr>
      <w:r>
        <w:rPr>
          <w:rFonts w:ascii="Arial" w:cs="Arial" w:eastAsia="Arial" w:hAnsi="Arial"/>
          <w:sz w:val="22"/>
          <w:szCs w:val="22"/>
        </w:rPr>
        <w:t xml:space="preserve">During the May 27, 2026 Site Selection Committee meeting, the city engineer also stated that </w:t>
      </w:r>
      <w:r>
        <w:rPr>
          <w:rFonts w:ascii="Arial" w:cs="Arial" w:eastAsia="Arial" w:hAnsi="Arial"/>
          <w:i/>
          <w:iCs/>
          <w:sz w:val="22"/>
          <w:szCs w:val="22"/>
        </w:rPr>
        <w:t xml:space="preserve">"the current plan is to put a pump station at the existing sewer treatment facility"</w:t>
      </w:r>
      <w:r>
        <w:rPr>
          <w:rFonts w:ascii="Arial" w:cs="Arial" w:eastAsia="Arial" w:hAnsi="Arial"/>
          <w:sz w:val="22"/>
          <w:szCs w:val="22"/>
        </w:rPr>
        <w:t xml:space="preserve"> (transcript minute 1:05:08). This indicates a functional transition of the Hartmann Drive site from a treatment plant to a conveyance pump station. A pump station does not provide the screening, equalization, and process capacity required to accept and process septage truck dumps. As a result, the operational configurations available for septage receiving under the new plan are materially constrained.</w:t>
      </w:r>
    </w:p>
    <w:p>
      <w:pPr>
        <w:spacing w:after="160" w:before="80" w:line="300"/>
      </w:pPr>
      <w:r>
        <w:rPr>
          <w:rFonts w:ascii="Arial" w:cs="Arial" w:eastAsia="Arial" w:hAnsi="Arial"/>
          <w:sz w:val="22"/>
          <w:szCs w:val="22"/>
        </w:rPr>
        <w:t xml:space="preserve">The committee must determine and disclose how septage receiving operations will be allocated when the new plant comes online. There are three possible configurations, listed below in order of decreasing plausibility given the engineer's pump-station statement and his June 2 references to expanded service-area scope:</w:t>
      </w:r>
    </w:p>
    <w:p>
      <w:pPr>
        <w:pStyle w:val="ListParagraph"/>
        <w:numPr>
          <w:ilvl w:val="0"/>
          <w:numId w:val="2"/>
        </w:numPr>
        <w:spacing w:after="120" w:before="60" w:line="300"/>
      </w:pPr>
      <w:r>
        <w:rPr>
          <w:rFonts w:ascii="Arial" w:cs="Arial" w:eastAsia="Arial" w:hAnsi="Arial"/>
          <w:b/>
          <w:bCs/>
          <w:sz w:val="22"/>
          <w:szCs w:val="22"/>
        </w:rPr>
        <w:t xml:space="preserve">Relocated to the new plant, with regional-hub expansion (most likely). </w:t>
      </w:r>
      <w:r>
        <w:rPr>
          <w:rFonts w:ascii="Arial" w:cs="Arial" w:eastAsia="Arial" w:hAnsi="Arial"/>
          <w:sz w:val="22"/>
          <w:szCs w:val="22"/>
        </w:rPr>
        <w:t xml:space="preserve">Existing Wilson County septage traffic shifts from Hartmann Drive to the selected new site, which will be designed and built with septage receiving capacity from inception. The engineer's reference to serving </w:t>
      </w:r>
      <w:r>
        <w:rPr>
          <w:rFonts w:ascii="Arial" w:cs="Arial" w:eastAsia="Arial" w:hAnsi="Arial"/>
          <w:i/>
          <w:iCs/>
          <w:sz w:val="22"/>
          <w:szCs w:val="22"/>
        </w:rPr>
        <w:t xml:space="preserve">"other areas... north of or out in the county"</w:t>
      </w:r>
      <w:r>
        <w:rPr>
          <w:rFonts w:ascii="Arial" w:cs="Arial" w:eastAsia="Arial" w:hAnsi="Arial"/>
          <w:sz w:val="22"/>
          <w:szCs w:val="22"/>
        </w:rPr>
        <w:t xml:space="preserve"> indicates intent to expand the service area beyond current Hartmann scope. Roads previously not exposed to septage traffic absorb both the relocated existing load and the expanded regional-hub load.</w:t>
      </w:r>
    </w:p>
    <w:p>
      <w:pPr>
        <w:pStyle w:val="ListParagraph"/>
        <w:numPr>
          <w:ilvl w:val="0"/>
          <w:numId w:val="2"/>
        </w:numPr>
        <w:spacing w:after="120" w:before="60" w:line="300"/>
      </w:pPr>
      <w:r>
        <w:rPr>
          <w:rFonts w:ascii="Arial" w:cs="Arial" w:eastAsia="Arial" w:hAnsi="Arial"/>
          <w:b/>
          <w:bCs/>
          <w:sz w:val="22"/>
          <w:szCs w:val="22"/>
        </w:rPr>
        <w:t xml:space="preserve">Split between locations (intermediate). </w:t>
      </w:r>
      <w:r>
        <w:rPr>
          <w:rFonts w:ascii="Arial" w:cs="Arial" w:eastAsia="Arial" w:hAnsi="Arial"/>
          <w:sz w:val="22"/>
          <w:szCs w:val="22"/>
        </w:rPr>
        <w:t xml:space="preserve">A portion of septage continues to be accepted at Hartmann under a retrofitted or retained partial-treatment configuration; overflow and any regional-hub expansion is directed to the new plant. This requires Hartmann to retain treatment capability beyond a pure pump-station function, which is not consistent with the engineer's stated plan.</w:t>
      </w:r>
    </w:p>
    <w:p>
      <w:pPr>
        <w:pStyle w:val="ListParagraph"/>
        <w:numPr>
          <w:ilvl w:val="0"/>
          <w:numId w:val="2"/>
        </w:numPr>
        <w:spacing w:after="120" w:before="60" w:line="300"/>
      </w:pPr>
      <w:r>
        <w:rPr>
          <w:rFonts w:ascii="Arial" w:cs="Arial" w:eastAsia="Arial" w:hAnsi="Arial"/>
          <w:b/>
          <w:bCs/>
          <w:sz w:val="22"/>
          <w:szCs w:val="22"/>
        </w:rPr>
        <w:t xml:space="preserve">Retained entirely at Hartmann Drive (least likely). </w:t>
      </w:r>
      <w:r>
        <w:rPr>
          <w:rFonts w:ascii="Arial" w:cs="Arial" w:eastAsia="Arial" w:hAnsi="Arial"/>
          <w:sz w:val="22"/>
          <w:szCs w:val="22"/>
        </w:rPr>
        <w:t xml:space="preserve">Septage trucks continue to arrive exclusively at the existing facility; the new plant accepts no direct hauler dumps. This requires Hartmann to retain the full set of septage-handling capabilities (screening, equalization, treatment) despite being repurposed as a pump station, and is the least consistent with the operational plan referenced on May 27.</w:t>
      </w:r>
    </w:p>
    <w:p>
      <w:pPr>
        <w:spacing w:after="160" w:before="80" w:line="300"/>
      </w:pPr>
      <w:r>
        <w:rPr>
          <w:rFonts w:ascii="Arial" w:cs="Arial" w:eastAsia="Arial" w:hAnsi="Arial"/>
          <w:sz w:val="22"/>
          <w:szCs w:val="22"/>
        </w:rPr>
        <w:t xml:space="preserve">Under either of the two more plausible scenarios above, the new site receives material new heavy-vehicle traffic that the surrounding road network was not engineered to absorb — at a volume scaled to the regional service area, not to the current Hartmann hauler count. Absent a clear, formal, on-the-record commitment from the city as to which configuration will apply and what the projected daily truck volume will be at the selected site, </w:t>
      </w:r>
      <w:r>
        <w:rPr>
          <w:rFonts w:ascii="Arial" w:cs="Arial" w:eastAsia="Arial" w:hAnsi="Arial"/>
          <w:b/>
          <w:bCs/>
          <w:sz w:val="22"/>
          <w:szCs w:val="22"/>
        </w:rPr>
        <w:t xml:space="preserve">the committee must score every candidate site under the assumption that septage receiving will relocate or expand to the new facility under the regional-hub service model the engineer has already referenced.</w:t>
      </w:r>
      <w:r>
        <w:rPr>
          <w:rFonts w:ascii="Arial" w:cs="Arial" w:eastAsia="Arial" w:hAnsi="Arial"/>
          <w:sz w:val="22"/>
          <w:szCs w:val="22"/>
        </w:rPr>
        <w:t xml:space="preserve"> This is a foreseeable operational decision that materially affects Community Impact for residential corridor sites; it cannot be left to a post-siting administrative determination.</w:t>
      </w:r>
    </w:p>
    <w:p>
      <w:pPr>
        <w:spacing w:after="120" w:before="240"/>
      </w:pPr>
      <w:r>
        <w:rPr>
          <w:rFonts w:ascii="Arial" w:cs="Arial" w:eastAsia="Arial" w:hAnsi="Arial"/>
          <w:b/>
          <w:bCs/>
          <w:sz w:val="24"/>
          <w:szCs w:val="24"/>
        </w:rPr>
        <w:t xml:space="preserve">2. Truck Volume Calculations</w:t>
      </w:r>
    </w:p>
    <w:p>
      <w:pPr>
        <w:spacing w:after="160" w:before="80" w:line="300"/>
      </w:pPr>
      <w:r>
        <w:rPr>
          <w:rFonts w:ascii="Arial" w:cs="Arial" w:eastAsia="Arial" w:hAnsi="Arial"/>
          <w:sz w:val="22"/>
          <w:szCs w:val="22"/>
        </w:rPr>
        <w:t xml:space="preserve">The following figures represent the estimated annual septage volume generated by Wilson County alone. These trucks are not hypothetical — they are existing loads that currently arrive at Hartmann Drive or are hauled elsewhere. The question before the committee is </w:t>
      </w:r>
      <w:r>
        <w:rPr>
          <w:rFonts w:ascii="Arial" w:cs="Arial" w:eastAsia="Arial" w:hAnsi="Arial"/>
          <w:b/>
          <w:bCs/>
          <w:sz w:val="22"/>
          <w:szCs w:val="22"/>
        </w:rPr>
        <w:t xml:space="preserve">which roads absorb that traffic under each siting and operational configuration.</w:t>
      </w:r>
      <w:r>
        <w:rPr>
          <w:rFonts w:ascii="Arial" w:cs="Arial" w:eastAsia="Arial" w:hAnsi="Arial"/>
          <w:sz w:val="22"/>
          <w:szCs w:val="22"/>
        </w:rPr>
        <w:t xml:space="preserve"> Sources: U.S. Census Bureau 2025 estimates, Wilson County Environmental Health, TDEC guidance.</w:t>
      </w:r>
    </w:p>
    <w:p>
      <w:pPr>
        <w:pStyle w:val="ListParagraph"/>
        <w:numPr>
          <w:ilvl w:val="0"/>
          <w:numId w:val="2"/>
        </w:numPr>
        <w:spacing w:after="120" w:before="60" w:line="300"/>
      </w:pPr>
      <w:r>
        <w:rPr>
          <w:rFonts w:ascii="Arial" w:cs="Arial" w:eastAsia="Arial" w:hAnsi="Arial"/>
          <w:sz w:val="22"/>
          <w:szCs w:val="22"/>
        </w:rPr>
        <w:t xml:space="preserve">Wilson County population (2025): 175,033, growing at approximately 3.2% per year.</w:t>
      </w:r>
    </w:p>
    <w:p>
      <w:pPr>
        <w:pStyle w:val="ListParagraph"/>
        <w:numPr>
          <w:ilvl w:val="0"/>
          <w:numId w:val="2"/>
        </w:numPr>
        <w:spacing w:after="120" w:before="60" w:line="300"/>
      </w:pPr>
      <w:r>
        <w:rPr>
          <w:rFonts w:ascii="Arial" w:cs="Arial" w:eastAsia="Arial" w:hAnsi="Arial"/>
          <w:sz w:val="22"/>
          <w:szCs w:val="22"/>
        </w:rPr>
        <w:t xml:space="preserve">Estimated total households: approximately 65,000.</w:t>
      </w:r>
    </w:p>
    <w:p>
      <w:pPr>
        <w:pStyle w:val="ListParagraph"/>
        <w:numPr>
          <w:ilvl w:val="0"/>
          <w:numId w:val="2"/>
        </w:numPr>
        <w:spacing w:after="120" w:before="60" w:line="300"/>
      </w:pPr>
      <w:r>
        <w:rPr>
          <w:rFonts w:ascii="Arial" w:cs="Arial" w:eastAsia="Arial" w:hAnsi="Arial"/>
          <w:sz w:val="22"/>
          <w:szCs w:val="22"/>
        </w:rPr>
        <w:t xml:space="preserve">Estimated households dependent on on-site septic systems: 30% to 40%, or approximately 20,000 to 26,000 septic systems within Wilson County alone.</w:t>
      </w:r>
    </w:p>
    <w:p>
      <w:pPr>
        <w:pStyle w:val="ListParagraph"/>
        <w:numPr>
          <w:ilvl w:val="0"/>
          <w:numId w:val="2"/>
        </w:numPr>
        <w:spacing w:after="120" w:before="60" w:line="300"/>
      </w:pPr>
      <w:r>
        <w:rPr>
          <w:rFonts w:ascii="Arial" w:cs="Arial" w:eastAsia="Arial" w:hAnsi="Arial"/>
          <w:sz w:val="22"/>
          <w:szCs w:val="22"/>
        </w:rPr>
        <w:t xml:space="preserve">TDEC recommended pumping interval: every 3 to 5 years (4-year average).</w:t>
      </w:r>
    </w:p>
    <w:p>
      <w:pPr>
        <w:pStyle w:val="ListParagraph"/>
        <w:numPr>
          <w:ilvl w:val="0"/>
          <w:numId w:val="2"/>
        </w:numPr>
        <w:spacing w:after="120" w:before="60" w:line="300"/>
      </w:pPr>
      <w:r>
        <w:rPr>
          <w:rFonts w:ascii="Arial" w:cs="Arial" w:eastAsia="Arial" w:hAnsi="Arial"/>
          <w:sz w:val="22"/>
          <w:szCs w:val="22"/>
        </w:rPr>
        <w:t xml:space="preserve">Resulting annual pumping load from Wilson County alone: 5,000 to 6,500 truckloads per year.</w:t>
      </w:r>
    </w:p>
    <w:p>
      <w:pPr>
        <w:spacing w:after="160" w:before="80" w:line="300"/>
      </w:pPr>
      <w:r>
        <w:rPr>
          <w:sz w:val="4"/>
          <w:szCs w:val="4"/>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200"/>
          </w:tcPr>
          <w:p>
            <w:pPr>
              <w:jc w:val="center"/>
            </w:pPr>
            <w:r>
              <w:rPr>
                <w:rFonts w:ascii="Arial" w:cs="Arial" w:eastAsia="Arial" w:hAnsi="Arial"/>
                <w:b/>
                <w:bCs/>
                <w:sz w:val="20"/>
                <w:szCs w:val="20"/>
              </w:rPr>
              <w:t xml:space="preserve">Service area scenario</w:t>
            </w:r>
          </w:p>
        </w:tc>
        <w:tc>
          <w:tcPr>
            <w:tcW w:type="dxa" w:w="1900"/>
          </w:tcPr>
          <w:p>
            <w:pPr>
              <w:jc w:val="center"/>
            </w:pPr>
            <w:r>
              <w:rPr>
                <w:rFonts w:ascii="Arial" w:cs="Arial" w:eastAsia="Arial" w:hAnsi="Arial"/>
                <w:b/>
                <w:bCs/>
                <w:sz w:val="20"/>
                <w:szCs w:val="20"/>
              </w:rPr>
              <w:t xml:space="preserve">Annual truckloads</w:t>
            </w:r>
          </w:p>
        </w:tc>
        <w:tc>
          <w:tcPr>
            <w:tcW w:type="dxa" w:w="1900"/>
          </w:tcPr>
          <w:p>
            <w:pPr>
              <w:jc w:val="center"/>
            </w:pPr>
            <w:r>
              <w:rPr>
                <w:rFonts w:ascii="Arial" w:cs="Arial" w:eastAsia="Arial" w:hAnsi="Arial"/>
                <w:b/>
                <w:bCs/>
                <w:sz w:val="20"/>
                <w:szCs w:val="20"/>
              </w:rPr>
              <w:t xml:space="preserve">Trucks per workday</w:t>
            </w:r>
          </w:p>
        </w:tc>
        <w:tc>
          <w:tcPr>
            <w:tcW w:type="dxa" w:w="2000"/>
          </w:tcPr>
          <w:p>
            <w:pPr>
              <w:jc w:val="center"/>
            </w:pPr>
            <w:r>
              <w:rPr>
                <w:rFonts w:ascii="Arial" w:cs="Arial" w:eastAsia="Arial" w:hAnsi="Arial"/>
                <w:b/>
                <w:bCs/>
                <w:sz w:val="20"/>
                <w:szCs w:val="20"/>
              </w:rPr>
              <w:t xml:space="preserve">Vehicle movements/day (in + out)</w:t>
            </w:r>
          </w:p>
        </w:tc>
      </w:tr>
      <w:tr>
        <w:tc>
          <w:tcPr>
            <w:tcW w:type="dxa" w:w="3200"/>
          </w:tcPr>
          <w:p>
            <w:pPr>
              <w:jc w:val="left"/>
            </w:pPr>
            <w:r>
              <w:rPr>
                <w:rFonts w:ascii="Arial" w:cs="Arial" w:eastAsia="Arial" w:hAnsi="Arial"/>
                <w:sz w:val="20"/>
                <w:szCs w:val="20"/>
              </w:rPr>
              <w:t xml:space="preserve">Wilson County only</w:t>
            </w:r>
          </w:p>
        </w:tc>
        <w:tc>
          <w:tcPr>
            <w:tcW w:type="dxa" w:w="1900"/>
          </w:tcPr>
          <w:p>
            <w:pPr>
              <w:jc w:val="center"/>
            </w:pPr>
            <w:r>
              <w:rPr>
                <w:rFonts w:ascii="Arial" w:cs="Arial" w:eastAsia="Arial" w:hAnsi="Arial"/>
                <w:sz w:val="20"/>
                <w:szCs w:val="20"/>
              </w:rPr>
              <w:t xml:space="preserve">5,000 – 6,500</w:t>
            </w:r>
          </w:p>
        </w:tc>
        <w:tc>
          <w:tcPr>
            <w:tcW w:type="dxa" w:w="1900"/>
          </w:tcPr>
          <w:p>
            <w:pPr>
              <w:jc w:val="center"/>
            </w:pPr>
            <w:r>
              <w:rPr>
                <w:rFonts w:ascii="Arial" w:cs="Arial" w:eastAsia="Arial" w:hAnsi="Arial"/>
                <w:sz w:val="20"/>
                <w:szCs w:val="20"/>
              </w:rPr>
              <w:t xml:space="preserve">20 – 26</w:t>
            </w:r>
          </w:p>
        </w:tc>
        <w:tc>
          <w:tcPr>
            <w:tcW w:type="dxa" w:w="2000"/>
          </w:tcPr>
          <w:p>
            <w:pPr>
              <w:jc w:val="center"/>
            </w:pPr>
            <w:r>
              <w:rPr>
                <w:rFonts w:ascii="Arial" w:cs="Arial" w:eastAsia="Arial" w:hAnsi="Arial"/>
                <w:sz w:val="20"/>
                <w:szCs w:val="20"/>
              </w:rPr>
              <w:t xml:space="preserve">40 – 52</w:t>
            </w:r>
          </w:p>
        </w:tc>
      </w:tr>
      <w:tr>
        <w:tc>
          <w:tcPr>
            <w:tcW w:type="dxa" w:w="3200"/>
          </w:tcPr>
          <w:p>
            <w:pPr>
              <w:jc w:val="left"/>
            </w:pPr>
            <w:r>
              <w:rPr>
                <w:rFonts w:ascii="Arial" w:cs="Arial" w:eastAsia="Arial" w:hAnsi="Arial"/>
                <w:sz w:val="20"/>
                <w:szCs w:val="20"/>
              </w:rPr>
              <w:t xml:space="preserve">Wilson + adjacent rural counties</w:t>
            </w:r>
          </w:p>
        </w:tc>
        <w:tc>
          <w:tcPr>
            <w:tcW w:type="dxa" w:w="1900"/>
          </w:tcPr>
          <w:p>
            <w:pPr>
              <w:jc w:val="center"/>
            </w:pPr>
            <w:r>
              <w:rPr>
                <w:rFonts w:ascii="Arial" w:cs="Arial" w:eastAsia="Arial" w:hAnsi="Arial"/>
                <w:sz w:val="20"/>
                <w:szCs w:val="20"/>
              </w:rPr>
              <w:t xml:space="preserve">8,000 – 11,000</w:t>
            </w:r>
          </w:p>
        </w:tc>
        <w:tc>
          <w:tcPr>
            <w:tcW w:type="dxa" w:w="1900"/>
          </w:tcPr>
          <w:p>
            <w:pPr>
              <w:jc w:val="center"/>
            </w:pPr>
            <w:r>
              <w:rPr>
                <w:rFonts w:ascii="Arial" w:cs="Arial" w:eastAsia="Arial" w:hAnsi="Arial"/>
                <w:sz w:val="20"/>
                <w:szCs w:val="20"/>
              </w:rPr>
              <w:t xml:space="preserve">32 – 44</w:t>
            </w:r>
          </w:p>
        </w:tc>
        <w:tc>
          <w:tcPr>
            <w:tcW w:type="dxa" w:w="2000"/>
          </w:tcPr>
          <w:p>
            <w:pPr>
              <w:jc w:val="center"/>
            </w:pPr>
            <w:r>
              <w:rPr>
                <w:rFonts w:ascii="Arial" w:cs="Arial" w:eastAsia="Arial" w:hAnsi="Arial"/>
                <w:sz w:val="20"/>
                <w:szCs w:val="20"/>
              </w:rPr>
              <w:t xml:space="preserve">64 – 88</w:t>
            </w:r>
          </w:p>
        </w:tc>
      </w:tr>
      <w:tr>
        <w:tc>
          <w:tcPr>
            <w:tcW w:type="dxa" w:w="3200"/>
          </w:tcPr>
          <w:p>
            <w:pPr>
              <w:jc w:val="left"/>
            </w:pPr>
            <w:r>
              <w:rPr>
                <w:rFonts w:ascii="Arial" w:cs="Arial" w:eastAsia="Arial" w:hAnsi="Arial"/>
                <w:b/>
                <w:bCs/>
                <w:sz w:val="20"/>
                <w:szCs w:val="20"/>
              </w:rPr>
              <w:t xml:space="preserve">Regional septage hub</w:t>
            </w:r>
          </w:p>
        </w:tc>
        <w:tc>
          <w:tcPr>
            <w:tcW w:type="dxa" w:w="1900"/>
          </w:tcPr>
          <w:p>
            <w:pPr>
              <w:jc w:val="center"/>
            </w:pPr>
            <w:r>
              <w:rPr>
                <w:rFonts w:ascii="Arial" w:cs="Arial" w:eastAsia="Arial" w:hAnsi="Arial"/>
                <w:b/>
                <w:bCs/>
                <w:sz w:val="20"/>
                <w:szCs w:val="20"/>
              </w:rPr>
              <w:t xml:space="preserve">12,000 – 18,000</w:t>
            </w:r>
          </w:p>
        </w:tc>
        <w:tc>
          <w:tcPr>
            <w:tcW w:type="dxa" w:w="1900"/>
          </w:tcPr>
          <w:p>
            <w:pPr>
              <w:jc w:val="center"/>
            </w:pPr>
            <w:r>
              <w:rPr>
                <w:rFonts w:ascii="Arial" w:cs="Arial" w:eastAsia="Arial" w:hAnsi="Arial"/>
                <w:b/>
                <w:bCs/>
                <w:sz w:val="20"/>
                <w:szCs w:val="20"/>
              </w:rPr>
              <w:t xml:space="preserve">48 – 72</w:t>
            </w:r>
          </w:p>
        </w:tc>
        <w:tc>
          <w:tcPr>
            <w:tcW w:type="dxa" w:w="2000"/>
          </w:tcPr>
          <w:p>
            <w:pPr>
              <w:jc w:val="center"/>
            </w:pPr>
            <w:r>
              <w:rPr>
                <w:rFonts w:ascii="Arial" w:cs="Arial" w:eastAsia="Arial" w:hAnsi="Arial"/>
                <w:b/>
                <w:bCs/>
                <w:sz w:val="20"/>
                <w:szCs w:val="20"/>
              </w:rPr>
              <w:t xml:space="preserve">96 – 144</w:t>
            </w:r>
          </w:p>
        </w:tc>
      </w:tr>
    </w:tbl>
    <w:p>
      <w:pPr>
        <w:spacing w:after="160" w:before="80" w:line="300"/>
      </w:pPr>
      <w:r>
        <w:rPr>
          <w:sz w:val="4"/>
          <w:szCs w:val="4"/>
        </w:rPr>
        <w:t xml:space="preserve"/>
      </w:r>
    </w:p>
    <w:p>
      <w:pPr>
        <w:spacing w:after="160" w:before="80" w:line="300"/>
      </w:pPr>
      <w:r>
        <w:rPr>
          <w:rFonts w:ascii="Arial" w:cs="Arial" w:eastAsia="Arial" w:hAnsi="Arial"/>
          <w:sz w:val="22"/>
          <w:szCs w:val="22"/>
        </w:rPr>
        <w:t xml:space="preserve">These figures assume 250 working days per year and exclude inbound construction traffic (an additional, time-limited burden). The regional septage hub scenario reflects the typical operating model for new facilities of this scale in regions lacking competing septage capacity.</w:t>
      </w:r>
    </w:p>
    <w:p>
      <w:pPr>
        <w:spacing w:after="120" w:before="240"/>
      </w:pPr>
      <w:r>
        <w:rPr>
          <w:rFonts w:ascii="Arial" w:cs="Arial" w:eastAsia="Arial" w:hAnsi="Arial"/>
          <w:b/>
          <w:bCs/>
          <w:sz w:val="24"/>
          <w:szCs w:val="24"/>
        </w:rPr>
        <w:t xml:space="preserve">3. Vehicle Specifications and Road Loading</w:t>
      </w:r>
    </w:p>
    <w:p>
      <w:pPr>
        <w:spacing w:after="160" w:before="80" w:line="300"/>
      </w:pPr>
      <w:r>
        <w:rPr>
          <w:rFonts w:ascii="Arial" w:cs="Arial" w:eastAsia="Arial" w:hAnsi="Arial"/>
          <w:sz w:val="22"/>
          <w:szCs w:val="22"/>
        </w:rPr>
        <w:t xml:space="preserve">Vehicle gross weight for typical large-capacity septage / vacuum tankers (4,000-gallon class):</w:t>
      </w:r>
    </w:p>
    <w:p>
      <w:pPr>
        <w:pStyle w:val="ListParagraph"/>
        <w:numPr>
          <w:ilvl w:val="0"/>
          <w:numId w:val="2"/>
        </w:numPr>
        <w:spacing w:after="120" w:before="60" w:line="300"/>
      </w:pPr>
      <w:r>
        <w:rPr>
          <w:rFonts w:ascii="Arial" w:cs="Arial" w:eastAsia="Arial" w:hAnsi="Arial"/>
          <w:sz w:val="22"/>
          <w:szCs w:val="22"/>
        </w:rPr>
        <w:t xml:space="preserve">Payload: 4,000 gallons × 8.6 pounds per gallon ≈ 34,400 pounds</w:t>
      </w:r>
    </w:p>
    <w:p>
      <w:pPr>
        <w:pStyle w:val="ListParagraph"/>
        <w:numPr>
          <w:ilvl w:val="0"/>
          <w:numId w:val="2"/>
        </w:numPr>
        <w:spacing w:after="120" w:before="60" w:line="300"/>
      </w:pPr>
      <w:r>
        <w:rPr>
          <w:rFonts w:ascii="Arial" w:cs="Arial" w:eastAsia="Arial" w:hAnsi="Arial"/>
          <w:sz w:val="22"/>
          <w:szCs w:val="22"/>
        </w:rPr>
        <w:t xml:space="preserve">Empty tractor and tank: approximately 25,000 to 30,000 pounds</w:t>
      </w:r>
    </w:p>
    <w:p>
      <w:pPr>
        <w:pStyle w:val="ListParagraph"/>
        <w:numPr>
          <w:ilvl w:val="0"/>
          <w:numId w:val="2"/>
        </w:numPr>
        <w:spacing w:after="120" w:before="60" w:line="300"/>
      </w:pPr>
      <w:r>
        <w:rPr>
          <w:rFonts w:ascii="Arial" w:cs="Arial" w:eastAsia="Arial" w:hAnsi="Arial"/>
          <w:sz w:val="22"/>
          <w:szCs w:val="22"/>
        </w:rPr>
        <w:t xml:space="preserve">Loaded gross vehicle weight: approximately 60,000 to 65,000 pounds (30 to 33 tons)</w:t>
      </w:r>
    </w:p>
    <w:p>
      <w:pPr>
        <w:spacing w:after="160" w:before="80" w:line="300"/>
      </w:pPr>
      <w:r>
        <w:rPr>
          <w:rFonts w:ascii="Arial" w:cs="Arial" w:eastAsia="Arial" w:hAnsi="Arial"/>
          <w:sz w:val="22"/>
          <w:szCs w:val="22"/>
        </w:rPr>
        <w:t xml:space="preserve">The petitioners note that this corrects an earlier estimate of 40-ton vehicles cited in prior public comments; the accurate figure for fully loaded large septage tankers is approximately 30 tons. The corrected weight remains </w:t>
      </w:r>
      <w:r>
        <w:rPr>
          <w:rFonts w:ascii="Arial" w:cs="Arial" w:eastAsia="Arial" w:hAnsi="Arial"/>
          <w:b/>
          <w:bCs/>
          <w:sz w:val="22"/>
          <w:szCs w:val="22"/>
        </w:rPr>
        <w:t xml:space="preserve">well above the design loading for the existing pavement section on Mann Road and Berea Church Road, </w:t>
      </w:r>
      <w:r>
        <w:rPr>
          <w:rFonts w:ascii="Arial" w:cs="Arial" w:eastAsia="Arial" w:hAnsi="Arial"/>
          <w:sz w:val="22"/>
          <w:szCs w:val="22"/>
        </w:rPr>
        <w:t xml:space="preserve">which were not engineered for repeated heavy multi-axle commercial transit.</w:t>
      </w:r>
    </w:p>
    <w:p>
      <w:pPr>
        <w:spacing w:after="120" w:before="240"/>
      </w:pPr>
      <w:r>
        <w:rPr>
          <w:rFonts w:ascii="Arial" w:cs="Arial" w:eastAsia="Arial" w:hAnsi="Arial"/>
          <w:b/>
          <w:bCs/>
          <w:sz w:val="24"/>
          <w:szCs w:val="24"/>
        </w:rPr>
        <w:t xml:space="preserve">3A. Road Width</w:t>
      </w:r>
    </w:p>
    <w:p>
      <w:pPr>
        <w:spacing w:after="160" w:before="80" w:line="300"/>
      </w:pPr>
      <w:r>
        <w:rPr>
          <w:rFonts w:ascii="Arial" w:cs="Arial" w:eastAsia="Arial" w:hAnsi="Arial"/>
          <w:sz w:val="22"/>
          <w:szCs w:val="22"/>
        </w:rPr>
        <w:t xml:space="preserve">The vehicle weight analysis in Section 3 addresses load-bearing capacity. A second physical constraint — road width — is independently relevant to whether the approach roads can accommodate the traffic volumes projected in Section 2.</w:t>
      </w:r>
    </w:p>
    <w:p>
      <w:pPr>
        <w:spacing w:after="160" w:before="80" w:line="300"/>
      </w:pPr>
      <w:r>
        <w:rPr>
          <w:rFonts w:ascii="Arial" w:cs="Arial" w:eastAsia="Arial" w:hAnsi="Arial"/>
          <w:sz w:val="22"/>
          <w:szCs w:val="22"/>
        </w:rPr>
        <w:t xml:space="preserve">At the June 2, 2026 committee meeting, the city engineer characterized Mann Road as "about 24 ft wide" and acknowledged it "was probably not designed for large dump trucks," with roadway improvements anticipated. Field measurements taken on June 4, 2026 document actual widths at four locations along Mann Road that are materially narrower than the engineer's estimate:</w:t>
      </w:r>
    </w:p>
    <w:p>
      <w:pPr>
        <w:spacing w:after="80" w:before="160"/>
      </w:pPr>
      <w:r>
        <w:rPr>
          <w:rFonts w:ascii="Arial" w:cs="Arial" w:eastAsia="Arial" w:hAnsi="Arial"/>
          <w:b/>
          <w:bCs/>
          <w:sz w:val="22"/>
          <w:szCs w:val="22"/>
        </w:rPr>
        <w:t xml:space="preserve">Exhibit D-1: Mann Road Field Measurements (June 4, 2026)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500"/>
        <w:gridCol w:w="3500"/>
      </w:tblGrid>
      <w:tr>
        <w:tc>
          <w:tcPr>
            <w:tcW w:type="dxa" w:w="5500"/>
          </w:tcPr>
          <w:p>
            <w:pPr>
              <w:jc w:val="left"/>
            </w:pPr>
            <w:r>
              <w:rPr>
                <w:rFonts w:ascii="Arial" w:cs="Arial" w:eastAsia="Arial" w:hAnsi="Arial"/>
                <w:b/>
                <w:bCs/>
                <w:sz w:val="20"/>
                <w:szCs w:val="20"/>
              </w:rPr>
              <w:t xml:space="preserve">Location</w:t>
            </w:r>
          </w:p>
        </w:tc>
        <w:tc>
          <w:tcPr>
            <w:tcW w:type="dxa" w:w="3500"/>
          </w:tcPr>
          <w:p>
            <w:pPr>
              <w:jc w:val="left"/>
            </w:pPr>
            <w:r>
              <w:rPr>
                <w:rFonts w:ascii="Arial" w:cs="Arial" w:eastAsia="Arial" w:hAnsi="Arial"/>
                <w:b/>
                <w:bCs/>
                <w:sz w:val="20"/>
                <w:szCs w:val="20"/>
              </w:rPr>
              <w:t xml:space="preserve">Measured pavement width</w:t>
            </w:r>
          </w:p>
        </w:tc>
      </w:tr>
      <w:tr>
        <w:tc>
          <w:tcPr>
            <w:tcW w:type="dxa" w:w="5500"/>
          </w:tcPr>
          <w:p>
            <w:pPr>
              <w:jc w:val="left"/>
            </w:pPr>
            <w:r>
              <w:rPr>
                <w:rFonts w:ascii="Arial" w:cs="Arial" w:eastAsia="Arial" w:hAnsi="Arial"/>
                <w:sz w:val="20"/>
                <w:szCs w:val="20"/>
              </w:rPr>
              <w:t xml:space="preserve">675 Mann Rd</w:t>
            </w:r>
          </w:p>
        </w:tc>
        <w:tc>
          <w:tcPr>
            <w:tcW w:type="dxa" w:w="3500"/>
          </w:tcPr>
          <w:p>
            <w:pPr>
              <w:jc w:val="left"/>
            </w:pPr>
            <w:r>
              <w:rPr>
                <w:rFonts w:ascii="Arial" w:cs="Arial" w:eastAsia="Arial" w:hAnsi="Arial"/>
                <w:sz w:val="20"/>
                <w:szCs w:val="20"/>
              </w:rPr>
              <w:t xml:space="preserve">18 ft</w:t>
            </w:r>
          </w:p>
        </w:tc>
      </w:tr>
      <w:tr>
        <w:tc>
          <w:tcPr>
            <w:tcW w:type="dxa" w:w="5500"/>
          </w:tcPr>
          <w:p>
            <w:pPr>
              <w:jc w:val="left"/>
            </w:pPr>
            <w:r>
              <w:rPr>
                <w:rFonts w:ascii="Arial" w:cs="Arial" w:eastAsia="Arial" w:hAnsi="Arial"/>
                <w:sz w:val="20"/>
                <w:szCs w:val="20"/>
              </w:rPr>
              <w:t xml:space="preserve">945 Mann Rd</w:t>
            </w:r>
          </w:p>
        </w:tc>
        <w:tc>
          <w:tcPr>
            <w:tcW w:type="dxa" w:w="3500"/>
          </w:tcPr>
          <w:p>
            <w:pPr>
              <w:jc w:val="left"/>
            </w:pPr>
            <w:r>
              <w:rPr>
                <w:rFonts w:ascii="Arial" w:cs="Arial" w:eastAsia="Arial" w:hAnsi="Arial"/>
                <w:sz w:val="20"/>
                <w:szCs w:val="20"/>
              </w:rPr>
              <w:t xml:space="preserve">17 ft</w:t>
            </w:r>
          </w:p>
        </w:tc>
      </w:tr>
      <w:tr>
        <w:tc>
          <w:tcPr>
            <w:tcW w:type="dxa" w:w="5500"/>
          </w:tcPr>
          <w:p>
            <w:pPr>
              <w:jc w:val="left"/>
            </w:pPr>
            <w:r>
              <w:rPr>
                <w:rFonts w:ascii="Arial" w:cs="Arial" w:eastAsia="Arial" w:hAnsi="Arial"/>
                <w:sz w:val="20"/>
                <w:szCs w:val="20"/>
              </w:rPr>
              <w:t xml:space="preserve">1181 Mann Rd</w:t>
            </w:r>
          </w:p>
        </w:tc>
        <w:tc>
          <w:tcPr>
            <w:tcW w:type="dxa" w:w="3500"/>
          </w:tcPr>
          <w:p>
            <w:pPr>
              <w:jc w:val="left"/>
            </w:pPr>
            <w:r>
              <w:rPr>
                <w:rFonts w:ascii="Arial" w:cs="Arial" w:eastAsia="Arial" w:hAnsi="Arial"/>
                <w:sz w:val="20"/>
                <w:szCs w:val="20"/>
              </w:rPr>
              <w:t xml:space="preserve">17 ft</w:t>
            </w:r>
          </w:p>
        </w:tc>
      </w:tr>
      <w:tr>
        <w:tc>
          <w:tcPr>
            <w:tcW w:type="dxa" w:w="5500"/>
          </w:tcPr>
          <w:p>
            <w:pPr>
              <w:jc w:val="left"/>
            </w:pPr>
            <w:r>
              <w:rPr>
                <w:rFonts w:ascii="Arial" w:cs="Arial" w:eastAsia="Arial" w:hAnsi="Arial"/>
                <w:sz w:val="20"/>
                <w:szCs w:val="20"/>
              </w:rPr>
              <w:t xml:space="preserve">1323 Mann Rd</w:t>
            </w:r>
          </w:p>
        </w:tc>
        <w:tc>
          <w:tcPr>
            <w:tcW w:type="dxa" w:w="3500"/>
          </w:tcPr>
          <w:p>
            <w:pPr>
              <w:jc w:val="left"/>
            </w:pPr>
            <w:r>
              <w:rPr>
                <w:rFonts w:ascii="Arial" w:cs="Arial" w:eastAsia="Arial" w:hAnsi="Arial"/>
                <w:sz w:val="20"/>
                <w:szCs w:val="20"/>
              </w:rPr>
              <w:t xml:space="preserve">18 ft</w:t>
            </w:r>
          </w:p>
        </w:tc>
      </w:tr>
    </w:tbl>
    <w:p>
      <w:pPr>
        <w:spacing w:after="160" w:before="80" w:line="300"/>
      </w:pPr>
      <w:r>
        <w:rPr>
          <w:rFonts w:ascii="Arial" w:cs="Arial" w:eastAsia="Arial" w:hAnsi="Arial"/>
          <w:sz w:val="22"/>
          <w:szCs w:val="22"/>
        </w:rPr>
        <w:t xml:space="preserve">These four locations span approximately 0.7 miles of Mann Road. Nothing in the road's topography or construction suggests the measured width is atypical of the corridor as a whole. The measured widths of 17–18 feet are approximately 25–30 percent narrower than the engineer's stated figure.</w:t>
      </w:r>
    </w:p>
    <w:p>
      <w:pPr>
        <w:spacing w:after="160" w:before="80" w:line="300"/>
      </w:pPr>
      <w:r>
        <w:rPr>
          <w:rFonts w:ascii="Arial" w:cs="Arial" w:eastAsia="Arial" w:hAnsi="Arial"/>
          <w:sz w:val="22"/>
          <w:szCs w:val="22"/>
        </w:rPr>
        <w:t xml:space="preserve">A fully loaded large septage tanker (Section 3) is approximately 8.5 feet wide, exclusive of mirrors. At 17–18 feet of pavement, two such vehicles cannot pass without one pulling aside. At the projected frequency of 40–52 vehicle movements per day under the Wilson County scenario (Section 2), this would occur multiple times per hour during peak periods — a safety condition and a practical conversion of a rural residential road into a commercial haul route.</w:t>
      </w:r>
    </w:p>
    <w:p>
      <w:pPr>
        <w:spacing w:after="160" w:before="80" w:line="300"/>
      </w:pPr>
      <w:r>
        <w:rPr>
          <w:rFonts w:ascii="Arial" w:cs="Arial" w:eastAsia="Arial" w:hAnsi="Arial"/>
          <w:sz w:val="22"/>
          <w:szCs w:val="22"/>
        </w:rPr>
        <w:t xml:space="preserve">Road widening sufficient to permit safe two-way commercial traffic — to at least 24 feet of actual pavement with adequate shoulders — is an infrastructure cost that should be included in the site cost analysis for Sites 1 through 7. To the petitioners' knowledge, it currently is not.</w:t>
      </w:r>
    </w:p>
    <w:p>
      <w:pPr>
        <w:spacing w:after="120" w:before="240"/>
      </w:pPr>
      <w:r>
        <w:rPr>
          <w:rFonts w:ascii="Arial" w:cs="Arial" w:eastAsia="Arial" w:hAnsi="Arial"/>
          <w:b/>
          <w:bCs/>
          <w:sz w:val="24"/>
          <w:szCs w:val="24"/>
        </w:rPr>
        <w:t xml:space="preserve">4. Application to the Scoring Matrix</w:t>
      </w:r>
    </w:p>
    <w:p>
      <w:pPr>
        <w:spacing w:after="160" w:before="80" w:line="300"/>
      </w:pPr>
      <w:r>
        <w:rPr>
          <w:rFonts w:ascii="Arial" w:cs="Arial" w:eastAsia="Arial" w:hAnsi="Arial"/>
          <w:sz w:val="22"/>
          <w:szCs w:val="22"/>
        </w:rPr>
        <w:t xml:space="preserve">Septage operations bear directly on three of the five adopted scoring matrix criteria:</w:t>
      </w:r>
    </w:p>
    <w:p>
      <w:pPr>
        <w:pStyle w:val="ListParagraph"/>
        <w:numPr>
          <w:ilvl w:val="0"/>
          <w:numId w:val="2"/>
        </w:numPr>
        <w:spacing w:after="120" w:before="60" w:line="300"/>
      </w:pPr>
      <w:r>
        <w:rPr>
          <w:rFonts w:ascii="Arial" w:cs="Arial" w:eastAsia="Arial" w:hAnsi="Arial"/>
          <w:b/>
          <w:bCs/>
          <w:sz w:val="22"/>
          <w:szCs w:val="22"/>
        </w:rPr>
        <w:t xml:space="preserve">Community Impact (business / property / residential): </w:t>
      </w:r>
      <w:r>
        <w:rPr>
          <w:rFonts w:ascii="Arial" w:cs="Arial" w:eastAsia="Arial" w:hAnsi="Arial"/>
          <w:sz w:val="22"/>
          <w:szCs w:val="22"/>
        </w:rPr>
        <w:t xml:space="preserve">Continuous daily truck traffic past residential property frontages, agricultural operations, and a school transit corridor (the school route serving the broader rural area) constitutes a direct, daily-felt community impact. Sites with rural residential frontage on the approach roads (Sites 1 through 7 generally) score materially worse under this criterion than industrial-adjacent sites.</w:t>
      </w:r>
    </w:p>
    <w:p>
      <w:pPr>
        <w:pStyle w:val="ListParagraph"/>
        <w:numPr>
          <w:ilvl w:val="0"/>
          <w:numId w:val="2"/>
        </w:numPr>
        <w:spacing w:after="120" w:before="60" w:line="300"/>
      </w:pPr>
      <w:r>
        <w:rPr>
          <w:rFonts w:ascii="Arial" w:cs="Arial" w:eastAsia="Arial" w:hAnsi="Arial"/>
          <w:b/>
          <w:bCs/>
          <w:sz w:val="22"/>
          <w:szCs w:val="22"/>
        </w:rPr>
        <w:t xml:space="preserve">Environmental Impact and Permitting: </w:t>
      </w:r>
      <w:r>
        <w:rPr>
          <w:rFonts w:ascii="Arial" w:cs="Arial" w:eastAsia="Arial" w:hAnsi="Arial"/>
          <w:sz w:val="22"/>
          <w:szCs w:val="22"/>
        </w:rPr>
        <w:t xml:space="preserve">A septage receiving station introduces additional permitted point-source emissions (odor, aerosolized pathogens at receiving manifold) and additional regulatory oversight requirements that differ from a non-receiving WWTP.</w:t>
      </w:r>
    </w:p>
    <w:p>
      <w:pPr>
        <w:pStyle w:val="ListParagraph"/>
        <w:numPr>
          <w:ilvl w:val="0"/>
          <w:numId w:val="2"/>
        </w:numPr>
        <w:spacing w:after="120" w:before="60" w:line="300"/>
      </w:pPr>
      <w:r>
        <w:rPr>
          <w:rFonts w:ascii="Arial" w:cs="Arial" w:eastAsia="Arial" w:hAnsi="Arial"/>
          <w:b/>
          <w:bCs/>
          <w:sz w:val="22"/>
          <w:szCs w:val="22"/>
        </w:rPr>
        <w:t xml:space="preserve">Existing Infrastructure: </w:t>
      </w:r>
      <w:r>
        <w:rPr>
          <w:rFonts w:ascii="Arial" w:cs="Arial" w:eastAsia="Arial" w:hAnsi="Arial"/>
          <w:sz w:val="22"/>
          <w:szCs w:val="22"/>
        </w:rPr>
        <w:t xml:space="preserve">The road sub-base on Mann Road, Berea Church Road, and Coles Ferry Pike was not designed for sustained 60,000-pound multi-axle commercial traffic at the volumes projected in Section 2. Road upgrade costs (widening, sub-base reconstruction, and any required eminent domain along the corridor) are infrastructure costs that should be entered into the site cost analysis but, to the petitioners' knowledge, currently are not.</w:t>
      </w:r>
    </w:p>
    <w:p>
      <w:pPr>
        <w:pStyle w:val="ListParagraph"/>
        <w:numPr>
          <w:ilvl w:val="0"/>
          <w:numId w:val="2"/>
        </w:numPr>
        <w:spacing w:after="120" w:before="60" w:line="300"/>
      </w:pPr>
      <w:r>
        <w:rPr>
          <w:rFonts w:ascii="Arial" w:cs="Arial" w:eastAsia="Arial" w:hAnsi="Arial"/>
          <w:b/>
          <w:bCs/>
          <w:sz w:val="22"/>
          <w:szCs w:val="22"/>
        </w:rPr>
        <w:t xml:space="preserve">Service Efficiency: </w:t>
      </w:r>
      <w:r>
        <w:rPr>
          <w:rFonts w:ascii="Arial" w:cs="Arial" w:eastAsia="Arial" w:hAnsi="Arial"/>
          <w:sz w:val="22"/>
          <w:szCs w:val="22"/>
        </w:rPr>
        <w:t xml:space="preserve">If the facility is intended to operate as a regional septage hub serving counties beyond Wilson, that is a material expansion of the "service area" beyond the City of Lebanon's incorporated boundary and should be reflected in the criterion as defined.</w:t>
      </w:r>
    </w:p>
    <w:p>
      <w:pPr>
        <w:spacing w:after="120" w:before="240"/>
      </w:pPr>
      <w:r>
        <w:rPr>
          <w:rFonts w:ascii="Arial" w:cs="Arial" w:eastAsia="Arial" w:hAnsi="Arial"/>
          <w:b/>
          <w:bCs/>
          <w:sz w:val="24"/>
          <w:szCs w:val="24"/>
        </w:rPr>
        <w:t xml:space="preserve">5. Formal Requests for Disclosure</w:t>
      </w:r>
    </w:p>
    <w:p>
      <w:pPr>
        <w:spacing w:after="160" w:before="80" w:line="300"/>
      </w:pPr>
      <w:r>
        <w:rPr>
          <w:rFonts w:ascii="Arial" w:cs="Arial" w:eastAsia="Arial" w:hAnsi="Arial"/>
          <w:sz w:val="22"/>
          <w:szCs w:val="22"/>
        </w:rPr>
        <w:t xml:space="preserve">We respectfully request that the Site Selection Committee, prior to any final ranking vote, enter the following into the public record:</w:t>
      </w:r>
    </w:p>
    <w:p>
      <w:pPr>
        <w:pStyle w:val="ListParagraph"/>
        <w:numPr>
          <w:ilvl w:val="0"/>
          <w:numId w:val="2"/>
        </w:numPr>
        <w:spacing w:after="120" w:before="60" w:line="300"/>
      </w:pPr>
      <w:r>
        <w:rPr>
          <w:rFonts w:ascii="Arial" w:cs="Arial" w:eastAsia="Arial" w:hAnsi="Arial"/>
          <w:b/>
          <w:bCs/>
          <w:sz w:val="22"/>
          <w:szCs w:val="22"/>
        </w:rPr>
        <w:t xml:space="preserve">Where septage receiving operations will be located after the new plant comes online </w:t>
      </w:r>
      <w:r>
        <w:rPr>
          <w:rFonts w:ascii="Arial" w:cs="Arial" w:eastAsia="Arial" w:hAnsi="Arial"/>
          <w:sz w:val="22"/>
          <w:szCs w:val="22"/>
        </w:rPr>
        <w:t xml:space="preserve">— whether at the existing Hartmann Drive facility, at the new plant, or split between the two — and the basis for that determination;</w:t>
      </w:r>
    </w:p>
    <w:p>
      <w:pPr>
        <w:pStyle w:val="ListParagraph"/>
        <w:numPr>
          <w:ilvl w:val="0"/>
          <w:numId w:val="2"/>
        </w:numPr>
        <w:spacing w:after="120" w:before="60" w:line="300"/>
      </w:pPr>
      <w:r>
        <w:rPr>
          <w:rFonts w:ascii="Arial" w:cs="Arial" w:eastAsia="Arial" w:hAnsi="Arial"/>
          <w:sz w:val="22"/>
          <w:szCs w:val="22"/>
        </w:rPr>
        <w:t xml:space="preserve">Written confirmation of whether the design RFP and the consultant's preliminary engineering report specify, contemplate, or design for septage receiving capability at the new facility;</w:t>
      </w:r>
    </w:p>
    <w:p>
      <w:pPr>
        <w:pStyle w:val="ListParagraph"/>
        <w:numPr>
          <w:ilvl w:val="0"/>
          <w:numId w:val="2"/>
        </w:numPr>
        <w:spacing w:after="120" w:before="60" w:line="300"/>
      </w:pPr>
      <w:r>
        <w:rPr>
          <w:rFonts w:ascii="Arial" w:cs="Arial" w:eastAsia="Arial" w:hAnsi="Arial"/>
          <w:sz w:val="22"/>
          <w:szCs w:val="22"/>
        </w:rPr>
        <w:t xml:space="preserve">If septage receiving is specified at the new facility, the projected daily truck volume on which the design is based, and the source of that projection;</w:t>
      </w:r>
    </w:p>
    <w:p>
      <w:pPr>
        <w:pStyle w:val="ListParagraph"/>
        <w:numPr>
          <w:ilvl w:val="0"/>
          <w:numId w:val="2"/>
        </w:numPr>
        <w:spacing w:after="120" w:before="60" w:line="300"/>
      </w:pPr>
      <w:r>
        <w:rPr>
          <w:rFonts w:ascii="Arial" w:cs="Arial" w:eastAsia="Arial" w:hAnsi="Arial"/>
          <w:sz w:val="22"/>
          <w:szCs w:val="22"/>
        </w:rPr>
        <w:t xml:space="preserve">The planned hours of operation of the septage receiving station at whichever facility receives the trucks, including weekend and after-hours access;</w:t>
      </w:r>
    </w:p>
    <w:p>
      <w:pPr>
        <w:pStyle w:val="ListParagraph"/>
        <w:numPr>
          <w:ilvl w:val="0"/>
          <w:numId w:val="2"/>
        </w:numPr>
        <w:spacing w:after="120" w:before="60" w:line="300"/>
      </w:pPr>
      <w:r>
        <w:rPr>
          <w:rFonts w:ascii="Arial" w:cs="Arial" w:eastAsia="Arial" w:hAnsi="Arial"/>
          <w:sz w:val="22"/>
          <w:szCs w:val="22"/>
        </w:rPr>
        <w:t xml:space="preserve">A road sub-base condition assessment for the approach roads to whichever site receives septage trucks, and the estimated cost of road improvements required to accommodate the projected traffic; and</w:t>
      </w:r>
    </w:p>
    <w:p>
      <w:pPr>
        <w:pStyle w:val="ListParagraph"/>
        <w:numPr>
          <w:ilvl w:val="0"/>
          <w:numId w:val="2"/>
        </w:numPr>
        <w:spacing w:after="120" w:before="60" w:line="300"/>
      </w:pPr>
      <w:r>
        <w:rPr>
          <w:rFonts w:ascii="Arial" w:cs="Arial" w:eastAsia="Arial" w:hAnsi="Arial"/>
          <w:sz w:val="22"/>
          <w:szCs w:val="22"/>
        </w:rPr>
        <w:t xml:space="preserve">A noise and air-quality impact analysis for sites within one-quarter mile of existing residences, prepared by a qualified third party.</w:t>
      </w:r>
    </w:p>
    <w:p>
      <w:pPr>
        <w:spacing w:after="160" w:before="80" w:line="300"/>
      </w:pPr>
      <w:r>
        <w:rPr>
          <w:rFonts w:ascii="Arial" w:cs="Arial" w:eastAsia="Arial" w:hAnsi="Arial"/>
          <w:b/>
          <w:bCs/>
          <w:sz w:val="22"/>
          <w:szCs w:val="22"/>
        </w:rPr>
        <w:t xml:space="preserve">Failure to enter these items into the public record before scoring constitutes scoring without data. </w:t>
      </w:r>
      <w:r>
        <w:rPr>
          <w:rFonts w:ascii="Arial" w:cs="Arial" w:eastAsia="Arial" w:hAnsi="Arial"/>
          <w:sz w:val="22"/>
          <w:szCs w:val="22"/>
        </w:rPr>
        <w:t xml:space="preserve">The committee should not advance any site to the short list while these material inputs remain undisclosed.</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 (Appendix D)</w:t>
      </w:r>
    </w:p>
    <w:p>
      <w:r>
        <w:br w:type="page"/>
      </w:r>
    </w:p>
    <w:p>
      <w:pPr>
        <w:spacing w:after="80"/>
        <w:jc w:val="center"/>
      </w:pPr>
      <w:r>
        <w:rPr>
          <w:rFonts w:ascii="Arial" w:cs="Arial" w:eastAsia="Arial" w:hAnsi="Arial"/>
          <w:b/>
          <w:bCs/>
          <w:sz w:val="28"/>
          <w:szCs w:val="28"/>
        </w:rPr>
        <w:t xml:space="preserve">SUPPLEMENTAL NOTE — APPENDIX E</w:t>
      </w:r>
    </w:p>
    <w:p>
      <w:pPr>
        <w:spacing w:after="360"/>
        <w:jc w:val="center"/>
      </w:pPr>
      <w:r>
        <w:rPr>
          <w:rFonts w:ascii="Arial" w:cs="Arial" w:eastAsia="Arial" w:hAnsi="Arial"/>
          <w:b/>
          <w:bCs/>
          <w:sz w:val="24"/>
          <w:szCs w:val="24"/>
        </w:rPr>
        <w:t xml:space="preserve">Effluent Force Main Reclassification: Engineering Risks of Repurposing F1 and F2 to Carry Raw Sewage</w:t>
      </w:r>
    </w:p>
    <w:p>
      <w:pPr>
        <w:spacing w:after="160" w:before="80" w:line="300"/>
      </w:pPr>
      <w:r>
        <w:rPr>
          <w:rFonts w:ascii="Arial" w:cs="Arial" w:eastAsia="Arial" w:hAnsi="Arial"/>
          <w:sz w:val="22"/>
          <w:szCs w:val="22"/>
        </w:rPr>
        <w:t xml:space="preserve">This appendix addresses the engineering and regulatory consequences of the proposed change in function of the existing 30-inch effluent force mains (designated here as F1 and F2) that run from the Hartmann Drive Wastewater Treatment Plant to a convergence point near the top of Berea Church Road and continue as a single line to the Cumberland River outfall near Bartons Creek.</w:t>
      </w:r>
    </w:p>
    <w:p>
      <w:pPr>
        <w:spacing w:after="120" w:before="240"/>
      </w:pPr>
      <w:r>
        <w:rPr>
          <w:rFonts w:ascii="Arial" w:cs="Arial" w:eastAsia="Arial" w:hAnsi="Arial"/>
          <w:b/>
          <w:bCs/>
          <w:sz w:val="24"/>
          <w:szCs w:val="24"/>
        </w:rPr>
        <w:t xml:space="preserve">1. Basis for This Appendix</w:t>
      </w:r>
    </w:p>
    <w:p>
      <w:pPr>
        <w:spacing w:after="160" w:before="80" w:line="300"/>
      </w:pPr>
      <w:r>
        <w:rPr>
          <w:rFonts w:ascii="Arial" w:cs="Arial" w:eastAsia="Arial" w:hAnsi="Arial"/>
          <w:sz w:val="22"/>
          <w:szCs w:val="22"/>
        </w:rPr>
        <w:t xml:space="preserve">During the Wastewater Treatment Plant Site Selection Committee meeting of May 27, 2026, the city engineer described a per-site infrastructure cost methodology based exclusively on the linear distance from each candidate site to the nearest point of the existing F1/F2 force main corridor. At minute 18:39 of the recorded proceedings:</w:t>
      </w:r>
    </w:p>
    <w:p>
      <w:pPr>
        <w:spacing w:after="160" w:before="80" w:line="300"/>
      </w:pPr>
      <w:r>
        <w:rPr>
          <w:rFonts w:ascii="Arial" w:cs="Arial" w:eastAsia="Arial" w:hAnsi="Arial"/>
          <w:i/>
          <w:iCs/>
          <w:sz w:val="22"/>
          <w:szCs w:val="22"/>
        </w:rPr>
        <w:t xml:space="preserve">"...the estimated price right now talking to contractors on a 36 inch pipe is $1,000 a foot. You got to run it there and you got to run it back and you got to do it for two different pipes. So it's $4,000 a foot every time you get a foot away from these existing force mains."</w:t>
      </w:r>
    </w:p>
    <w:p>
      <w:pPr>
        <w:spacing w:after="160" w:before="80" w:line="300"/>
      </w:pPr>
      <w:r>
        <w:rPr>
          <w:rFonts w:ascii="Arial" w:cs="Arial" w:eastAsia="Arial" w:hAnsi="Arial"/>
          <w:sz w:val="22"/>
          <w:szCs w:val="22"/>
        </w:rPr>
        <w:t xml:space="preserve">This cost model includes:</w:t>
      </w:r>
    </w:p>
    <w:p>
      <w:pPr>
        <w:pStyle w:val="ListParagraph"/>
        <w:numPr>
          <w:ilvl w:val="0"/>
          <w:numId w:val="2"/>
        </w:numPr>
        <w:spacing w:after="120" w:before="60" w:line="300"/>
      </w:pPr>
      <w:r>
        <w:rPr>
          <w:rFonts w:ascii="Arial" w:cs="Arial" w:eastAsia="Arial" w:hAnsi="Arial"/>
          <w:sz w:val="22"/>
          <w:szCs w:val="22"/>
        </w:rPr>
        <w:t xml:space="preserve">A new pipe "over" — from the existing force main corridor to the new plant;</w:t>
      </w:r>
    </w:p>
    <w:p>
      <w:pPr>
        <w:pStyle w:val="ListParagraph"/>
        <w:numPr>
          <w:ilvl w:val="0"/>
          <w:numId w:val="2"/>
        </w:numPr>
        <w:spacing w:after="120" w:before="60" w:line="300"/>
      </w:pPr>
      <w:r>
        <w:rPr>
          <w:rFonts w:ascii="Arial" w:cs="Arial" w:eastAsia="Arial" w:hAnsi="Arial"/>
          <w:sz w:val="22"/>
          <w:szCs w:val="22"/>
        </w:rPr>
        <w:t xml:space="preserve">A new pipe "back" — from the new plant to the existing force main corridor;</w:t>
      </w:r>
    </w:p>
    <w:p>
      <w:pPr>
        <w:pStyle w:val="ListParagraph"/>
        <w:numPr>
          <w:ilvl w:val="0"/>
          <w:numId w:val="2"/>
        </w:numPr>
        <w:spacing w:after="120" w:before="60" w:line="300"/>
      </w:pPr>
      <w:r>
        <w:rPr>
          <w:rFonts w:ascii="Arial" w:cs="Arial" w:eastAsia="Arial" w:hAnsi="Arial"/>
          <w:sz w:val="22"/>
          <w:szCs w:val="22"/>
        </w:rPr>
        <w:t xml:space="preserve">A doubling factor when the candidate site is upstream of the F1/F2 convergence (requiring connections to both lines).</w:t>
      </w:r>
    </w:p>
    <w:p>
      <w:pPr>
        <w:spacing w:after="160" w:before="80" w:line="300"/>
      </w:pPr>
      <w:r>
        <w:rPr>
          <w:rFonts w:ascii="Arial" w:cs="Arial" w:eastAsia="Arial" w:hAnsi="Arial"/>
          <w:b/>
          <w:bCs/>
          <w:sz w:val="22"/>
          <w:szCs w:val="22"/>
        </w:rPr>
        <w:t xml:space="preserve">The cost model does not include any pipe segment from the existing Hartmann Drive plant to the new plant site.</w:t>
      </w:r>
      <w:r>
        <w:rPr>
          <w:rFonts w:ascii="Arial" w:cs="Arial" w:eastAsia="Arial" w:hAnsi="Arial"/>
          <w:sz w:val="22"/>
          <w:szCs w:val="22"/>
        </w:rPr>
        <w:t xml:space="preserve"> This omission is dispositive. If a new long-distance raw-sewage force main were being constructed alongside F1/F2 to convey raw sewage from Hartmann to the new plant, that pipe would dominate the cost analysis. It does not appear anywhere in the cost framework presented to the committee.</w:t>
      </w:r>
    </w:p>
    <w:p>
      <w:pPr>
        <w:spacing w:after="160" w:before="80" w:line="300"/>
      </w:pPr>
      <w:r>
        <w:rPr>
          <w:rFonts w:ascii="Arial" w:cs="Arial" w:eastAsia="Arial" w:hAnsi="Arial"/>
          <w:sz w:val="22"/>
          <w:szCs w:val="22"/>
        </w:rPr>
        <w:t xml:space="preserve">The only configuration consistent with the engineer's cost model is one in which the existing F1 and F2 lines — currently carrying treated effluent — are </w:t>
      </w:r>
      <w:r>
        <w:rPr>
          <w:rFonts w:ascii="Arial" w:cs="Arial" w:eastAsia="Arial" w:hAnsi="Arial"/>
          <w:b/>
          <w:bCs/>
          <w:sz w:val="22"/>
          <w:szCs w:val="22"/>
        </w:rPr>
        <w:t xml:space="preserve">repurposed upstream of the new plant's tangent point to carry raw sewage</w:t>
      </w:r>
      <w:r>
        <w:rPr>
          <w:rFonts w:ascii="Arial" w:cs="Arial" w:eastAsia="Arial" w:hAnsi="Arial"/>
          <w:sz w:val="22"/>
          <w:szCs w:val="22"/>
        </w:rPr>
        <w:t xml:space="preserve"> from Hartmann Drive to that tangent point. The "over" pipe diverts that raw sewage from F1/F2 into the new plant; the "back" pipe returns treated effluent from the new plant into F1/F2; and F1/F2 downstream of the tangent point continues its existing function carrying treated effluent to the Cumberland River outfall.</w:t>
      </w:r>
    </w:p>
    <w:p>
      <w:pPr>
        <w:spacing w:after="160" w:before="80" w:line="300"/>
      </w:pPr>
      <w:r>
        <w:rPr>
          <w:rFonts w:ascii="Arial" w:cs="Arial" w:eastAsia="Arial" w:hAnsi="Arial"/>
          <w:sz w:val="22"/>
          <w:szCs w:val="22"/>
        </w:rPr>
        <w:t xml:space="preserve">While the operational concept of converting the existing Hartmann Drive plant to a pump station was referenced during the May 27, 2026 committee meeting, </w:t>
      </w:r>
      <w:r>
        <w:rPr>
          <w:rFonts w:ascii="Arial" w:cs="Arial" w:eastAsia="Arial" w:hAnsi="Arial"/>
          <w:b/>
          <w:bCs/>
          <w:sz w:val="22"/>
          <w:szCs w:val="22"/>
        </w:rPr>
        <w:t xml:space="preserve">the functional reclassification this implies — of the existing F1/F2 force mains from treated-effluent outfall lines to raw-sewage conveyance lines upstream of each candidate site's tangent point — has not, to the petitioners' knowledge, been formally documented in the public record with the engineering and regulatory detail required for committee scoring. </w:t>
      </w:r>
      <w:r>
        <w:rPr>
          <w:rFonts w:ascii="Arial" w:cs="Arial" w:eastAsia="Arial" w:hAnsi="Arial"/>
          <w:sz w:val="22"/>
          <w:szCs w:val="22"/>
        </w:rPr>
        <w:t xml:space="preserve">The engineering, public health, and regulatory consequences of this reclassification are addressed below.</w:t>
      </w:r>
    </w:p>
    <w:p>
      <w:pPr>
        <w:spacing w:after="120" w:before="240"/>
      </w:pPr>
      <w:r>
        <w:rPr>
          <w:rFonts w:ascii="Arial" w:cs="Arial" w:eastAsia="Arial" w:hAnsi="Arial"/>
          <w:b/>
          <w:bCs/>
          <w:sz w:val="24"/>
          <w:szCs w:val="24"/>
        </w:rPr>
        <w:t xml:space="preserve">2. Engineering Risk Categories</w:t>
      </w:r>
    </w:p>
    <w:p>
      <w:pPr>
        <w:spacing w:after="160" w:before="80" w:line="300"/>
      </w:pPr>
      <w:r>
        <w:rPr>
          <w:rFonts w:ascii="Arial" w:cs="Arial" w:eastAsia="Arial" w:hAnsi="Arial"/>
          <w:sz w:val="22"/>
          <w:szCs w:val="22"/>
        </w:rPr>
        <w:t xml:space="preserve">The chemical, physical, and operational profile of raw sewage differs materially from that of treated effluent. The existing F1 and F2 force mains were specified, sized, and permitted for treated effluent service. Reuse of these mains for raw sewage upstream of the new plant introduces the following well-documented failure modes:</w:t>
      </w:r>
    </w:p>
    <w:p>
      <w:pPr>
        <w:pStyle w:val="ListParagraph"/>
        <w:numPr>
          <w:ilvl w:val="0"/>
          <w:numId w:val="2"/>
        </w:numPr>
        <w:spacing w:after="120" w:before="60" w:line="300"/>
      </w:pPr>
      <w:r>
        <w:rPr>
          <w:rFonts w:ascii="Arial" w:cs="Arial" w:eastAsia="Arial" w:hAnsi="Arial"/>
          <w:b/>
          <w:bCs/>
          <w:sz w:val="22"/>
          <w:szCs w:val="22"/>
        </w:rPr>
        <w:t xml:space="preserve">Hydrogen sulfide crown corrosion. </w:t>
      </w:r>
      <w:r>
        <w:rPr>
          <w:rFonts w:ascii="Arial" w:cs="Arial" w:eastAsia="Arial" w:hAnsi="Arial"/>
          <w:sz w:val="22"/>
          <w:szCs w:val="22"/>
        </w:rPr>
        <w:t xml:space="preserve">Raw sewage in conveyance pipes generates hydrogen sulfide gas, which oxidizes on the upper interior pipe surface into sulfuric acid. This phenomenon is the single most common failure mode of sanitary force mains and is generally absent in treated effluent lines. Without intervening engineering analysis, there is no basis to conclude that the existing pipe's material composition and remaining wall thickness will tolerate this exposure over the intended 50-year service life of the new facility.</w:t>
      </w:r>
    </w:p>
    <w:p>
      <w:pPr>
        <w:pStyle w:val="ListParagraph"/>
        <w:numPr>
          <w:ilvl w:val="0"/>
          <w:numId w:val="2"/>
        </w:numPr>
        <w:spacing w:after="120" w:before="60" w:line="300"/>
      </w:pPr>
      <w:r>
        <w:rPr>
          <w:rFonts w:ascii="Arial" w:cs="Arial" w:eastAsia="Arial" w:hAnsi="Arial"/>
          <w:b/>
          <w:bCs/>
          <w:sz w:val="22"/>
          <w:szCs w:val="22"/>
        </w:rPr>
        <w:t xml:space="preserve">Solids deposition and blockage. </w:t>
      </w:r>
      <w:r>
        <w:rPr>
          <w:rFonts w:ascii="Arial" w:cs="Arial" w:eastAsia="Arial" w:hAnsi="Arial"/>
          <w:sz w:val="22"/>
          <w:szCs w:val="22"/>
        </w:rPr>
        <w:t xml:space="preserve">Treated effluent is functionally water. Raw sewage transports grease, fibers, plastics, and grit, all of which deposit in low-velocity zones, accumulate over time, and create both flow restriction and anaerobic micro-environments that further accelerate hydrogen sulfide generation.</w:t>
      </w:r>
    </w:p>
    <w:p>
      <w:pPr>
        <w:pStyle w:val="ListParagraph"/>
        <w:numPr>
          <w:ilvl w:val="0"/>
          <w:numId w:val="2"/>
        </w:numPr>
        <w:spacing w:after="120" w:before="60" w:line="300"/>
      </w:pPr>
      <w:r>
        <w:rPr>
          <w:rFonts w:ascii="Arial" w:cs="Arial" w:eastAsia="Arial" w:hAnsi="Arial"/>
          <w:b/>
          <w:bCs/>
          <w:sz w:val="22"/>
          <w:szCs w:val="22"/>
        </w:rPr>
        <w:t xml:space="preserve">Pressure regime mismatch. </w:t>
      </w:r>
      <w:r>
        <w:rPr>
          <w:rFonts w:ascii="Arial" w:cs="Arial" w:eastAsia="Arial" w:hAnsi="Arial"/>
          <w:sz w:val="22"/>
          <w:szCs w:val="22"/>
        </w:rPr>
        <w:t xml:space="preserve">Outfall pipes typically operate under gravity flow or low pressure. Raw-sewage force mains operate at materially higher pressures and experience cyclic surge events (water hammer) when lift pumps cycle. The pressure rating, joint integrity, and bedding of the existing F1/F2 lines were specified for treated-effluent service, not for the proposed sanitary force main service.</w:t>
      </w:r>
    </w:p>
    <w:p>
      <w:pPr>
        <w:pStyle w:val="ListParagraph"/>
        <w:numPr>
          <w:ilvl w:val="0"/>
          <w:numId w:val="2"/>
        </w:numPr>
        <w:spacing w:after="120" w:before="60" w:line="300"/>
      </w:pPr>
      <w:r>
        <w:rPr>
          <w:rFonts w:ascii="Arial" w:cs="Arial" w:eastAsia="Arial" w:hAnsi="Arial"/>
          <w:b/>
          <w:bCs/>
          <w:sz w:val="22"/>
          <w:szCs w:val="22"/>
        </w:rPr>
        <w:t xml:space="preserve">Pump dependency and failure mode. </w:t>
      </w:r>
      <w:r>
        <w:rPr>
          <w:rFonts w:ascii="Arial" w:cs="Arial" w:eastAsia="Arial" w:hAnsi="Arial"/>
          <w:sz w:val="22"/>
          <w:szCs w:val="22"/>
        </w:rPr>
        <w:t xml:space="preserve">A gravity-fed effluent outfall continues to flow during an electrical outage. A pressurized raw-sewage force main does not — and the consequences of a failed pumping event are backup, manhole overflow, and surface discharge along the pipe route. This is a fundamental change in failure consequence, not merely failure probability.</w:t>
      </w:r>
    </w:p>
    <w:p>
      <w:pPr>
        <w:spacing w:after="120" w:before="240"/>
      </w:pPr>
      <w:r>
        <w:rPr>
          <w:rFonts w:ascii="Arial" w:cs="Arial" w:eastAsia="Arial" w:hAnsi="Arial"/>
          <w:b/>
          <w:bCs/>
          <w:sz w:val="24"/>
          <w:szCs w:val="24"/>
        </w:rPr>
        <w:t xml:space="preserve">3. Consequence-of-Failure Asymmetry</w:t>
      </w:r>
    </w:p>
    <w:p>
      <w:pPr>
        <w:spacing w:after="160" w:before="80" w:line="300"/>
      </w:pPr>
      <w:r>
        <w:rPr>
          <w:rFonts w:ascii="Arial" w:cs="Arial" w:eastAsia="Arial" w:hAnsi="Arial"/>
          <w:sz w:val="22"/>
          <w:szCs w:val="22"/>
        </w:rPr>
        <w:t xml:space="preserve">The most consequential change is not the probability of pipe failure but the nature of what is released when failure occurs. Under the existing configuration, a rupture of F1 or F2 discharges treated effluent — an environmental nuisance subject to remediation. Under the proposed configuration, the same physical pipe rupture, anywhere upstream of the new plant's tangent point, discharges pathogenic raw sewage containing E. coli, hepatitis viruses, cryptosporidium, norovirus, and the full chemical and microbiological load of the upstream collection system. The location of any such rupture is consequential:</w:t>
      </w:r>
    </w:p>
    <w:p>
      <w:pPr>
        <w:pStyle w:val="ListParagraph"/>
        <w:numPr>
          <w:ilvl w:val="0"/>
          <w:numId w:val="2"/>
        </w:numPr>
        <w:spacing w:after="120" w:before="60" w:line="300"/>
      </w:pPr>
      <w:r>
        <w:rPr>
          <w:rFonts w:ascii="Arial" w:cs="Arial" w:eastAsia="Arial" w:hAnsi="Arial"/>
          <w:b/>
          <w:bCs/>
          <w:sz w:val="22"/>
          <w:szCs w:val="22"/>
        </w:rPr>
        <w:t xml:space="preserve">A rupture within the karst limestone formation </w:t>
      </w:r>
      <w:r>
        <w:rPr>
          <w:rFonts w:ascii="Arial" w:cs="Arial" w:eastAsia="Arial" w:hAnsi="Arial"/>
          <w:sz w:val="22"/>
          <w:szCs w:val="22"/>
        </w:rPr>
        <w:t xml:space="preserve">releases pathogenic discharge directly into the aquifer system with no intervening soil filtration. The 38 documented private wells mapped in Appendix C, Exhibit C-1, and the LaGuardo Utility District karst-well intake described in Appendix C, become direct exposure pathways.</w:t>
      </w:r>
    </w:p>
    <w:p>
      <w:pPr>
        <w:pStyle w:val="ListParagraph"/>
        <w:numPr>
          <w:ilvl w:val="0"/>
          <w:numId w:val="2"/>
        </w:numPr>
        <w:spacing w:after="120" w:before="60" w:line="300"/>
      </w:pPr>
      <w:r>
        <w:rPr>
          <w:rFonts w:ascii="Arial" w:cs="Arial" w:eastAsia="Arial" w:hAnsi="Arial"/>
          <w:b/>
          <w:bCs/>
          <w:sz w:val="22"/>
          <w:szCs w:val="22"/>
        </w:rPr>
        <w:t xml:space="preserve">A rupture proximate to Bartons Creek or any Cumberland tributary </w:t>
      </w:r>
      <w:r>
        <w:rPr>
          <w:rFonts w:ascii="Arial" w:cs="Arial" w:eastAsia="Arial" w:hAnsi="Arial"/>
          <w:sz w:val="22"/>
          <w:szCs w:val="22"/>
        </w:rPr>
        <w:t xml:space="preserve">discharges directly into the surface water system.</w:t>
      </w:r>
    </w:p>
    <w:p>
      <w:pPr>
        <w:pStyle w:val="ListParagraph"/>
        <w:numPr>
          <w:ilvl w:val="0"/>
          <w:numId w:val="2"/>
        </w:numPr>
        <w:spacing w:after="120" w:before="60" w:line="300"/>
      </w:pPr>
      <w:r>
        <w:rPr>
          <w:rFonts w:ascii="Arial" w:cs="Arial" w:eastAsia="Arial" w:hAnsi="Arial"/>
          <w:b/>
          <w:bCs/>
          <w:sz w:val="22"/>
          <w:szCs w:val="22"/>
        </w:rPr>
        <w:t xml:space="preserve">A rupture along any residential corridor </w:t>
      </w:r>
      <w:r>
        <w:rPr>
          <w:rFonts w:ascii="Arial" w:cs="Arial" w:eastAsia="Arial" w:hAnsi="Arial"/>
          <w:sz w:val="22"/>
          <w:szCs w:val="22"/>
        </w:rPr>
        <w:t xml:space="preserve">through which F1 and F2 pass exposes residents who, at the time of original outfall permitting, accepted only the risk of treated-effluent leakage in their proximity.</w:t>
      </w:r>
    </w:p>
    <w:p>
      <w:pPr>
        <w:spacing w:after="120" w:before="240"/>
      </w:pPr>
      <w:r>
        <w:rPr>
          <w:rFonts w:ascii="Arial" w:cs="Arial" w:eastAsia="Arial" w:hAnsi="Arial"/>
          <w:b/>
          <w:bCs/>
          <w:sz w:val="24"/>
          <w:szCs w:val="24"/>
        </w:rPr>
        <w:t xml:space="preserve">4. Regulatory Reclassification Requirement</w:t>
      </w:r>
    </w:p>
    <w:p>
      <w:pPr>
        <w:spacing w:after="160" w:before="80" w:line="300"/>
      </w:pPr>
      <w:r>
        <w:rPr>
          <w:rFonts w:ascii="Arial" w:cs="Arial" w:eastAsia="Arial" w:hAnsi="Arial"/>
          <w:sz w:val="22"/>
          <w:szCs w:val="22"/>
        </w:rPr>
        <w:t xml:space="preserve">F1 and F2 are currently permitted under the City of Lebanon's NPDES discharge permit as components of a treated-effluent outfall (Outfall 001). Operation of these lines, in part, as a sanitary sewer force main is a distinct regulatory category under TDEC. Reclassification of an existing structure between these categories is not a clerical adjustment. It requires, at minimum:</w:t>
      </w:r>
    </w:p>
    <w:p>
      <w:pPr>
        <w:pStyle w:val="ListParagraph"/>
        <w:numPr>
          <w:ilvl w:val="0"/>
          <w:numId w:val="2"/>
        </w:numPr>
        <w:spacing w:after="120" w:before="60" w:line="300"/>
      </w:pPr>
      <w:r>
        <w:rPr>
          <w:rFonts w:ascii="Arial" w:cs="Arial" w:eastAsia="Arial" w:hAnsi="Arial"/>
          <w:sz w:val="22"/>
          <w:szCs w:val="22"/>
        </w:rPr>
        <w:t xml:space="preserve">A new or substantially modified permit application reflecting the changed use of the upstream segment;</w:t>
      </w:r>
    </w:p>
    <w:p>
      <w:pPr>
        <w:pStyle w:val="ListParagraph"/>
        <w:numPr>
          <w:ilvl w:val="0"/>
          <w:numId w:val="2"/>
        </w:numPr>
        <w:spacing w:after="120" w:before="60" w:line="300"/>
      </w:pPr>
      <w:r>
        <w:rPr>
          <w:rFonts w:ascii="Arial" w:cs="Arial" w:eastAsia="Arial" w:hAnsi="Arial"/>
          <w:sz w:val="22"/>
          <w:szCs w:val="22"/>
        </w:rPr>
        <w:t xml:space="preserve">An engineering certification that the existing pipe, in its current condition, meets the design and safety requirements applicable to a sanitary sewer force main;</w:t>
      </w:r>
    </w:p>
    <w:p>
      <w:pPr>
        <w:pStyle w:val="ListParagraph"/>
        <w:numPr>
          <w:ilvl w:val="0"/>
          <w:numId w:val="2"/>
        </w:numPr>
        <w:spacing w:after="120" w:before="60" w:line="300"/>
      </w:pPr>
      <w:r>
        <w:rPr>
          <w:rFonts w:ascii="Arial" w:cs="Arial" w:eastAsia="Arial" w:hAnsi="Arial"/>
          <w:sz w:val="22"/>
          <w:szCs w:val="22"/>
        </w:rPr>
        <w:t xml:space="preserve">Public notice and comment period appropriate to the reclassified use; and</w:t>
      </w:r>
    </w:p>
    <w:p>
      <w:pPr>
        <w:pStyle w:val="ListParagraph"/>
        <w:numPr>
          <w:ilvl w:val="0"/>
          <w:numId w:val="2"/>
        </w:numPr>
        <w:spacing w:after="120" w:before="60" w:line="300"/>
      </w:pPr>
      <w:r>
        <w:rPr>
          <w:rFonts w:ascii="Arial" w:cs="Arial" w:eastAsia="Arial" w:hAnsi="Arial"/>
          <w:sz w:val="22"/>
          <w:szCs w:val="22"/>
        </w:rPr>
        <w:t xml:space="preserve">TDEC review and approval prior to operational changeover.</w:t>
      </w:r>
    </w:p>
    <w:p>
      <w:pPr>
        <w:spacing w:after="160" w:before="80" w:line="300"/>
      </w:pPr>
      <w:r>
        <w:rPr>
          <w:rFonts w:ascii="Arial" w:cs="Arial" w:eastAsia="Arial" w:hAnsi="Arial"/>
          <w:sz w:val="22"/>
          <w:szCs w:val="22"/>
        </w:rPr>
        <w:t xml:space="preserve">To the petitioners' knowledge, none of this regulatory process has been initiated, disclosed, or scheduled. </w:t>
      </w:r>
      <w:r>
        <w:rPr>
          <w:rFonts w:ascii="Arial" w:cs="Arial" w:eastAsia="Arial" w:hAnsi="Arial"/>
          <w:b/>
          <w:bCs/>
          <w:sz w:val="22"/>
          <w:szCs w:val="22"/>
        </w:rPr>
        <w:t xml:space="preserve">The committee should not authorize a site selection that presupposes a regulatory action that has not occurred.</w:t>
      </w:r>
    </w:p>
    <w:p>
      <w:pPr>
        <w:spacing w:after="120" w:before="240"/>
      </w:pPr>
      <w:r>
        <w:rPr>
          <w:rFonts w:ascii="Arial" w:cs="Arial" w:eastAsia="Arial" w:hAnsi="Arial"/>
          <w:b/>
          <w:bCs/>
          <w:sz w:val="24"/>
          <w:szCs w:val="24"/>
        </w:rPr>
        <w:t xml:space="preserve">5. Information the City Has Not Disclosed</w:t>
      </w:r>
    </w:p>
    <w:p>
      <w:pPr>
        <w:spacing w:after="160" w:before="80" w:line="300"/>
      </w:pPr>
      <w:r>
        <w:rPr>
          <w:rFonts w:ascii="Arial" w:cs="Arial" w:eastAsia="Arial" w:hAnsi="Arial"/>
          <w:sz w:val="22"/>
          <w:szCs w:val="22"/>
        </w:rPr>
        <w:t xml:space="preserve">A responsible siting decision cannot proceed without the following items being entered into the public record:</w:t>
      </w:r>
    </w:p>
    <w:p>
      <w:pPr>
        <w:pStyle w:val="ListParagraph"/>
        <w:numPr>
          <w:ilvl w:val="0"/>
          <w:numId w:val="2"/>
        </w:numPr>
        <w:spacing w:after="120" w:before="60" w:line="300"/>
      </w:pPr>
      <w:r>
        <w:rPr>
          <w:rFonts w:ascii="Arial" w:cs="Arial" w:eastAsia="Arial" w:hAnsi="Arial"/>
          <w:sz w:val="22"/>
          <w:szCs w:val="22"/>
        </w:rPr>
        <w:t xml:space="preserve">The original installation date, material composition (e.g., concrete, ductile iron, PVC, asbestos cement), and design pressure rating of F1 and F2;</w:t>
      </w:r>
    </w:p>
    <w:p>
      <w:pPr>
        <w:pStyle w:val="ListParagraph"/>
        <w:numPr>
          <w:ilvl w:val="0"/>
          <w:numId w:val="2"/>
        </w:numPr>
        <w:spacing w:after="120" w:before="60" w:line="300"/>
      </w:pPr>
      <w:r>
        <w:rPr>
          <w:rFonts w:ascii="Arial" w:cs="Arial" w:eastAsia="Arial" w:hAnsi="Arial"/>
          <w:sz w:val="22"/>
          <w:szCs w:val="22"/>
        </w:rPr>
        <w:t xml:space="preserve">The current condition of F1 and F2, including the most recent inspection date and any documented defects, repairs, or remaining service life estimates;</w:t>
      </w:r>
    </w:p>
    <w:p>
      <w:pPr>
        <w:pStyle w:val="ListParagraph"/>
        <w:numPr>
          <w:ilvl w:val="0"/>
          <w:numId w:val="2"/>
        </w:numPr>
        <w:spacing w:after="120" w:before="60" w:line="300"/>
      </w:pPr>
      <w:r>
        <w:rPr>
          <w:rFonts w:ascii="Arial" w:cs="Arial" w:eastAsia="Arial" w:hAnsi="Arial"/>
          <w:sz w:val="22"/>
          <w:szCs w:val="22"/>
        </w:rPr>
        <w:t xml:space="preserve">Whether the proposed operating pressure for raw-sewage service exceeds the original pipe specifications;</w:t>
      </w:r>
    </w:p>
    <w:p>
      <w:pPr>
        <w:pStyle w:val="ListParagraph"/>
        <w:numPr>
          <w:ilvl w:val="0"/>
          <w:numId w:val="2"/>
        </w:numPr>
        <w:spacing w:after="120" w:before="60" w:line="300"/>
      </w:pPr>
      <w:r>
        <w:rPr>
          <w:rFonts w:ascii="Arial" w:cs="Arial" w:eastAsia="Arial" w:hAnsi="Arial"/>
          <w:sz w:val="22"/>
          <w:szCs w:val="22"/>
        </w:rPr>
        <w:t xml:space="preserve">The geographic route of F1 and F2 between Hartmann Drive and the convergence point near the top of Berea Church Road, including all residential parcels, surface waters, and karst-feature crossings traversed;</w:t>
      </w:r>
    </w:p>
    <w:p>
      <w:pPr>
        <w:pStyle w:val="ListParagraph"/>
        <w:numPr>
          <w:ilvl w:val="0"/>
          <w:numId w:val="2"/>
        </w:numPr>
        <w:spacing w:after="120" w:before="60" w:line="300"/>
      </w:pPr>
      <w:r>
        <w:rPr>
          <w:rFonts w:ascii="Arial" w:cs="Arial" w:eastAsia="Arial" w:hAnsi="Arial"/>
          <w:sz w:val="22"/>
          <w:szCs w:val="22"/>
        </w:rPr>
        <w:t xml:space="preserve">Whether the city intends to reuse F1 and F2 in their current condition, line them, parallel them with new force main(s), or replace them; and</w:t>
      </w:r>
    </w:p>
    <w:p>
      <w:pPr>
        <w:pStyle w:val="ListParagraph"/>
        <w:numPr>
          <w:ilvl w:val="0"/>
          <w:numId w:val="2"/>
        </w:numPr>
        <w:spacing w:after="120" w:before="60" w:line="300"/>
      </w:pPr>
      <w:r>
        <w:rPr>
          <w:rFonts w:ascii="Arial" w:cs="Arial" w:eastAsia="Arial" w:hAnsi="Arial"/>
          <w:sz w:val="22"/>
          <w:szCs w:val="22"/>
        </w:rPr>
        <w:t xml:space="preserve">If lining or replacement is contemplated, the cost, schedule, and permitting timeline for that work, separately identified from the per-site "over and back" pipe cost estimates.</w:t>
      </w:r>
    </w:p>
    <w:p>
      <w:pPr>
        <w:spacing w:after="120" w:before="240"/>
      </w:pPr>
      <w:r>
        <w:rPr>
          <w:rFonts w:ascii="Arial" w:cs="Arial" w:eastAsia="Arial" w:hAnsi="Arial"/>
          <w:b/>
          <w:bCs/>
          <w:sz w:val="24"/>
          <w:szCs w:val="24"/>
        </w:rPr>
        <w:t xml:space="preserve">6. Formal Requests</w:t>
      </w:r>
    </w:p>
    <w:p>
      <w:pPr>
        <w:spacing w:after="160" w:before="80" w:line="300"/>
      </w:pPr>
      <w:r>
        <w:rPr>
          <w:rFonts w:ascii="Arial" w:cs="Arial" w:eastAsia="Arial" w:hAnsi="Arial"/>
          <w:sz w:val="22"/>
          <w:szCs w:val="22"/>
        </w:rPr>
        <w:t xml:space="preserve">We respectfully request that the committee:</w:t>
      </w:r>
    </w:p>
    <w:p>
      <w:pPr>
        <w:pStyle w:val="ListParagraph"/>
        <w:numPr>
          <w:ilvl w:val="0"/>
          <w:numId w:val="2"/>
        </w:numPr>
        <w:spacing w:after="120" w:before="60" w:line="300"/>
      </w:pPr>
      <w:r>
        <w:rPr>
          <w:rFonts w:ascii="Arial" w:cs="Arial" w:eastAsia="Arial" w:hAnsi="Arial"/>
          <w:sz w:val="22"/>
          <w:szCs w:val="22"/>
        </w:rPr>
        <w:t xml:space="preserve">Confirm or refute on the public record whether the proposed plan repurposes F1 and F2 to carry raw sewage upstream of each candidate site's tangent point;</w:t>
      </w:r>
    </w:p>
    <w:p>
      <w:pPr>
        <w:pStyle w:val="ListParagraph"/>
        <w:numPr>
          <w:ilvl w:val="0"/>
          <w:numId w:val="2"/>
        </w:numPr>
        <w:spacing w:after="120" w:before="60" w:line="300"/>
      </w:pPr>
      <w:r>
        <w:rPr>
          <w:rFonts w:ascii="Arial" w:cs="Arial" w:eastAsia="Arial" w:hAnsi="Arial"/>
          <w:sz w:val="22"/>
          <w:szCs w:val="22"/>
        </w:rPr>
        <w:t xml:space="preserve">If confirmed, require that city staff produce and enter into the public record the documentation enumerated in Section 5 above;</w:t>
      </w:r>
    </w:p>
    <w:p>
      <w:pPr>
        <w:pStyle w:val="ListParagraph"/>
        <w:numPr>
          <w:ilvl w:val="0"/>
          <w:numId w:val="2"/>
        </w:numPr>
        <w:spacing w:after="120" w:before="60" w:line="300"/>
      </w:pPr>
      <w:r>
        <w:rPr>
          <w:rFonts w:ascii="Arial" w:cs="Arial" w:eastAsia="Arial" w:hAnsi="Arial"/>
          <w:sz w:val="22"/>
          <w:szCs w:val="22"/>
        </w:rPr>
        <w:t xml:space="preserve">Require an engineering certification, signed by a licensed professional engineer not in the employ of the City of Lebanon, that F1 and F2 in their current condition are fit for purpose as sanitary sewer force mains under the proposed operating conditions;</w:t>
      </w:r>
    </w:p>
    <w:p>
      <w:pPr>
        <w:pStyle w:val="ListParagraph"/>
        <w:numPr>
          <w:ilvl w:val="0"/>
          <w:numId w:val="2"/>
        </w:numPr>
        <w:spacing w:after="120" w:before="60" w:line="300"/>
      </w:pPr>
      <w:r>
        <w:rPr>
          <w:rFonts w:ascii="Arial" w:cs="Arial" w:eastAsia="Arial" w:hAnsi="Arial"/>
          <w:sz w:val="22"/>
          <w:szCs w:val="22"/>
        </w:rPr>
        <w:t xml:space="preserve">Coordinate with the Tennessee Department of Environment and Conservation to confirm in writing the regulatory pathway required for reclassification of F1 and F2 between treated-effluent outfall service and sanitary force main service, and the schedule for that process; and</w:t>
      </w:r>
    </w:p>
    <w:p>
      <w:pPr>
        <w:pStyle w:val="ListParagraph"/>
        <w:numPr>
          <w:ilvl w:val="0"/>
          <w:numId w:val="2"/>
        </w:numPr>
        <w:spacing w:after="120" w:before="60" w:line="300"/>
      </w:pPr>
      <w:r>
        <w:rPr>
          <w:rFonts w:ascii="Arial" w:cs="Arial" w:eastAsia="Arial" w:hAnsi="Arial"/>
          <w:sz w:val="22"/>
          <w:szCs w:val="22"/>
        </w:rPr>
        <w:t xml:space="preserve">Notify all property owners along the F1 and F2 alignment of the proposed change in pipe contents and any associated risks.</w:t>
      </w:r>
    </w:p>
    <w:p>
      <w:pPr>
        <w:spacing w:after="160" w:before="80" w:line="300"/>
      </w:pPr>
      <w:r>
        <w:rPr>
          <w:rFonts w:ascii="Arial" w:cs="Arial" w:eastAsia="Arial" w:hAnsi="Arial"/>
          <w:b/>
          <w:bCs/>
          <w:sz w:val="22"/>
          <w:szCs w:val="22"/>
        </w:rPr>
        <w:t xml:space="preserve">A repurposed pipe is not a free pipe. F1 and F2 have an undisclosed maintenance history, an undisclosed remaining service life, and a fundamentally altered failure consequence under the proposed reclassification — sitting above the same karst aquifer and adjacent to the same surface water supply identified in Appendix C.</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 (Appendix E)</w:t>
      </w:r>
    </w:p>
    <w:p>
      <w:r>
        <w:br w:type="page"/>
      </w:r>
    </w:p>
    <w:p>
      <w:pPr>
        <w:spacing w:after="80"/>
        <w:jc w:val="center"/>
      </w:pPr>
      <w:r>
        <w:rPr>
          <w:rFonts w:ascii="Arial" w:cs="Arial" w:eastAsia="Arial" w:hAnsi="Arial"/>
          <w:b/>
          <w:bCs/>
          <w:sz w:val="28"/>
          <w:szCs w:val="28"/>
        </w:rPr>
        <w:t xml:space="preserve">SUPPLEMENTAL NOTE — APPENDIX F</w:t>
      </w:r>
    </w:p>
    <w:p>
      <w:pPr>
        <w:spacing w:after="360"/>
        <w:jc w:val="center"/>
      </w:pPr>
      <w:r>
        <w:rPr>
          <w:rFonts w:ascii="Arial" w:cs="Arial" w:eastAsia="Arial" w:hAnsi="Arial"/>
          <w:b/>
          <w:bCs/>
          <w:sz w:val="24"/>
          <w:szCs w:val="24"/>
        </w:rPr>
        <w:t xml:space="preserve">Treatment Technology and Site Footprint: Disclosure and Matrix Implications</w:t>
      </w:r>
    </w:p>
    <w:p>
      <w:pPr>
        <w:spacing w:after="160" w:before="80" w:line="300"/>
      </w:pPr>
      <w:r>
        <w:rPr>
          <w:rFonts w:ascii="Arial" w:cs="Arial" w:eastAsia="Arial" w:hAnsi="Arial"/>
          <w:sz w:val="22"/>
          <w:szCs w:val="22"/>
        </w:rPr>
        <w:t xml:space="preserve">This appendix examines how the treatment technology selected for the new plant materially affects the site footprint required and, in turn, the committee's scoring of the "Size of Property" matrix criterion. The petitioners formally request that the committee disclose the planned treatment technology prior to any vote eliminating sites on the basis of acreage.</w:t>
      </w:r>
    </w:p>
    <w:p>
      <w:pPr>
        <w:spacing w:after="120" w:before="240"/>
      </w:pPr>
      <w:r>
        <w:rPr>
          <w:rFonts w:ascii="Arial" w:cs="Arial" w:eastAsia="Arial" w:hAnsi="Arial"/>
          <w:b/>
          <w:bCs/>
          <w:sz w:val="24"/>
          <w:szCs w:val="24"/>
        </w:rPr>
        <w:t xml:space="preserve">1. Industry-Standard Footprint by Technology</w:t>
      </w:r>
    </w:p>
    <w:p>
      <w:pPr>
        <w:spacing w:after="160" w:before="80" w:line="300"/>
      </w:pPr>
      <w:r>
        <w:rPr>
          <w:rFonts w:ascii="Arial" w:cs="Arial" w:eastAsia="Arial" w:hAnsi="Arial"/>
          <w:sz w:val="22"/>
          <w:szCs w:val="22"/>
        </w:rPr>
        <w:t xml:space="preserve">Modern wastewater treatment technologies vary substantially in their land requirements per unit of treatment capacity. Three principal options are in widespread municipal use at the 20–50 MGD scale:</w:t>
      </w:r>
    </w:p>
    <w:p>
      <w:pPr>
        <w:pStyle w:val="ListParagraph"/>
        <w:numPr>
          <w:ilvl w:val="0"/>
          <w:numId w:val="2"/>
        </w:numPr>
        <w:spacing w:after="120" w:before="60" w:line="300"/>
      </w:pPr>
      <w:r>
        <w:rPr>
          <w:rFonts w:ascii="Arial" w:cs="Arial" w:eastAsia="Arial" w:hAnsi="Arial"/>
          <w:b/>
          <w:bCs/>
          <w:sz w:val="22"/>
          <w:szCs w:val="22"/>
        </w:rPr>
        <w:t xml:space="preserve">Conventional Activated Sludge (CAS). </w:t>
      </w:r>
      <w:r>
        <w:rPr>
          <w:rFonts w:ascii="Arial" w:cs="Arial" w:eastAsia="Arial" w:hAnsi="Arial"/>
          <w:sz w:val="22"/>
          <w:szCs w:val="22"/>
        </w:rPr>
        <w:t xml:space="preserve">The traditional process, in continuous municipal use since the early 1900s. Requires primary settling tanks, large secondary aeration basins, and secondary clarifiers. Industry-standard footprint: approximately 2 to 5 acres per million gallons per day (MGD) treated.</w:t>
      </w:r>
    </w:p>
    <w:p>
      <w:pPr>
        <w:pStyle w:val="ListParagraph"/>
        <w:numPr>
          <w:ilvl w:val="0"/>
          <w:numId w:val="2"/>
        </w:numPr>
        <w:spacing w:after="120" w:before="60" w:line="300"/>
      </w:pPr>
      <w:r>
        <w:rPr>
          <w:rFonts w:ascii="Arial" w:cs="Arial" w:eastAsia="Arial" w:hAnsi="Arial"/>
          <w:b/>
          <w:bCs/>
          <w:sz w:val="22"/>
          <w:szCs w:val="22"/>
        </w:rPr>
        <w:t xml:space="preserve">Membrane Bioreactor (MBR). </w:t>
      </w:r>
      <w:r>
        <w:rPr>
          <w:rFonts w:ascii="Arial" w:cs="Arial" w:eastAsia="Arial" w:hAnsi="Arial"/>
          <w:sz w:val="22"/>
          <w:szCs w:val="22"/>
        </w:rPr>
        <w:t xml:space="preserve">Combines biological treatment with microfiltration or ultrafiltration membranes, eliminating the secondary clarifier and operating at higher mixed-liquor suspended-solids concentrations. Published industry literature reports footprint reductions of approximately 30% to 50% relative to CAS, with comparable or superior effluent quality. Practical footprint at municipal scale: approximately 1 to 2.5 acres per MGD.</w:t>
      </w:r>
    </w:p>
    <w:p>
      <w:pPr>
        <w:pStyle w:val="ListParagraph"/>
        <w:numPr>
          <w:ilvl w:val="0"/>
          <w:numId w:val="2"/>
        </w:numPr>
        <w:spacing w:after="120" w:before="60" w:line="300"/>
      </w:pPr>
      <w:r>
        <w:rPr>
          <w:rFonts w:ascii="Arial" w:cs="Arial" w:eastAsia="Arial" w:hAnsi="Arial"/>
          <w:b/>
          <w:bCs/>
          <w:sz w:val="22"/>
          <w:szCs w:val="22"/>
        </w:rPr>
        <w:t xml:space="preserve">Moving Bed Biofilm Reactor (MBBR). </w:t>
      </w:r>
      <w:r>
        <w:rPr>
          <w:rFonts w:ascii="Arial" w:cs="Arial" w:eastAsia="Arial" w:hAnsi="Arial"/>
          <w:sz w:val="22"/>
          <w:szCs w:val="22"/>
        </w:rPr>
        <w:t xml:space="preserve">Uses suspended biofilm media to increase biological surface area per unit reactor volume, reducing tank size relative to CAS. Particularly suited to capacity expansion and retrofit applications where land is constrained.</w:t>
      </w:r>
    </w:p>
    <w:p>
      <w:pPr>
        <w:spacing w:after="160" w:before="80" w:line="300"/>
      </w:pPr>
      <w:r>
        <w:rPr>
          <w:rFonts w:ascii="Arial" w:cs="Arial" w:eastAsia="Arial" w:hAnsi="Arial"/>
          <w:sz w:val="22"/>
          <w:szCs w:val="22"/>
        </w:rPr>
        <w:t xml:space="preserve">Sources include the Journal of Real Estate Research literature on wastewater facility siting, the National Center for Biotechnology Information life-cycle assessment of MBR vs. CAS systems, and contemporary municipal engineering guidance from industry providers (Alfa Laval, DuPont MemCor, Newterra, and others). All sources are publicly accessible.</w:t>
      </w:r>
    </w:p>
    <w:p>
      <w:pPr>
        <w:spacing w:after="120" w:before="240"/>
      </w:pPr>
      <w:r>
        <w:rPr>
          <w:rFonts w:ascii="Arial" w:cs="Arial" w:eastAsia="Arial" w:hAnsi="Arial"/>
          <w:b/>
          <w:bCs/>
          <w:sz w:val="24"/>
          <w:szCs w:val="24"/>
        </w:rPr>
        <w:t xml:space="preserve">2. Application to the Lebanon Project Scale</w:t>
      </w:r>
    </w:p>
    <w:p>
      <w:pPr>
        <w:spacing w:after="160" w:before="80" w:line="300"/>
      </w:pPr>
      <w:r>
        <w:rPr>
          <w:rFonts w:ascii="Arial" w:cs="Arial" w:eastAsia="Arial" w:hAnsi="Arial"/>
          <w:sz w:val="22"/>
          <w:szCs w:val="22"/>
        </w:rPr>
        <w:t xml:space="preserve">The proposed plant is described as 20 MGD initial design capacity with ultimate buildout to 40–50 MGD (transcript minute 16:21: </w:t>
      </w:r>
      <w:r>
        <w:rPr>
          <w:rFonts w:ascii="Arial" w:cs="Arial" w:eastAsia="Arial" w:hAnsi="Arial"/>
          <w:i/>
          <w:iCs/>
          <w:sz w:val="22"/>
          <w:szCs w:val="22"/>
        </w:rPr>
        <w:t xml:space="preserve">"current plants 10. We're going to 20 first phase. We want to get to 40 50 or build out."</w:t>
      </w:r>
      <w:r>
        <w:rPr>
          <w:rFonts w:ascii="Arial" w:cs="Arial" w:eastAsia="Arial" w:hAnsi="Arial"/>
          <w:sz w:val="22"/>
          <w:szCs w:val="22"/>
        </w:rPr>
        <w:t xml:space="preserve">). Applying the industry-standard footprint ranges:</w:t>
      </w:r>
    </w:p>
    <w:p>
      <w:pPr>
        <w:pStyle w:val="ListParagraph"/>
        <w:numPr>
          <w:ilvl w:val="0"/>
          <w:numId w:val="2"/>
        </w:numPr>
        <w:spacing w:after="120" w:before="60" w:line="300"/>
      </w:pPr>
      <w:r>
        <w:rPr>
          <w:rFonts w:ascii="Arial" w:cs="Arial" w:eastAsia="Arial" w:hAnsi="Arial"/>
          <w:b/>
          <w:bCs/>
          <w:sz w:val="22"/>
          <w:szCs w:val="22"/>
        </w:rPr>
        <w:t xml:space="preserve">CAS technology: </w:t>
      </w:r>
      <w:r>
        <w:rPr>
          <w:rFonts w:ascii="Arial" w:cs="Arial" w:eastAsia="Arial" w:hAnsi="Arial"/>
          <w:sz w:val="22"/>
          <w:szCs w:val="22"/>
        </w:rPr>
        <w:t xml:space="preserve">approximately 40–100 acres at 20 MGD initial, 80–250 acres at 40–50 MGD ultimate.</w:t>
      </w:r>
    </w:p>
    <w:p>
      <w:pPr>
        <w:pStyle w:val="ListParagraph"/>
        <w:numPr>
          <w:ilvl w:val="0"/>
          <w:numId w:val="2"/>
        </w:numPr>
        <w:spacing w:after="120" w:before="60" w:line="300"/>
      </w:pPr>
      <w:r>
        <w:rPr>
          <w:rFonts w:ascii="Arial" w:cs="Arial" w:eastAsia="Arial" w:hAnsi="Arial"/>
          <w:b/>
          <w:bCs/>
          <w:sz w:val="22"/>
          <w:szCs w:val="22"/>
        </w:rPr>
        <w:t xml:space="preserve">MBR technology: </w:t>
      </w:r>
      <w:r>
        <w:rPr>
          <w:rFonts w:ascii="Arial" w:cs="Arial" w:eastAsia="Arial" w:hAnsi="Arial"/>
          <w:sz w:val="22"/>
          <w:szCs w:val="22"/>
        </w:rPr>
        <w:t xml:space="preserve">approximately 20–50 acres at 20 MGD initial, 40–125 acres at 40–50 MGD ultimate.</w:t>
      </w:r>
    </w:p>
    <w:p>
      <w:pPr>
        <w:pStyle w:val="ListParagraph"/>
        <w:numPr>
          <w:ilvl w:val="0"/>
          <w:numId w:val="2"/>
        </w:numPr>
        <w:spacing w:after="120" w:before="60" w:line="300"/>
      </w:pPr>
      <w:r>
        <w:rPr>
          <w:rFonts w:ascii="Arial" w:cs="Arial" w:eastAsia="Arial" w:hAnsi="Arial"/>
          <w:b/>
          <w:bCs/>
          <w:sz w:val="22"/>
          <w:szCs w:val="22"/>
        </w:rPr>
        <w:t xml:space="preserve">MBBR technology: </w:t>
      </w:r>
      <w:r>
        <w:rPr>
          <w:rFonts w:ascii="Arial" w:cs="Arial" w:eastAsia="Arial" w:hAnsi="Arial"/>
          <w:sz w:val="22"/>
          <w:szCs w:val="22"/>
        </w:rPr>
        <w:t xml:space="preserve">approximately 25–60 acres at 20 MGD initial, 50–150 acres at 40–50 MGD ultimate.</w:t>
      </w:r>
    </w:p>
    <w:p>
      <w:pPr>
        <w:spacing w:after="160" w:before="80" w:line="300"/>
      </w:pPr>
      <w:r>
        <w:rPr>
          <w:rFonts w:ascii="Arial" w:cs="Arial" w:eastAsia="Arial" w:hAnsi="Arial"/>
          <w:sz w:val="22"/>
          <w:szCs w:val="22"/>
        </w:rPr>
        <w:t xml:space="preserve">The city engineer stated at the May 27, 2026 meeting (transcript minute 17:57) that the </w:t>
      </w:r>
      <w:r>
        <w:rPr>
          <w:rFonts w:ascii="Arial" w:cs="Arial" w:eastAsia="Arial" w:hAnsi="Arial"/>
          <w:b/>
          <w:bCs/>
          <w:sz w:val="22"/>
          <w:szCs w:val="22"/>
        </w:rPr>
        <w:t xml:space="preserve">minimum buildable acreage is 60 acres </w:t>
      </w:r>
      <w:r>
        <w:rPr>
          <w:rFonts w:ascii="Arial" w:cs="Arial" w:eastAsia="Arial" w:hAnsi="Arial"/>
          <w:sz w:val="22"/>
          <w:szCs w:val="22"/>
        </w:rPr>
        <w:t xml:space="preserve">including buffer. This 60-acre figure is mathematically consistent with </w:t>
      </w:r>
      <w:r>
        <w:rPr>
          <w:rFonts w:ascii="Arial" w:cs="Arial" w:eastAsia="Arial" w:hAnsi="Arial"/>
          <w:b/>
          <w:bCs/>
          <w:sz w:val="22"/>
          <w:szCs w:val="22"/>
        </w:rPr>
        <w:t xml:space="preserve">conventional activated sludge technology sized for the 40–50 MGD ultimate buildout. </w:t>
      </w:r>
      <w:r>
        <w:rPr>
          <w:rFonts w:ascii="Arial" w:cs="Arial" w:eastAsia="Arial" w:hAnsi="Arial"/>
          <w:sz w:val="22"/>
          <w:szCs w:val="22"/>
        </w:rPr>
        <w:t xml:space="preserve">It is materially larger than what would be required for the same capacity under MBR or MBBR design.</w:t>
      </w:r>
    </w:p>
    <w:p>
      <w:pPr>
        <w:spacing w:after="120" w:before="240"/>
      </w:pPr>
      <w:r>
        <w:rPr>
          <w:rFonts w:ascii="Arial" w:cs="Arial" w:eastAsia="Arial" w:hAnsi="Arial"/>
          <w:b/>
          <w:bCs/>
          <w:sz w:val="24"/>
          <w:szCs w:val="24"/>
        </w:rPr>
        <w:t xml:space="preserve">3. Disclosure Gap</w:t>
      </w:r>
    </w:p>
    <w:p>
      <w:pPr>
        <w:spacing w:after="160" w:before="80" w:line="300"/>
      </w:pPr>
      <w:r>
        <w:rPr>
          <w:rFonts w:ascii="Arial" w:cs="Arial" w:eastAsia="Arial" w:hAnsi="Arial"/>
          <w:sz w:val="22"/>
          <w:szCs w:val="22"/>
        </w:rPr>
        <w:t xml:space="preserve">Neither the May 27 nor the June 2, 2026 committee meeting transcripts disclose, and to the petitioners' knowledge no public document has disclosed, </w:t>
      </w:r>
      <w:r>
        <w:rPr>
          <w:rFonts w:ascii="Arial" w:cs="Arial" w:eastAsia="Arial" w:hAnsi="Arial"/>
          <w:b/>
          <w:bCs/>
          <w:sz w:val="22"/>
          <w:szCs w:val="22"/>
        </w:rPr>
        <w:t xml:space="preserve">which treatment technology has been selected for the new Lebanon facility. </w:t>
      </w:r>
      <w:r>
        <w:rPr>
          <w:rFonts w:ascii="Arial" w:cs="Arial" w:eastAsia="Arial" w:hAnsi="Arial"/>
          <w:sz w:val="22"/>
          <w:szCs w:val="22"/>
        </w:rPr>
        <w:t xml:space="preserve">The 60-acre minimum acreage criterion is therefore being applied without an articulated technology basis. This creates two methodological problems for the committee:</w:t>
      </w:r>
    </w:p>
    <w:p>
      <w:pPr>
        <w:pStyle w:val="ListParagraph"/>
        <w:numPr>
          <w:ilvl w:val="0"/>
          <w:numId w:val="2"/>
        </w:numPr>
        <w:spacing w:after="120" w:before="60" w:line="300"/>
      </w:pPr>
      <w:r>
        <w:rPr>
          <w:rFonts w:ascii="Arial" w:cs="Arial" w:eastAsia="Arial" w:hAnsi="Arial"/>
          <w:sz w:val="22"/>
          <w:szCs w:val="22"/>
        </w:rPr>
        <w:t xml:space="preserve">Sites are being eliminated, or scored as marginal, on a criterion (acreage) whose threshold is set by undisclosed technology assumptions. Candidate sites at or near the threshold may be viable under modern compact-process design with substantial unused buffer.</w:t>
      </w:r>
    </w:p>
    <w:p>
      <w:pPr>
        <w:pStyle w:val="ListParagraph"/>
        <w:numPr>
          <w:ilvl w:val="0"/>
          <w:numId w:val="2"/>
        </w:numPr>
        <w:spacing w:after="120" w:before="60" w:line="300"/>
      </w:pPr>
      <w:r>
        <w:rPr>
          <w:rFonts w:ascii="Arial" w:cs="Arial" w:eastAsia="Arial" w:hAnsi="Arial"/>
          <w:sz w:val="22"/>
          <w:szCs w:val="22"/>
        </w:rPr>
        <w:t xml:space="preserve">Sites at the upper end of the existing candidate list (such as those in the Mann Road / Berea Church Road / Coles Ferry Pike corridor) are not specifically more attractive simply because they are large; if a 30–40 acre footprint is sufficient with modern technology, the universe of viable alternative sites — including industrial-adjacent properties — expands materially.</w:t>
      </w:r>
    </w:p>
    <w:p>
      <w:pPr>
        <w:spacing w:after="160" w:before="80" w:line="300"/>
      </w:pPr>
      <w:r>
        <w:rPr>
          <w:rFonts w:ascii="Arial" w:cs="Arial" w:eastAsia="Arial" w:hAnsi="Arial"/>
          <w:b/>
          <w:bCs/>
          <w:sz w:val="22"/>
          <w:szCs w:val="22"/>
        </w:rPr>
        <w:t xml:space="preserve">Absent a disclosed and reasoned technology selection, the 60-acre minimum should be treated as a working assumption subject to revision, not a fixed siting constraint.</w:t>
      </w:r>
    </w:p>
    <w:p>
      <w:pPr>
        <w:spacing w:after="160" w:before="80" w:line="300"/>
      </w:pPr>
      <w:r>
        <w:rPr>
          <w:rFonts w:ascii="Arial" w:cs="Arial" w:eastAsia="Arial" w:hAnsi="Arial"/>
          <w:sz w:val="22"/>
          <w:szCs w:val="22"/>
        </w:rPr>
        <w:t xml:space="preserve">The technology disclosure question has now been raised in the public record by multiple parties. During the public comment portion of the June 2, 2026 committee meeting (transcript minute 1:33:38), Wilson County resident Teresa Rogers stated: </w:t>
      </w:r>
      <w:r>
        <w:rPr>
          <w:rFonts w:ascii="Arial" w:cs="Arial" w:eastAsia="Arial" w:hAnsi="Arial"/>
          <w:i/>
          <w:iCs/>
          <w:sz w:val="22"/>
          <w:szCs w:val="22"/>
        </w:rPr>
        <w:t xml:space="preserve">"Steve said today he is looking at a 1960 conventional activated sludge technology that takes up 60 acres. It is 2026, not 1966. There are membrane bioreactor plants operating today in Nashville, Denver, Singapore, across Tennessee that require only 15 to 25 acres."</w:t>
      </w:r>
      <w:r>
        <w:rPr>
          <w:rFonts w:ascii="Arial" w:cs="Arial" w:eastAsia="Arial" w:hAnsi="Arial"/>
          <w:sz w:val="22"/>
          <w:szCs w:val="22"/>
        </w:rPr>
        <w:t xml:space="preserve"> The petitioners note that Ms. Rogers' footprint figures reflect a treatment-process-only envelope and may exclude the buffer accommodation in the city's stated 60-acre minimum. The variance between the petitioners' figures (Section 2 above) and Ms. Rogers' figures is consistent with each citing a different scope of "footprint" (process-only versus process-plus-buffer). The underlying disclosure question — what treatment technology has been selected, and on what engineering basis — is identical in both submissions, and remains unanswered.</w:t>
      </w:r>
    </w:p>
    <w:p>
      <w:pPr>
        <w:spacing w:after="120" w:before="240"/>
      </w:pPr>
      <w:r>
        <w:rPr>
          <w:rFonts w:ascii="Arial" w:cs="Arial" w:eastAsia="Arial" w:hAnsi="Arial"/>
          <w:b/>
          <w:bCs/>
          <w:sz w:val="24"/>
          <w:szCs w:val="24"/>
        </w:rPr>
        <w:t xml:space="preserve">4. Matrix Application</w:t>
      </w:r>
    </w:p>
    <w:p>
      <w:pPr>
        <w:spacing w:after="160" w:before="80" w:line="300"/>
      </w:pPr>
      <w:r>
        <w:rPr>
          <w:rFonts w:ascii="Arial" w:cs="Arial" w:eastAsia="Arial" w:hAnsi="Arial"/>
          <w:sz w:val="22"/>
          <w:szCs w:val="22"/>
        </w:rPr>
        <w:t xml:space="preserve">Treatment technology selection affects multiple criteria within the committee's adopted scoring matrix:</w:t>
      </w:r>
    </w:p>
    <w:p>
      <w:pPr>
        <w:pStyle w:val="ListParagraph"/>
        <w:numPr>
          <w:ilvl w:val="0"/>
          <w:numId w:val="2"/>
        </w:numPr>
        <w:spacing w:after="120" w:before="60" w:line="300"/>
      </w:pPr>
      <w:r>
        <w:rPr>
          <w:rFonts w:ascii="Arial" w:cs="Arial" w:eastAsia="Arial" w:hAnsi="Arial"/>
          <w:b/>
          <w:bCs/>
          <w:sz w:val="22"/>
          <w:szCs w:val="22"/>
        </w:rPr>
        <w:t xml:space="preserve">Size of Property: </w:t>
      </w:r>
      <w:r>
        <w:rPr>
          <w:rFonts w:ascii="Arial" w:cs="Arial" w:eastAsia="Arial" w:hAnsi="Arial"/>
          <w:sz w:val="22"/>
          <w:szCs w:val="22"/>
        </w:rPr>
        <w:t xml:space="preserve">The most direct impact. Sites currently rated low, or eliminated entirely, on acreage grounds may be viable under MBR or MBBR design. The matrix should not score sites against a fixed threshold whose technology basis is undisclosed.</w:t>
      </w:r>
    </w:p>
    <w:p>
      <w:pPr>
        <w:pStyle w:val="ListParagraph"/>
        <w:numPr>
          <w:ilvl w:val="0"/>
          <w:numId w:val="2"/>
        </w:numPr>
        <w:spacing w:after="120" w:before="60" w:line="300"/>
      </w:pPr>
      <w:r>
        <w:rPr>
          <w:rFonts w:ascii="Arial" w:cs="Arial" w:eastAsia="Arial" w:hAnsi="Arial"/>
          <w:b/>
          <w:bCs/>
          <w:sz w:val="22"/>
          <w:szCs w:val="22"/>
        </w:rPr>
        <w:t xml:space="preserve">Existing Infrastructure: </w:t>
      </w:r>
      <w:r>
        <w:rPr>
          <w:rFonts w:ascii="Arial" w:cs="Arial" w:eastAsia="Arial" w:hAnsi="Arial"/>
          <w:sz w:val="22"/>
          <w:szCs w:val="22"/>
        </w:rPr>
        <w:t xml:space="preserve">A smaller plant footprint reduces internal piping runs, concrete volume, excavation, and visual impact, and shortens construction schedule. These reductions affect cost and constructability scoring.</w:t>
      </w:r>
    </w:p>
    <w:p>
      <w:pPr>
        <w:pStyle w:val="ListParagraph"/>
        <w:numPr>
          <w:ilvl w:val="0"/>
          <w:numId w:val="2"/>
        </w:numPr>
        <w:spacing w:after="120" w:before="60" w:line="300"/>
      </w:pPr>
      <w:r>
        <w:rPr>
          <w:rFonts w:ascii="Arial" w:cs="Arial" w:eastAsia="Arial" w:hAnsi="Arial"/>
          <w:b/>
          <w:bCs/>
          <w:sz w:val="22"/>
          <w:szCs w:val="22"/>
        </w:rPr>
        <w:t xml:space="preserve">Environmental Impact and Permitting: </w:t>
      </w:r>
      <w:r>
        <w:rPr>
          <w:rFonts w:ascii="Arial" w:cs="Arial" w:eastAsia="Arial" w:hAnsi="Arial"/>
          <w:sz w:val="22"/>
          <w:szCs w:val="22"/>
        </w:rPr>
        <w:t xml:space="preserve">MBR effluent quality is materially superior to CAS effluent, with substantially lower suspended solids, biochemical oxygen demand, and pathogen concentrations. For discharge to the Cumberland River system, this may simplify permitting and reduce downstream ecological impact.</w:t>
      </w:r>
    </w:p>
    <w:p>
      <w:pPr>
        <w:pStyle w:val="ListParagraph"/>
        <w:numPr>
          <w:ilvl w:val="0"/>
          <w:numId w:val="2"/>
        </w:numPr>
        <w:spacing w:after="120" w:before="60" w:line="300"/>
      </w:pPr>
      <w:r>
        <w:rPr>
          <w:rFonts w:ascii="Arial" w:cs="Arial" w:eastAsia="Arial" w:hAnsi="Arial"/>
          <w:b/>
          <w:bCs/>
          <w:sz w:val="22"/>
          <w:szCs w:val="22"/>
        </w:rPr>
        <w:t xml:space="preserve">Service Efficiency: </w:t>
      </w:r>
      <w:r>
        <w:rPr>
          <w:rFonts w:ascii="Arial" w:cs="Arial" w:eastAsia="Arial" w:hAnsi="Arial"/>
          <w:sz w:val="22"/>
          <w:szCs w:val="22"/>
        </w:rPr>
        <w:t xml:space="preserve">Compact, modular technology may be more readily phased and expanded as growth requires, reducing the need to over-build the initial site footprint.</w:t>
      </w:r>
    </w:p>
    <w:p>
      <w:pPr>
        <w:spacing w:after="120" w:before="240"/>
      </w:pPr>
      <w:r>
        <w:rPr>
          <w:rFonts w:ascii="Arial" w:cs="Arial" w:eastAsia="Arial" w:hAnsi="Arial"/>
          <w:b/>
          <w:bCs/>
          <w:sz w:val="24"/>
          <w:szCs w:val="24"/>
        </w:rPr>
        <w:t xml:space="preserve">5. Formal Requests</w:t>
      </w:r>
    </w:p>
    <w:p>
      <w:pPr>
        <w:spacing w:after="160" w:before="80" w:line="300"/>
      </w:pPr>
      <w:r>
        <w:rPr>
          <w:rFonts w:ascii="Arial" w:cs="Arial" w:eastAsia="Arial" w:hAnsi="Arial"/>
          <w:sz w:val="22"/>
          <w:szCs w:val="22"/>
        </w:rPr>
        <w:t xml:space="preserve">We respectfully request that the committee, prior to any vote eliminating or downranking sites on the basis of acreage:</w:t>
      </w:r>
    </w:p>
    <w:p>
      <w:pPr>
        <w:pStyle w:val="ListParagraph"/>
        <w:numPr>
          <w:ilvl w:val="0"/>
          <w:numId w:val="2"/>
        </w:numPr>
        <w:spacing w:after="120" w:before="60" w:line="300"/>
      </w:pPr>
      <w:r>
        <w:rPr>
          <w:rFonts w:ascii="Arial" w:cs="Arial" w:eastAsia="Arial" w:hAnsi="Arial"/>
          <w:sz w:val="22"/>
          <w:szCs w:val="22"/>
        </w:rPr>
        <w:t xml:space="preserve">Disclose, in writing and on the public record, the treatment technology (CAS, MBR, MBBR, or other) planned for the new facility, and the engineering basis for that selection;</w:t>
      </w:r>
    </w:p>
    <w:p>
      <w:pPr>
        <w:pStyle w:val="ListParagraph"/>
        <w:numPr>
          <w:ilvl w:val="0"/>
          <w:numId w:val="2"/>
        </w:numPr>
        <w:spacing w:after="120" w:before="60" w:line="300"/>
      </w:pPr>
      <w:r>
        <w:rPr>
          <w:rFonts w:ascii="Arial" w:cs="Arial" w:eastAsia="Arial" w:hAnsi="Arial"/>
          <w:sz w:val="22"/>
          <w:szCs w:val="22"/>
        </w:rPr>
        <w:t xml:space="preserve">Confirm whether the stated 60-acre minimum is technology-dependent, and if so, identify which technology assumption it embeds;</w:t>
      </w:r>
    </w:p>
    <w:p>
      <w:pPr>
        <w:pStyle w:val="ListParagraph"/>
        <w:numPr>
          <w:ilvl w:val="0"/>
          <w:numId w:val="2"/>
        </w:numPr>
        <w:spacing w:after="120" w:before="60" w:line="300"/>
      </w:pPr>
      <w:r>
        <w:rPr>
          <w:rFonts w:ascii="Arial" w:cs="Arial" w:eastAsia="Arial" w:hAnsi="Arial"/>
          <w:sz w:val="22"/>
          <w:szCs w:val="22"/>
        </w:rPr>
        <w:t xml:space="preserve">Require a brief recalculation, included in the public record, showing whether sites currently scored as marginal or eliminated for size would be viable under MBR or MBBR design;</w:t>
      </w:r>
    </w:p>
    <w:p>
      <w:pPr>
        <w:pStyle w:val="ListParagraph"/>
        <w:numPr>
          <w:ilvl w:val="0"/>
          <w:numId w:val="2"/>
        </w:numPr>
        <w:spacing w:after="120" w:before="60" w:line="300"/>
      </w:pPr>
      <w:r>
        <w:rPr>
          <w:rFonts w:ascii="Arial" w:cs="Arial" w:eastAsia="Arial" w:hAnsi="Arial"/>
          <w:sz w:val="22"/>
          <w:szCs w:val="22"/>
        </w:rPr>
        <w:t xml:space="preserve">Consider, where appropriate, expanding the candidate site list to include industrial-adjacent or smaller parcels (such as those Mayor Bell has publicly referenced in connection with the Rockwood / brickyard area) that may meet a recalibrated, technology-informed acreage requirement.</w:t>
      </w:r>
    </w:p>
    <w:p>
      <w:pPr>
        <w:spacing w:after="160" w:before="80" w:line="300"/>
      </w:pPr>
      <w:r>
        <w:rPr>
          <w:rFonts w:ascii="Arial" w:cs="Arial" w:eastAsia="Arial" w:hAnsi="Arial"/>
          <w:b/>
          <w:bCs/>
          <w:sz w:val="22"/>
          <w:szCs w:val="22"/>
        </w:rPr>
        <w:t xml:space="preserve">The petitioners do not advocate for any particular treatment technology. </w:t>
      </w:r>
      <w:r>
        <w:rPr>
          <w:rFonts w:ascii="Arial" w:cs="Arial" w:eastAsia="Arial" w:hAnsi="Arial"/>
          <w:sz w:val="22"/>
          <w:szCs w:val="22"/>
        </w:rPr>
        <w:t xml:space="preserve">Technology selection is appropriately within the city's engineering discretion. The petitioners do, however, formally request that this discretion be exercised transparently, and that the matrix criteria reflect technology-specific footprint requirements rather than a single undisclosed worst-case threshold that excludes viable candidate sites.</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 (Appendix F)</w:t>
      </w:r>
    </w:p>
    <w:p>
      <w:r>
        <w:br w:type="page"/>
      </w:r>
    </w:p>
    <w:p>
      <w:pPr>
        <w:spacing w:after="80"/>
        <w:jc w:val="center"/>
      </w:pPr>
      <w:r>
        <w:rPr>
          <w:rFonts w:ascii="Arial" w:cs="Arial" w:eastAsia="Arial" w:hAnsi="Arial"/>
          <w:b/>
          <w:bCs/>
          <w:sz w:val="28"/>
          <w:szCs w:val="28"/>
        </w:rPr>
        <w:t xml:space="preserve">SUPPLEMENTAL NOTE — APPENDIX G</w:t>
      </w:r>
    </w:p>
    <w:p>
      <w:pPr>
        <w:spacing w:after="360"/>
        <w:jc w:val="center"/>
      </w:pPr>
      <w:r>
        <w:rPr>
          <w:rFonts w:ascii="Arial" w:cs="Arial" w:eastAsia="Arial" w:hAnsi="Arial"/>
          <w:b/>
          <w:bCs/>
          <w:sz w:val="24"/>
          <w:szCs w:val="24"/>
        </w:rPr>
        <w:t xml:space="preserve">Shortlisting Methodology and Procedural Safeguards</w:t>
      </w:r>
    </w:p>
    <w:p>
      <w:pPr>
        <w:spacing w:after="160" w:before="80" w:line="300"/>
      </w:pPr>
      <w:r>
        <w:rPr>
          <w:rFonts w:ascii="Arial" w:cs="Arial" w:eastAsia="Arial" w:hAnsi="Arial"/>
          <w:sz w:val="22"/>
          <w:szCs w:val="22"/>
        </w:rPr>
        <w:t xml:space="preserve">This appendix addresses the committee's stated plan to apply a five-criterion scoring matrix to eliminate candidate sites from a list of fifteen prior to deeper engineering evaluation. The petitioners support the use of shortlisting as a tool for managing time, effort, and cost. The petitioners do not support shortlisting in the absence of documented methodological safeguards that ensure eliminations are reproducible, defensible, and reversible if needed.</w:t>
      </w:r>
    </w:p>
    <w:p>
      <w:pPr>
        <w:spacing w:after="120" w:before="240"/>
      </w:pPr>
      <w:r>
        <w:rPr>
          <w:rFonts w:ascii="Arial" w:cs="Arial" w:eastAsia="Arial" w:hAnsi="Arial"/>
          <w:b/>
          <w:bCs/>
          <w:sz w:val="24"/>
          <w:szCs w:val="24"/>
        </w:rPr>
        <w:t xml:space="preserve">1. Shortlisting Is an Accepted Practice</w:t>
      </w:r>
    </w:p>
    <w:p>
      <w:pPr>
        <w:spacing w:after="160" w:before="80" w:line="300"/>
      </w:pPr>
      <w:r>
        <w:rPr>
          <w:rFonts w:ascii="Arial" w:cs="Arial" w:eastAsia="Arial" w:hAnsi="Arial"/>
          <w:sz w:val="22"/>
          <w:szCs w:val="22"/>
        </w:rPr>
        <w:t xml:space="preserve">Multi-stage screening of candidate sites is standard practice in public-works procurement and engineering design. It is appropriate where the universe of candidates is large, deeper due-diligence is expensive, and clear differentiators can be applied early. The committee's adoption of an initial scoring matrix to narrow fifteen sites to five or six for deeper review is, in principle, methodologically sound. The petitioners' concerns are not with shortlisting per se, but with the safeguards that should accompany it.</w:t>
      </w:r>
    </w:p>
    <w:p>
      <w:pPr>
        <w:spacing w:after="120" w:before="240"/>
      </w:pPr>
      <w:r>
        <w:rPr>
          <w:rFonts w:ascii="Arial" w:cs="Arial" w:eastAsia="Arial" w:hAnsi="Arial"/>
          <w:b/>
          <w:bCs/>
          <w:sz w:val="24"/>
          <w:szCs w:val="24"/>
        </w:rPr>
        <w:t xml:space="preserve">2. The Tool Adopted Is a Pugh Matrix; Its Use Requires Specific Safeguards</w:t>
      </w:r>
    </w:p>
    <w:p>
      <w:pPr>
        <w:spacing w:after="160" w:before="80" w:line="300"/>
      </w:pPr>
      <w:r>
        <w:rPr>
          <w:rFonts w:ascii="Arial" w:cs="Arial" w:eastAsia="Arial" w:hAnsi="Arial"/>
          <w:sz w:val="22"/>
          <w:szCs w:val="22"/>
        </w:rPr>
        <w:t xml:space="preserve">As noted by a speaker with formal Six Sigma training during the public comment portion of the May 27, 2026 meeting (transcript minute 1:15:02), the committee's adopted matrix is a </w:t>
      </w:r>
      <w:r>
        <w:rPr>
          <w:rFonts w:ascii="Arial" w:cs="Arial" w:eastAsia="Arial" w:hAnsi="Arial"/>
          <w:b/>
          <w:bCs/>
          <w:sz w:val="22"/>
          <w:szCs w:val="22"/>
        </w:rPr>
        <w:t xml:space="preserve">Pugh matrix</w:t>
      </w:r>
      <w:r>
        <w:rPr>
          <w:rFonts w:ascii="Arial" w:cs="Arial" w:eastAsia="Arial" w:hAnsi="Arial"/>
          <w:sz w:val="22"/>
          <w:szCs w:val="22"/>
        </w:rPr>
        <w:t xml:space="preserve"> — a multi-criteria decision analysis tool developed by Stuart Pugh for engineering design selection. Pugh-style scoring is rigorous when applied correctly. Its defensibility depends on five practices commonly observed in industry and engineering practice:</w:t>
      </w:r>
    </w:p>
    <w:p>
      <w:pPr>
        <w:pStyle w:val="ListParagraph"/>
        <w:numPr>
          <w:ilvl w:val="0"/>
          <w:numId w:val="2"/>
        </w:numPr>
        <w:spacing w:after="120" w:before="60" w:line="300"/>
      </w:pPr>
      <w:r>
        <w:rPr>
          <w:rFonts w:ascii="Arial" w:cs="Arial" w:eastAsia="Arial" w:hAnsi="Arial"/>
          <w:b/>
          <w:bCs/>
          <w:sz w:val="22"/>
          <w:szCs w:val="22"/>
        </w:rPr>
        <w:t xml:space="preserve">Anchored scoring levels. </w:t>
      </w:r>
      <w:r>
        <w:rPr>
          <w:rFonts w:ascii="Arial" w:cs="Arial" w:eastAsia="Arial" w:hAnsi="Arial"/>
          <w:sz w:val="22"/>
          <w:szCs w:val="22"/>
        </w:rPr>
        <w:t xml:space="preserve">Each score (1 through 5) must be defined in writing for each criterion. What characteristics make a site a "5" for Community Impact versus a "4"? Without anchoring, scoring drifts toward individual scorer intuition and produces an unreproducible result.</w:t>
      </w:r>
    </w:p>
    <w:p>
      <w:pPr>
        <w:pStyle w:val="ListParagraph"/>
        <w:numPr>
          <w:ilvl w:val="0"/>
          <w:numId w:val="2"/>
        </w:numPr>
        <w:spacing w:after="120" w:before="60" w:line="300"/>
      </w:pPr>
      <w:r>
        <w:rPr>
          <w:rFonts w:ascii="Arial" w:cs="Arial" w:eastAsia="Arial" w:hAnsi="Arial"/>
          <w:b/>
          <w:bCs/>
          <w:sz w:val="22"/>
          <w:szCs w:val="22"/>
        </w:rPr>
        <w:t xml:space="preserve">Comparable information depth across alternatives. </w:t>
      </w:r>
      <w:r>
        <w:rPr>
          <w:rFonts w:ascii="Arial" w:cs="Arial" w:eastAsia="Arial" w:hAnsi="Arial"/>
          <w:sz w:val="22"/>
          <w:szCs w:val="22"/>
        </w:rPr>
        <w:t xml:space="preserve">All sites must be characterized to a similar level of engineering detail before scoring. If some sites have detailed acreage, floodplain percentage, and force main distance data while others are described qualitatively, the scores are not commensurable across the candidate list.</w:t>
      </w:r>
    </w:p>
    <w:p>
      <w:pPr>
        <w:pStyle w:val="ListParagraph"/>
        <w:numPr>
          <w:ilvl w:val="0"/>
          <w:numId w:val="2"/>
        </w:numPr>
        <w:spacing w:after="120" w:before="60" w:line="300"/>
      </w:pPr>
      <w:r>
        <w:rPr>
          <w:rFonts w:ascii="Arial" w:cs="Arial" w:eastAsia="Arial" w:hAnsi="Arial"/>
          <w:b/>
          <w:bCs/>
          <w:sz w:val="22"/>
          <w:szCs w:val="22"/>
        </w:rPr>
        <w:t xml:space="preserve">Criteria weights set independently of preferred outcomes. </w:t>
      </w:r>
      <w:r>
        <w:rPr>
          <w:rFonts w:ascii="Arial" w:cs="Arial" w:eastAsia="Arial" w:hAnsi="Arial"/>
          <w:sz w:val="22"/>
          <w:szCs w:val="22"/>
        </w:rPr>
        <w:t xml:space="preserve">The 1-3 importance factors should be defensible on engineering and policy grounds independent of which sites would win or lose under any given weighting. The basis for the current weighting has not been documented in the public record.</w:t>
      </w:r>
    </w:p>
    <w:p>
      <w:pPr>
        <w:pStyle w:val="ListParagraph"/>
        <w:numPr>
          <w:ilvl w:val="0"/>
          <w:numId w:val="2"/>
        </w:numPr>
        <w:spacing w:after="120" w:before="60" w:line="300"/>
      </w:pPr>
      <w:r>
        <w:rPr>
          <w:rFonts w:ascii="Arial" w:cs="Arial" w:eastAsia="Arial" w:hAnsi="Arial"/>
          <w:b/>
          <w:bCs/>
          <w:sz w:val="22"/>
          <w:szCs w:val="22"/>
        </w:rPr>
        <w:t xml:space="preserve">Sensitivity analysis. </w:t>
      </w:r>
      <w:r>
        <w:rPr>
          <w:rFonts w:ascii="Arial" w:cs="Arial" w:eastAsia="Arial" w:hAnsi="Arial"/>
          <w:sz w:val="22"/>
          <w:szCs w:val="22"/>
        </w:rPr>
        <w:t xml:space="preserve">Before eliminating any site, the committee should test whether small changes in scores or weights would change the outcome. If a one-point change in a single score, or a one-step change in a single weight, would change which sites survive, the result is unstable and the elimination is unreliable.</w:t>
      </w:r>
    </w:p>
    <w:p>
      <w:pPr>
        <w:pStyle w:val="ListParagraph"/>
        <w:numPr>
          <w:ilvl w:val="0"/>
          <w:numId w:val="2"/>
        </w:numPr>
        <w:spacing w:after="120" w:before="60" w:line="300"/>
      </w:pPr>
      <w:r>
        <w:rPr>
          <w:rFonts w:ascii="Arial" w:cs="Arial" w:eastAsia="Arial" w:hAnsi="Arial"/>
          <w:b/>
          <w:bCs/>
          <w:sz w:val="22"/>
          <w:szCs w:val="22"/>
        </w:rPr>
        <w:t xml:space="preserve">Reversibility. </w:t>
      </w:r>
      <w:r>
        <w:rPr>
          <w:rFonts w:ascii="Arial" w:cs="Arial" w:eastAsia="Arial" w:hAnsi="Arial"/>
          <w:sz w:val="22"/>
          <w:szCs w:val="22"/>
        </w:rPr>
        <w:t xml:space="preserve">Sites eliminated administratively are politically and procedurally costly to revive. A defensible shortlisting process reserves authority to revive a site if shortlisted sites prove problematic in deeper review.</w:t>
      </w:r>
    </w:p>
    <w:p>
      <w:pPr>
        <w:spacing w:after="120" w:before="240"/>
      </w:pPr>
      <w:r>
        <w:rPr>
          <w:rFonts w:ascii="Arial" w:cs="Arial" w:eastAsia="Arial" w:hAnsi="Arial"/>
          <w:b/>
          <w:bCs/>
          <w:sz w:val="24"/>
          <w:szCs w:val="24"/>
        </w:rPr>
        <w:t xml:space="preserve">3. Specific Gaps in the Current Lebanon Process</w:t>
      </w:r>
    </w:p>
    <w:p>
      <w:pPr>
        <w:spacing w:after="160" w:before="80" w:line="300"/>
      </w:pPr>
      <w:r>
        <w:rPr>
          <w:rFonts w:ascii="Arial" w:cs="Arial" w:eastAsia="Arial" w:hAnsi="Arial"/>
          <w:sz w:val="22"/>
          <w:szCs w:val="22"/>
        </w:rPr>
        <w:t xml:space="preserve">The petitioners identify the following specific gaps between the committee's stated process and the safeguards listed in Section 2:</w:t>
      </w:r>
    </w:p>
    <w:p>
      <w:pPr>
        <w:pStyle w:val="ListParagraph"/>
        <w:numPr>
          <w:ilvl w:val="0"/>
          <w:numId w:val="2"/>
        </w:numPr>
        <w:spacing w:after="120" w:before="60" w:line="300"/>
      </w:pPr>
      <w:r>
        <w:rPr>
          <w:rFonts w:ascii="Arial" w:cs="Arial" w:eastAsia="Arial" w:hAnsi="Arial"/>
          <w:b/>
          <w:bCs/>
          <w:sz w:val="22"/>
          <w:szCs w:val="22"/>
        </w:rPr>
        <w:t xml:space="preserve">Anchored scoring levels: not documented. </w:t>
      </w:r>
      <w:r>
        <w:rPr>
          <w:rFonts w:ascii="Arial" w:cs="Arial" w:eastAsia="Arial" w:hAnsi="Arial"/>
          <w:sz w:val="22"/>
          <w:szCs w:val="22"/>
        </w:rPr>
        <w:t xml:space="preserve">The transcript shows the engineer described scoring in general terms ("one is poor, major concerns; five is excellent fit") but did not provide criterion-specific anchors. What makes a site a "5" on Community Impact for one committee member may be a "3" for another. The committee should adopt a written rubric for each criterion before scoring.</w:t>
      </w:r>
    </w:p>
    <w:p>
      <w:pPr>
        <w:pStyle w:val="ListParagraph"/>
        <w:numPr>
          <w:ilvl w:val="0"/>
          <w:numId w:val="2"/>
        </w:numPr>
        <w:spacing w:after="120" w:before="60" w:line="300"/>
      </w:pPr>
      <w:r>
        <w:rPr>
          <w:rFonts w:ascii="Arial" w:cs="Arial" w:eastAsia="Arial" w:hAnsi="Arial"/>
          <w:b/>
          <w:bCs/>
          <w:sz w:val="22"/>
          <w:szCs w:val="22"/>
        </w:rPr>
        <w:t xml:space="preserve">Information asymmetry: acknowledged but unmitigated. </w:t>
      </w:r>
      <w:r>
        <w:rPr>
          <w:rFonts w:ascii="Arial" w:cs="Arial" w:eastAsia="Arial" w:hAnsi="Arial"/>
          <w:sz w:val="22"/>
          <w:szCs w:val="22"/>
        </w:rPr>
        <w:t xml:space="preserve">The engineer's site-by-site walkthrough on May 27 showed substantial variation in available data — some sites had detailed engineering measurements; others were described qualitatively. Scoring incompletely characterized sites against fully characterized sites produces non-commensurable results.</w:t>
      </w:r>
    </w:p>
    <w:p>
      <w:pPr>
        <w:pStyle w:val="ListParagraph"/>
        <w:numPr>
          <w:ilvl w:val="0"/>
          <w:numId w:val="2"/>
        </w:numPr>
        <w:spacing w:after="120" w:before="60" w:line="300"/>
      </w:pPr>
      <w:r>
        <w:rPr>
          <w:rFonts w:ascii="Arial" w:cs="Arial" w:eastAsia="Arial" w:hAnsi="Arial"/>
          <w:b/>
          <w:bCs/>
          <w:sz w:val="22"/>
          <w:szCs w:val="22"/>
        </w:rPr>
        <w:t xml:space="preserve">Deferred criteria: openly acknowledged. </w:t>
      </w:r>
      <w:r>
        <w:rPr>
          <w:rFonts w:ascii="Arial" w:cs="Arial" w:eastAsia="Arial" w:hAnsi="Arial"/>
          <w:sz w:val="22"/>
          <w:szCs w:val="22"/>
        </w:rPr>
        <w:t xml:space="preserve">At transcript minute 14:33, the engineer stated: </w:t>
      </w:r>
      <w:r>
        <w:rPr>
          <w:rFonts w:ascii="Arial" w:cs="Arial" w:eastAsia="Arial" w:hAnsi="Arial"/>
          <w:i/>
          <w:iCs/>
          <w:sz w:val="22"/>
          <w:szCs w:val="22"/>
        </w:rPr>
        <w:t xml:space="preserve">"There's additional criteria that aren't in there because it's going to take a lot of work to get back up on that full list of criteria. So, we're trying to do as short list as we can off of these five."</w:t>
      </w:r>
      <w:r>
        <w:rPr>
          <w:rFonts w:ascii="Arial" w:cs="Arial" w:eastAsia="Arial" w:hAnsi="Arial"/>
          <w:sz w:val="22"/>
          <w:szCs w:val="22"/>
        </w:rPr>
        <w:t xml:space="preserve"> This is an explicit, on-the-record acknowledgment that material criteria have been deferred. The petitioners do not object to deferral as a time-management decision, but request that deferred criteria be documented and that the committee commit, in writing, to revisiting them before final ranking.</w:t>
      </w:r>
    </w:p>
    <w:p>
      <w:pPr>
        <w:pStyle w:val="ListParagraph"/>
        <w:numPr>
          <w:ilvl w:val="0"/>
          <w:numId w:val="2"/>
        </w:numPr>
        <w:spacing w:after="120" w:before="60" w:line="300"/>
      </w:pPr>
      <w:r>
        <w:rPr>
          <w:rFonts w:ascii="Arial" w:cs="Arial" w:eastAsia="Arial" w:hAnsi="Arial"/>
          <w:b/>
          <w:bCs/>
          <w:sz w:val="22"/>
          <w:szCs w:val="22"/>
        </w:rPr>
        <w:t xml:space="preserve">Sensitivity analysis: not contemplated. </w:t>
      </w:r>
      <w:r>
        <w:rPr>
          <w:rFonts w:ascii="Arial" w:cs="Arial" w:eastAsia="Arial" w:hAnsi="Arial"/>
          <w:sz w:val="22"/>
          <w:szCs w:val="22"/>
        </w:rPr>
        <w:t xml:space="preserve">The current plan calls for scoring, eliminating, then proceeding. There is no documented intermediate step in which the stability of the scoring outcome is tested.</w:t>
      </w:r>
    </w:p>
    <w:p>
      <w:pPr>
        <w:pStyle w:val="ListParagraph"/>
        <w:numPr>
          <w:ilvl w:val="0"/>
          <w:numId w:val="2"/>
        </w:numPr>
        <w:spacing w:after="120" w:before="60" w:line="300"/>
      </w:pPr>
      <w:r>
        <w:rPr>
          <w:rFonts w:ascii="Arial" w:cs="Arial" w:eastAsia="Arial" w:hAnsi="Arial"/>
          <w:b/>
          <w:bCs/>
          <w:sz w:val="22"/>
          <w:szCs w:val="22"/>
        </w:rPr>
        <w:t xml:space="preserve">Reversibility: not addressed. </w:t>
      </w:r>
      <w:r>
        <w:rPr>
          <w:rFonts w:ascii="Arial" w:cs="Arial" w:eastAsia="Arial" w:hAnsi="Arial"/>
          <w:sz w:val="22"/>
          <w:szCs w:val="22"/>
        </w:rPr>
        <w:t xml:space="preserve">The current plan does not reserve authority to revive eliminated sites if shortlisted sites prove unsuitable in deeper engineering review. Without that reservation, an elimination is effectively permanent at the time it is made.</w:t>
      </w:r>
    </w:p>
    <w:p>
      <w:pPr>
        <w:spacing w:after="120" w:before="240"/>
      </w:pPr>
      <w:r>
        <w:rPr>
          <w:rFonts w:ascii="Arial" w:cs="Arial" w:eastAsia="Arial" w:hAnsi="Arial"/>
          <w:b/>
          <w:bCs/>
          <w:sz w:val="24"/>
          <w:szCs w:val="24"/>
        </w:rPr>
        <w:t xml:space="preserve">4. Recommended Procedural Safeguards</w:t>
      </w:r>
    </w:p>
    <w:p>
      <w:pPr>
        <w:spacing w:after="160" w:before="80" w:line="300"/>
      </w:pPr>
      <w:r>
        <w:rPr>
          <w:rFonts w:ascii="Arial" w:cs="Arial" w:eastAsia="Arial" w:hAnsi="Arial"/>
          <w:sz w:val="22"/>
          <w:szCs w:val="22"/>
        </w:rPr>
        <w:t xml:space="preserve">The petitioners do not request that the committee abandon shortlisting. The petitioners request that the committee adopt the following safeguards before any elimination vote:</w:t>
      </w:r>
    </w:p>
    <w:p>
      <w:pPr>
        <w:pStyle w:val="ListParagraph"/>
        <w:numPr>
          <w:ilvl w:val="0"/>
          <w:numId w:val="2"/>
        </w:numPr>
        <w:spacing w:after="120" w:before="60" w:line="300"/>
      </w:pPr>
      <w:r>
        <w:rPr>
          <w:rFonts w:ascii="Arial" w:cs="Arial" w:eastAsia="Arial" w:hAnsi="Arial"/>
          <w:sz w:val="22"/>
          <w:szCs w:val="22"/>
        </w:rPr>
        <w:t xml:space="preserve">Document anchored scoring levels for each of the five criteria in writing, entered into the public record before scoring begins.</w:t>
      </w:r>
    </w:p>
    <w:p>
      <w:pPr>
        <w:pStyle w:val="ListParagraph"/>
        <w:numPr>
          <w:ilvl w:val="0"/>
          <w:numId w:val="2"/>
        </w:numPr>
        <w:spacing w:after="120" w:before="60" w:line="300"/>
      </w:pPr>
      <w:r>
        <w:rPr>
          <w:rFonts w:ascii="Arial" w:cs="Arial" w:eastAsia="Arial" w:hAnsi="Arial"/>
          <w:sz w:val="22"/>
          <w:szCs w:val="22"/>
        </w:rPr>
        <w:t xml:space="preserve">Identify, in writing, which sites have engineering-grade information depth and which do not. Either supplement the underdocumented sites with additional engineering review, or expressly note the data limitation against each affected score.</w:t>
      </w:r>
    </w:p>
    <w:p>
      <w:pPr>
        <w:pStyle w:val="ListParagraph"/>
        <w:numPr>
          <w:ilvl w:val="0"/>
          <w:numId w:val="2"/>
        </w:numPr>
        <w:spacing w:after="120" w:before="60" w:line="300"/>
      </w:pPr>
      <w:r>
        <w:rPr>
          <w:rFonts w:ascii="Arial" w:cs="Arial" w:eastAsia="Arial" w:hAnsi="Arial"/>
          <w:sz w:val="22"/>
          <w:szCs w:val="22"/>
        </w:rPr>
        <w:t xml:space="preserve">Document, in writing, the basis for the 1-3 importance factor weights assigned to each criterion.</w:t>
      </w:r>
    </w:p>
    <w:p>
      <w:pPr>
        <w:pStyle w:val="ListParagraph"/>
        <w:numPr>
          <w:ilvl w:val="0"/>
          <w:numId w:val="2"/>
        </w:numPr>
        <w:spacing w:after="120" w:before="60" w:line="300"/>
      </w:pPr>
      <w:r>
        <w:rPr>
          <w:rFonts w:ascii="Arial" w:cs="Arial" w:eastAsia="Arial" w:hAnsi="Arial"/>
          <w:sz w:val="22"/>
          <w:szCs w:val="22"/>
        </w:rPr>
        <w:t xml:space="preserve">Conduct and publish a sensitivity analysis demonstrating that small variations (one point in a single score, or one step in a single weight) do not change which sites are eliminated.</w:t>
      </w:r>
    </w:p>
    <w:p>
      <w:pPr>
        <w:pStyle w:val="ListParagraph"/>
        <w:numPr>
          <w:ilvl w:val="0"/>
          <w:numId w:val="2"/>
        </w:numPr>
        <w:spacing w:after="120" w:before="60" w:line="300"/>
      </w:pPr>
      <w:r>
        <w:rPr>
          <w:rFonts w:ascii="Arial" w:cs="Arial" w:eastAsia="Arial" w:hAnsi="Arial"/>
          <w:sz w:val="22"/>
          <w:szCs w:val="22"/>
        </w:rPr>
        <w:t xml:space="preserve">Document, in writing, the list of deferred criteria and the meeting at which each will be reviewed before final ranking.</w:t>
      </w:r>
    </w:p>
    <w:p>
      <w:pPr>
        <w:pStyle w:val="ListParagraph"/>
        <w:numPr>
          <w:ilvl w:val="0"/>
          <w:numId w:val="2"/>
        </w:numPr>
        <w:spacing w:after="120" w:before="60" w:line="300"/>
      </w:pPr>
      <w:r>
        <w:rPr>
          <w:rFonts w:ascii="Arial" w:cs="Arial" w:eastAsia="Arial" w:hAnsi="Arial"/>
          <w:sz w:val="22"/>
          <w:szCs w:val="22"/>
        </w:rPr>
        <w:t xml:space="preserve">Adopt, by motion, a reservation of authority to revive any eliminated site if shortlisted sites prove unsuitable in deeper engineering review.</w:t>
      </w:r>
    </w:p>
    <w:p>
      <w:pPr>
        <w:spacing w:after="120" w:before="240"/>
      </w:pPr>
      <w:r>
        <w:rPr>
          <w:rFonts w:ascii="Arial" w:cs="Arial" w:eastAsia="Arial" w:hAnsi="Arial"/>
          <w:b/>
          <w:bCs/>
          <w:sz w:val="24"/>
          <w:szCs w:val="24"/>
        </w:rPr>
        <w:t xml:space="preserve">5. Formal Requests</w:t>
      </w:r>
    </w:p>
    <w:p>
      <w:pPr>
        <w:spacing w:after="160" w:before="80" w:line="300"/>
      </w:pPr>
      <w:r>
        <w:rPr>
          <w:rFonts w:ascii="Arial" w:cs="Arial" w:eastAsia="Arial" w:hAnsi="Arial"/>
          <w:sz w:val="22"/>
          <w:szCs w:val="22"/>
        </w:rPr>
        <w:t xml:space="preserve">We respectfully request that the committee:</w:t>
      </w:r>
    </w:p>
    <w:p>
      <w:pPr>
        <w:pStyle w:val="ListParagraph"/>
        <w:numPr>
          <w:ilvl w:val="0"/>
          <w:numId w:val="2"/>
        </w:numPr>
        <w:spacing w:after="120" w:before="60" w:line="300"/>
      </w:pPr>
      <w:r>
        <w:rPr>
          <w:rFonts w:ascii="Arial" w:cs="Arial" w:eastAsia="Arial" w:hAnsi="Arial"/>
          <w:sz w:val="22"/>
          <w:szCs w:val="22"/>
        </w:rPr>
        <w:t xml:space="preserve">Adopt the safeguards listed in Section 4 as a documented amendment to its scoring procedure before any vote eliminating sites from the candidate list;</w:t>
      </w:r>
    </w:p>
    <w:p>
      <w:pPr>
        <w:pStyle w:val="ListParagraph"/>
        <w:numPr>
          <w:ilvl w:val="0"/>
          <w:numId w:val="2"/>
        </w:numPr>
        <w:spacing w:after="120" w:before="60" w:line="300"/>
      </w:pPr>
      <w:r>
        <w:rPr>
          <w:rFonts w:ascii="Arial" w:cs="Arial" w:eastAsia="Arial" w:hAnsi="Arial"/>
          <w:sz w:val="22"/>
          <w:szCs w:val="22"/>
        </w:rPr>
        <w:t xml:space="preserve">Enter the documented methodology into the public record so that interested parties — including property owners whose sites are at risk of elimination — can review it for completeness and consistency; and</w:t>
      </w:r>
    </w:p>
    <w:p>
      <w:pPr>
        <w:pStyle w:val="ListParagraph"/>
        <w:numPr>
          <w:ilvl w:val="0"/>
          <w:numId w:val="2"/>
        </w:numPr>
        <w:spacing w:after="120" w:before="60" w:line="300"/>
      </w:pPr>
      <w:r>
        <w:rPr>
          <w:rFonts w:ascii="Arial" w:cs="Arial" w:eastAsia="Arial" w:hAnsi="Arial"/>
          <w:sz w:val="22"/>
          <w:szCs w:val="22"/>
        </w:rPr>
        <w:t xml:space="preserve">Defer any elimination vote until the procedural safeguards above have been adopted and made public.</w:t>
      </w:r>
    </w:p>
    <w:p>
      <w:pPr>
        <w:spacing w:after="160" w:before="80" w:line="300"/>
      </w:pPr>
      <w:r>
        <w:rPr>
          <w:rFonts w:ascii="Arial" w:cs="Arial" w:eastAsia="Arial" w:hAnsi="Arial"/>
          <w:b/>
          <w:bCs/>
          <w:sz w:val="22"/>
          <w:szCs w:val="22"/>
        </w:rPr>
        <w:t xml:space="preserve">Procedural rigor and procurement defensibility are aligned. </w:t>
      </w:r>
      <w:r>
        <w:rPr>
          <w:rFonts w:ascii="Arial" w:cs="Arial" w:eastAsia="Arial" w:hAnsi="Arial"/>
          <w:sz w:val="22"/>
          <w:szCs w:val="22"/>
        </w:rPr>
        <w:t xml:space="preserve">A documented, reproducible, sensitivity-tested shortlisting process protects both the committee and the city against the risk of a challenged elimination later in the procurement cycle. The petitioners' procedural concerns are not adversarial; they are intended to support a defensible siting decision that will withstand subsequent technical and public review.</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 (Appendix G)</w:t>
      </w:r>
    </w:p>
    <w:p>
      <w:r>
        <w:br w:type="page"/>
      </w:r>
    </w:p>
    <w:p>
      <w:pPr>
        <w:spacing w:after="80"/>
        <w:jc w:val="center"/>
      </w:pPr>
      <w:r>
        <w:rPr>
          <w:rFonts w:ascii="Arial" w:cs="Arial" w:eastAsia="Arial" w:hAnsi="Arial"/>
          <w:b/>
          <w:bCs/>
          <w:sz w:val="28"/>
          <w:szCs w:val="28"/>
        </w:rPr>
        <w:t xml:space="preserve">SUPPLEMENTAL NOTE — APPENDIX H</w:t>
      </w:r>
    </w:p>
    <w:p>
      <w:pPr>
        <w:spacing w:after="360"/>
        <w:jc w:val="center"/>
      </w:pPr>
      <w:r>
        <w:rPr>
          <w:rFonts w:ascii="Arial" w:cs="Arial" w:eastAsia="Arial" w:hAnsi="Arial"/>
          <w:b/>
          <w:bCs/>
          <w:sz w:val="24"/>
          <w:szCs w:val="24"/>
        </w:rPr>
        <w:t xml:space="preserve">Columbia Gulf Transmission Gas Pipeline: Asymmetric Application of Site Scoring</w:t>
      </w:r>
    </w:p>
    <w:p>
      <w:pPr>
        <w:spacing w:after="160" w:before="80" w:line="300"/>
      </w:pPr>
      <w:r>
        <w:rPr>
          <w:rFonts w:ascii="Arial" w:cs="Arial" w:eastAsia="Arial" w:hAnsi="Arial"/>
          <w:sz w:val="22"/>
          <w:szCs w:val="22"/>
        </w:rPr>
        <w:t xml:space="preserve">This appendix documents an asymmetry in the city's site evaluation: the same Columbia Gulf Transmission natural gas pipeline that the city cited as a deprioritizing factor for the Rockwood site at its March 19, 2026 working session crosses through the Mann Road, Berea Church Road, Maple Hill Road, and Coles Ferry Pike corridor in which Sites 1 through 7 are located. The petitioners formally request that the same risk analysis the city applied to Rockwood be applied to every candidate site within the Columbia Gulf alignment, and that the results be entered into the public record before any elimination vote.</w:t>
      </w:r>
    </w:p>
    <w:p>
      <w:pPr>
        <w:spacing w:after="120" w:before="240"/>
      </w:pPr>
      <w:r>
        <w:rPr>
          <w:rFonts w:ascii="Arial" w:cs="Arial" w:eastAsia="Arial" w:hAnsi="Arial"/>
          <w:b/>
          <w:bCs/>
          <w:sz w:val="24"/>
          <w:szCs w:val="24"/>
        </w:rPr>
        <w:t xml:space="preserve">1. The Pipeline System</w:t>
      </w:r>
    </w:p>
    <w:p>
      <w:pPr>
        <w:spacing w:after="160" w:before="80" w:line="300"/>
      </w:pPr>
      <w:r>
        <w:rPr>
          <w:rFonts w:ascii="Arial" w:cs="Arial" w:eastAsia="Arial" w:hAnsi="Arial"/>
          <w:sz w:val="22"/>
          <w:szCs w:val="22"/>
        </w:rPr>
        <w:t xml:space="preserve">Columbia Gulf Transmission, LLC operates a 3,367-mile interstate natural gas pipeline system regulated by the U.S. Federal Energy Regulatory Commission (FERC) and the Pipeline and Hazardous Materials Safety Administration (PHMSA). In Williamson, Wilson, and Davidson Counties, Tennessee, the system consists of three high-pressure transmission lines documented in PHMSA Special Permit PHMSA-2008-0066:</w:t>
      </w:r>
    </w:p>
    <w:p>
      <w:pPr>
        <w:pStyle w:val="ListParagraph"/>
        <w:numPr>
          <w:ilvl w:val="0"/>
          <w:numId w:val="2"/>
        </w:numPr>
        <w:spacing w:after="120" w:before="60" w:line="300"/>
      </w:pPr>
      <w:r>
        <w:rPr>
          <w:rFonts w:ascii="Arial" w:cs="Arial" w:eastAsia="Arial" w:hAnsi="Arial"/>
          <w:b/>
          <w:bCs/>
          <w:sz w:val="22"/>
          <w:szCs w:val="22"/>
        </w:rPr>
        <w:t xml:space="preserve">Mainline 100: </w:t>
      </w:r>
      <w:r>
        <w:rPr>
          <w:rFonts w:ascii="Arial" w:cs="Arial" w:eastAsia="Arial" w:hAnsi="Arial"/>
          <w:sz w:val="22"/>
          <w:szCs w:val="22"/>
        </w:rPr>
        <w:t xml:space="preserve">30-inch diameter, maximum allowable operating pressure (MAOP) 935 psig.</w:t>
      </w:r>
    </w:p>
    <w:p>
      <w:pPr>
        <w:pStyle w:val="ListParagraph"/>
        <w:numPr>
          <w:ilvl w:val="0"/>
          <w:numId w:val="2"/>
        </w:numPr>
        <w:spacing w:after="120" w:before="60" w:line="300"/>
      </w:pPr>
      <w:r>
        <w:rPr>
          <w:rFonts w:ascii="Arial" w:cs="Arial" w:eastAsia="Arial" w:hAnsi="Arial"/>
          <w:b/>
          <w:bCs/>
          <w:sz w:val="22"/>
          <w:szCs w:val="22"/>
        </w:rPr>
        <w:t xml:space="preserve">Mainline 200: </w:t>
      </w:r>
      <w:r>
        <w:rPr>
          <w:rFonts w:ascii="Arial" w:cs="Arial" w:eastAsia="Arial" w:hAnsi="Arial"/>
          <w:sz w:val="22"/>
          <w:szCs w:val="22"/>
        </w:rPr>
        <w:t xml:space="preserve">30-inch diameter, MAOP 1,007 psig. The same line implicated in two major Kentucky rupture events documented in Section 2 below.</w:t>
      </w:r>
    </w:p>
    <w:p>
      <w:pPr>
        <w:pStyle w:val="ListParagraph"/>
        <w:numPr>
          <w:ilvl w:val="0"/>
          <w:numId w:val="2"/>
        </w:numPr>
        <w:spacing w:after="120" w:before="60" w:line="300"/>
      </w:pPr>
      <w:r>
        <w:rPr>
          <w:rFonts w:ascii="Arial" w:cs="Arial" w:eastAsia="Arial" w:hAnsi="Arial"/>
          <w:b/>
          <w:bCs/>
          <w:sz w:val="22"/>
          <w:szCs w:val="22"/>
        </w:rPr>
        <w:t xml:space="preserve">Mainline 300: </w:t>
      </w:r>
      <w:r>
        <w:rPr>
          <w:rFonts w:ascii="Arial" w:cs="Arial" w:eastAsia="Arial" w:hAnsi="Arial"/>
          <w:sz w:val="22"/>
          <w:szCs w:val="22"/>
        </w:rPr>
        <w:t xml:space="preserve">36-inch diameter, MAOP 1,007 psig.</w:t>
      </w:r>
    </w:p>
    <w:p>
      <w:pPr>
        <w:spacing w:after="160" w:before="80" w:line="300"/>
      </w:pPr>
      <w:r>
        <w:rPr>
          <w:rFonts w:ascii="Arial" w:cs="Arial" w:eastAsia="Arial" w:hAnsi="Arial"/>
          <w:sz w:val="22"/>
          <w:szCs w:val="22"/>
        </w:rPr>
        <w:t xml:space="preserve">These lines pass through portions of Wilson County including the rural residential corridor along Mann Road, Berea Church Road, Maple Hill Road, and Coles Ferry Pike. The PHMSA special permit governing this pipeline class explicitly addresses the conversion of multiple segments from Class 1 (low population density) to Class 3 (higher population density) location classifications — a regulatory acknowledgment that residential development has grown around the pipelines since their original construction.</w:t>
      </w:r>
    </w:p>
    <w:p>
      <w:pPr>
        <w:spacing w:after="120" w:before="240"/>
      </w:pPr>
      <w:r>
        <w:rPr>
          <w:rFonts w:ascii="Arial" w:cs="Arial" w:eastAsia="Arial" w:hAnsi="Arial"/>
          <w:b/>
          <w:bCs/>
          <w:sz w:val="24"/>
          <w:szCs w:val="24"/>
        </w:rPr>
        <w:t xml:space="preserve">2. Documented Failure History on Mainline 200</w:t>
      </w:r>
    </w:p>
    <w:p>
      <w:pPr>
        <w:spacing w:after="160" w:before="80" w:line="300"/>
      </w:pPr>
      <w:r>
        <w:rPr>
          <w:rFonts w:ascii="Arial" w:cs="Arial" w:eastAsia="Arial" w:hAnsi="Arial"/>
          <w:sz w:val="22"/>
          <w:szCs w:val="22"/>
        </w:rPr>
        <w:t xml:space="preserve">PHMSA failure investigation reports document two significant ruptures of Columbia Gulf Mainline 200 within the past fifteen years, both attributed to causes that are not necessarily limited to a single geographic area:</w:t>
      </w:r>
    </w:p>
    <w:p>
      <w:pPr>
        <w:pStyle w:val="ListParagraph"/>
        <w:numPr>
          <w:ilvl w:val="0"/>
          <w:numId w:val="2"/>
        </w:numPr>
        <w:spacing w:after="120" w:before="60" w:line="300"/>
      </w:pPr>
      <w:r>
        <w:rPr>
          <w:rFonts w:ascii="Arial" w:cs="Arial" w:eastAsia="Arial" w:hAnsi="Arial"/>
          <w:b/>
          <w:bCs/>
          <w:sz w:val="22"/>
          <w:szCs w:val="22"/>
        </w:rPr>
        <w:t xml:space="preserve">January 2, 2012 — Estill County, Kentucky (Hargett). </w:t>
      </w:r>
      <w:r>
        <w:rPr>
          <w:rFonts w:ascii="Arial" w:cs="Arial" w:eastAsia="Arial" w:hAnsi="Arial"/>
          <w:sz w:val="22"/>
          <w:szCs w:val="22"/>
        </w:rPr>
        <w:t xml:space="preserve">Mainline 200 ruptured, expelling pipe pieces and creating a crater approximately 86 feet long, 22 feet wide. An ensuing fire deformed vinyl siding on a residence located more than 800 feet from the rupture. Total damage cost approximately $1.7 million. PHMSA attributed the failure to pipeline overstress from land movement.</w:t>
      </w:r>
    </w:p>
    <w:p>
      <w:pPr>
        <w:pStyle w:val="ListParagraph"/>
        <w:numPr>
          <w:ilvl w:val="0"/>
          <w:numId w:val="2"/>
        </w:numPr>
        <w:spacing w:after="120" w:before="60" w:line="300"/>
      </w:pPr>
      <w:r>
        <w:rPr>
          <w:rFonts w:ascii="Arial" w:cs="Arial" w:eastAsia="Arial" w:hAnsi="Arial"/>
          <w:b/>
          <w:bCs/>
          <w:sz w:val="22"/>
          <w:szCs w:val="22"/>
        </w:rPr>
        <w:t xml:space="preserve">February 13, 2014 — Adair County, Kentucky (Knifley). </w:t>
      </w:r>
      <w:r>
        <w:rPr>
          <w:rFonts w:ascii="Arial" w:cs="Arial" w:eastAsia="Arial" w:hAnsi="Arial"/>
          <w:sz w:val="22"/>
          <w:szCs w:val="22"/>
        </w:rPr>
        <w:t xml:space="preserve">Mainline 200 ruptured at Milepost 79.9, creating a crater approximately 105 feet long, 44 feet wide, and 25 feet deep. The rupture and ensuing fire destroyed two houses, damaged another residence, and injured two people. Total damage cost approximately $1.8 million. PHMSA attributed the failure to a hydrogen-assisted girth weld crack failing under external axial loading, with the most likely cause of axial loading being land movement.</w:t>
      </w:r>
    </w:p>
    <w:p>
      <w:pPr>
        <w:spacing w:after="160" w:before="80" w:line="300"/>
      </w:pPr>
      <w:r>
        <w:rPr>
          <w:rFonts w:ascii="Arial" w:cs="Arial" w:eastAsia="Arial" w:hAnsi="Arial"/>
          <w:sz w:val="22"/>
          <w:szCs w:val="22"/>
        </w:rPr>
        <w:t xml:space="preserve">Both ruptures occurred on the same 30-inch Mainline 200 pipe that traverses Williamson, Wilson, and Davidson Counties in Tennessee. The reported causes — land movement, hydrogen embrittlement of legacy girth welds — are properties of the pipeline material and the geologic setting, not of any one milepost. The same modes of failure are credible anywhere along the same line.</w:t>
      </w:r>
    </w:p>
    <w:p>
      <w:pPr>
        <w:spacing w:after="120" w:before="240"/>
      </w:pPr>
      <w:r>
        <w:rPr>
          <w:rFonts w:ascii="Arial" w:cs="Arial" w:eastAsia="Arial" w:hAnsi="Arial"/>
          <w:b/>
          <w:bCs/>
          <w:sz w:val="24"/>
          <w:szCs w:val="24"/>
        </w:rPr>
        <w:t xml:space="preserve">3. The Asymmetry</w:t>
      </w:r>
    </w:p>
    <w:p>
      <w:pPr>
        <w:spacing w:after="160" w:before="80" w:line="300"/>
      </w:pPr>
      <w:r>
        <w:rPr>
          <w:rFonts w:ascii="Arial" w:cs="Arial" w:eastAsia="Arial" w:hAnsi="Arial"/>
          <w:sz w:val="22"/>
          <w:szCs w:val="22"/>
        </w:rPr>
        <w:t xml:space="preserve">During the public comment portion of the June 2, 2026 Site Selection Committee meeting (transcript minute 1:34:09), Wilson County resident Teresa Rogers stated: </w:t>
      </w:r>
      <w:r>
        <w:rPr>
          <w:rFonts w:ascii="Arial" w:cs="Arial" w:eastAsia="Arial" w:hAnsi="Arial"/>
          <w:i/>
          <w:iCs/>
          <w:sz w:val="22"/>
          <w:szCs w:val="22"/>
        </w:rPr>
        <w:t xml:space="preserve">"At the March 19th working session, this city reported that the Rockwood site has a gas pipeline easement limiting its usability. That is the Columbia Gulf transmission pipeline. It runs through Man Road, Berea Church, Maple Hill, Kohl's Ferry. Where is the analysis report for each of these parcels that you did for Rockwood? The same pipeline series exploded in Kentucky in 2012 and 2014."</w:t>
      </w:r>
      <w:r>
        <w:rPr>
          <w:rFonts w:ascii="Arial" w:cs="Arial" w:eastAsia="Arial" w:hAnsi="Arial"/>
          <w:sz w:val="22"/>
          <w:szCs w:val="22"/>
        </w:rPr>
        <w:t xml:space="preserve"> To the petitioners' knowledge, the committee has not responded on the record to Ms. Rogers' observation.</w:t>
      </w:r>
    </w:p>
    <w:p>
      <w:pPr>
        <w:spacing w:after="160" w:before="80" w:line="300"/>
      </w:pPr>
      <w:r>
        <w:rPr>
          <w:rFonts w:ascii="Arial" w:cs="Arial" w:eastAsia="Arial" w:hAnsi="Arial"/>
          <w:sz w:val="22"/>
          <w:szCs w:val="22"/>
        </w:rPr>
        <w:t xml:space="preserve">If the Columbia Gulf pipeline easement is, as the city has reportedly determined, a sufficient deprioritizing factor to mark the Rockwood site as having </w:t>
      </w:r>
      <w:r>
        <w:rPr>
          <w:rFonts w:ascii="Arial" w:cs="Arial" w:eastAsia="Arial" w:hAnsi="Arial"/>
          <w:i/>
          <w:iCs/>
          <w:sz w:val="22"/>
          <w:szCs w:val="22"/>
        </w:rPr>
        <w:t xml:space="preserve">"limited usability,"</w:t>
      </w:r>
      <w:r>
        <w:rPr>
          <w:rFonts w:ascii="Arial" w:cs="Arial" w:eastAsia="Arial" w:hAnsi="Arial"/>
          <w:sz w:val="22"/>
          <w:szCs w:val="22"/>
        </w:rPr>
        <w:t xml:space="preserve"> then the same factor — the same pipeline class, the same operating pressures, the same documented failure modes — must be applied consistently to every other candidate site that lies within the Columbia Gulf alignment. To do otherwise is to apply a non-uniform scoring standard, which is inconsistent with both the committee's adopted scoring matrix and the procedural safeguards documented in Appendix G.</w:t>
      </w:r>
    </w:p>
    <w:p>
      <w:pPr>
        <w:spacing w:after="160" w:before="80" w:line="300"/>
      </w:pPr>
      <w:r>
        <w:rPr>
          <w:rFonts w:ascii="Arial" w:cs="Arial" w:eastAsia="Arial" w:hAnsi="Arial"/>
          <w:b/>
          <w:bCs/>
          <w:sz w:val="22"/>
          <w:szCs w:val="22"/>
        </w:rPr>
        <w:t xml:space="preserve">Sites 1 through 7, located along Mann Road, Berea Church Road, and Coles Ferry Pike, fall within the same Columbia Gulf pipeline corridor invoked to deprioritize Rockwood. </w:t>
      </w:r>
      <w:r>
        <w:rPr>
          <w:rFonts w:ascii="Arial" w:cs="Arial" w:eastAsia="Arial" w:hAnsi="Arial"/>
          <w:sz w:val="22"/>
          <w:szCs w:val="22"/>
        </w:rPr>
        <w:t xml:space="preserve">Unless the committee can document — on the public record, with supporting parcel-specific analysis — that these sites are materially less exposed to pipeline-related risk than Rockwood, the committee's scoring methodology cannot be defended as uniformly applied.</w:t>
      </w:r>
    </w:p>
    <w:p>
      <w:pPr>
        <w:spacing w:after="120" w:before="240"/>
      </w:pPr>
      <w:r>
        <w:rPr>
          <w:rFonts w:ascii="Arial" w:cs="Arial" w:eastAsia="Arial" w:hAnsi="Arial"/>
          <w:b/>
          <w:bCs/>
          <w:sz w:val="24"/>
          <w:szCs w:val="24"/>
        </w:rPr>
        <w:t xml:space="preserve">4. Compounding Risk: Pipe Routing Through Karst</w:t>
      </w:r>
    </w:p>
    <w:p>
      <w:pPr>
        <w:spacing w:after="160" w:before="80" w:line="300"/>
      </w:pPr>
      <w:r>
        <w:rPr>
          <w:rFonts w:ascii="Arial" w:cs="Arial" w:eastAsia="Arial" w:hAnsi="Arial"/>
          <w:sz w:val="22"/>
          <w:szCs w:val="22"/>
        </w:rPr>
        <w:t xml:space="preserve">The geologic setting that creates the karst-aquifer risk documented in Appendix C is the same setting that has been associated, in PHMSA failure analysis, with land movement as a contributing cause of Mainline 200 rupture events. Karst terrain is characterized by subsurface dissolution features, sinkhole development, and differential settlement — all of which exert variable axial loading on buried steel pipe. The pipeline corridor and the karst aquifer corridor are not independent risks; they overlap geographically, and the failure modes of one (sinkhole formation) may directly induce the failure modes of the other (pipe rupture from land movement).</w:t>
      </w:r>
    </w:p>
    <w:p>
      <w:pPr>
        <w:spacing w:after="120" w:before="240"/>
      </w:pPr>
      <w:r>
        <w:rPr>
          <w:rFonts w:ascii="Arial" w:cs="Arial" w:eastAsia="Arial" w:hAnsi="Arial"/>
          <w:b/>
          <w:bCs/>
          <w:sz w:val="24"/>
          <w:szCs w:val="24"/>
        </w:rPr>
        <w:t xml:space="preserve">5. Formal Requests</w:t>
      </w:r>
    </w:p>
    <w:p>
      <w:pPr>
        <w:spacing w:after="160" w:before="80" w:line="300"/>
      </w:pPr>
      <w:r>
        <w:rPr>
          <w:rFonts w:ascii="Arial" w:cs="Arial" w:eastAsia="Arial" w:hAnsi="Arial"/>
          <w:sz w:val="22"/>
          <w:szCs w:val="22"/>
        </w:rPr>
        <w:t xml:space="preserve">We respectfully request that the committee, prior to any vote eliminating or ranking sites:</w:t>
      </w:r>
    </w:p>
    <w:p>
      <w:pPr>
        <w:pStyle w:val="ListParagraph"/>
        <w:numPr>
          <w:ilvl w:val="0"/>
          <w:numId w:val="2"/>
        </w:numPr>
        <w:spacing w:after="120" w:before="60" w:line="300"/>
      </w:pPr>
      <w:r>
        <w:rPr>
          <w:rFonts w:ascii="Arial" w:cs="Arial" w:eastAsia="Arial" w:hAnsi="Arial"/>
          <w:sz w:val="22"/>
          <w:szCs w:val="22"/>
        </w:rPr>
        <w:t xml:space="preserve">Produce and enter into the public record the parcel-specific Columbia Gulf pipeline risk analysis prepared for the Rockwood site, including the analytical basis on which Rockwood's "limited usability" determination was made;</w:t>
      </w:r>
    </w:p>
    <w:p>
      <w:pPr>
        <w:pStyle w:val="ListParagraph"/>
        <w:numPr>
          <w:ilvl w:val="0"/>
          <w:numId w:val="2"/>
        </w:numPr>
        <w:spacing w:after="120" w:before="60" w:line="300"/>
      </w:pPr>
      <w:r>
        <w:rPr>
          <w:rFonts w:ascii="Arial" w:cs="Arial" w:eastAsia="Arial" w:hAnsi="Arial"/>
          <w:sz w:val="22"/>
          <w:szCs w:val="22"/>
        </w:rPr>
        <w:t xml:space="preserve">Apply that same analytical framework to every candidate site within the Columbia Gulf alignment, including Sites 1 through 7 and any other Mann Road / Berea Church Road / Maple Hill / Coles Ferry Pike sites currently under consideration;</w:t>
      </w:r>
    </w:p>
    <w:p>
      <w:pPr>
        <w:pStyle w:val="ListParagraph"/>
        <w:numPr>
          <w:ilvl w:val="0"/>
          <w:numId w:val="2"/>
        </w:numPr>
        <w:spacing w:after="120" w:before="60" w:line="300"/>
      </w:pPr>
      <w:r>
        <w:rPr>
          <w:rFonts w:ascii="Arial" w:cs="Arial" w:eastAsia="Arial" w:hAnsi="Arial"/>
          <w:sz w:val="22"/>
          <w:szCs w:val="22"/>
        </w:rPr>
        <w:t xml:space="preserve">Document, in writing, why any candidate site within the Columbia Gulf alignment should not be subject to the same deprioritization that was applied to Rockwood;</w:t>
      </w:r>
    </w:p>
    <w:p>
      <w:pPr>
        <w:pStyle w:val="ListParagraph"/>
        <w:numPr>
          <w:ilvl w:val="0"/>
          <w:numId w:val="2"/>
        </w:numPr>
        <w:spacing w:after="120" w:before="60" w:line="300"/>
      </w:pPr>
      <w:r>
        <w:rPr>
          <w:rFonts w:ascii="Arial" w:cs="Arial" w:eastAsia="Arial" w:hAnsi="Arial"/>
          <w:sz w:val="22"/>
          <w:szCs w:val="22"/>
        </w:rPr>
        <w:t xml:space="preserve">Coordinate with Columbia Gulf Transmission, LLC and PHMSA to obtain the route alignment, easement width, depth-of-cover, last inspection date, and class location status for the Mainline 100, 200, and 300 segments crossing each candidate site; and</w:t>
      </w:r>
    </w:p>
    <w:p>
      <w:pPr>
        <w:pStyle w:val="ListParagraph"/>
        <w:numPr>
          <w:ilvl w:val="0"/>
          <w:numId w:val="2"/>
        </w:numPr>
        <w:spacing w:after="120" w:before="60" w:line="300"/>
      </w:pPr>
      <w:r>
        <w:rPr>
          <w:rFonts w:ascii="Arial" w:cs="Arial" w:eastAsia="Arial" w:hAnsi="Arial"/>
          <w:sz w:val="22"/>
          <w:szCs w:val="22"/>
        </w:rPr>
        <w:t xml:space="preserve">Coordinate with the City of Lebanon Fire Department and Wilson County Emergency Management to assess emergency response capability in the event of a Mainline 200-class rupture along the corridor adjacent to each candidate site.</w:t>
      </w:r>
    </w:p>
    <w:p>
      <w:pPr>
        <w:spacing w:after="160" w:before="80" w:line="300"/>
      </w:pPr>
      <w:r>
        <w:rPr>
          <w:rFonts w:ascii="Arial" w:cs="Arial" w:eastAsia="Arial" w:hAnsi="Arial"/>
          <w:b/>
          <w:bCs/>
          <w:sz w:val="22"/>
          <w:szCs w:val="22"/>
        </w:rPr>
        <w:t xml:space="preserve">A risk factor that disqualifies one site cannot be ignored at another. </w:t>
      </w:r>
      <w:r>
        <w:rPr>
          <w:rFonts w:ascii="Arial" w:cs="Arial" w:eastAsia="Arial" w:hAnsi="Arial"/>
          <w:sz w:val="22"/>
          <w:szCs w:val="22"/>
        </w:rPr>
        <w:t xml:space="preserve">The petitioners do not request that pipeline proximity disqualify any specific site; the petitioners request that pipeline proximity be evaluated uniformly across all candidate sites, that the analytical results be made public, and that any deviation in treatment between sites be explained on the record.</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 (Appendix H)</w:t>
      </w:r>
    </w:p>
    <w:p>
      <w:pPr>
        <w:spacing w:after="0"/>
        <w:jc w:val="center"/>
      </w:pPr>
      <w:r>
        <w:rPr>
          <w:rFonts w:ascii="Arial" w:cs="Arial" w:eastAsia="Arial" w:hAnsi="Arial"/>
          <w:b/>
          <w:bCs/>
          <w:sz w:val="26"/>
          <w:szCs w:val="26"/>
        </w:rPr>
        <w:t xml:space="preserve">SUPPLEMENTAL NOTE — APPENDIX I</w:t>
      </w:r>
    </w:p>
    <w:p>
      <w:pPr>
        <w:spacing w:after="360"/>
        <w:jc w:val="center"/>
      </w:pPr>
      <w:r>
        <w:rPr>
          <w:rFonts w:ascii="Arial" w:cs="Arial" w:eastAsia="Arial" w:hAnsi="Arial"/>
          <w:b/>
          <w:bCs/>
          <w:sz w:val="24"/>
          <w:szCs w:val="24"/>
        </w:rPr>
        <w:t xml:space="preserve">Biosolids Disposal: Traffic Impact and Infrastructure Disclosure Gap</w:t>
      </w:r>
    </w:p>
    <w:p>
      <w:pPr>
        <w:spacing w:after="160" w:before="80" w:line="300"/>
      </w:pPr>
      <w:r>
        <w:rPr>
          <w:rFonts w:ascii="Arial" w:cs="Arial" w:eastAsia="Arial" w:hAnsi="Arial"/>
          <w:i/>
          <w:iCs/>
          <w:sz w:val="22"/>
          <w:szCs w:val="22"/>
        </w:rPr>
        <w:t xml:space="preserve">Prepared by Todd Roark and Tich Chaikumnerd in support of the Public Record Statement filed with the City of Lebanon Wastewater Treatment Plant Site Selection Committee.</w:t>
      </w:r>
    </w:p>
    <w:p>
      <w:pPr>
        <w:spacing w:after="120" w:before="240"/>
      </w:pPr>
      <w:r>
        <w:rPr>
          <w:rFonts w:ascii="Arial" w:cs="Arial" w:eastAsia="Arial" w:hAnsi="Arial"/>
          <w:b/>
          <w:bCs/>
          <w:sz w:val="24"/>
          <w:szCs w:val="24"/>
        </w:rPr>
        <w:t xml:space="preserve">I.1  Background: Current Plant Biosolids Management</w:t>
      </w:r>
    </w:p>
    <w:p>
      <w:pPr>
        <w:spacing w:after="160" w:before="80" w:line="300"/>
      </w:pPr>
      <w:r>
        <w:rPr>
          <w:rFonts w:ascii="Arial" w:cs="Arial" w:eastAsia="Arial" w:hAnsi="Arial"/>
          <w:sz w:val="22"/>
          <w:szCs w:val="22"/>
        </w:rPr>
        <w:t xml:space="preserve">The existing Lebanon WWTP at 321 Hartmann Drive operates with a 10 MGD design capacity and includes two features relevant to biosolids management:</w:t>
      </w:r>
    </w:p>
    <w:p>
      <w:pPr>
        <w:spacing w:after="160" w:before="80" w:line="300"/>
      </w:pPr>
      <w:r>
        <w:rPr>
          <w:rFonts w:ascii="Arial" w:cs="Arial" w:eastAsia="Arial" w:hAnsi="Arial"/>
          <w:b/>
          <w:bCs/>
          <w:sz w:val="22"/>
          <w:szCs w:val="22"/>
        </w:rPr>
        <w:t xml:space="preserve">1. High-rate anaerobic digestion </w:t>
      </w:r>
      <w:r>
        <w:rPr>
          <w:rFonts w:ascii="Arial" w:cs="Arial" w:eastAsia="Arial" w:hAnsi="Arial"/>
          <w:sz w:val="22"/>
          <w:szCs w:val="22"/>
        </w:rPr>
        <w:t xml:space="preserve">— two 1.9 million-gallon mesophilic digesters with a minimum 30-day retention time, which reduces the volatile solids content of raw sludge by approximately 50–60 percent before dewatering.</w:t>
      </w:r>
    </w:p>
    <w:p>
      <w:pPr>
        <w:spacing w:after="160" w:before="80" w:line="300"/>
      </w:pPr>
      <w:r>
        <w:rPr>
          <w:rFonts w:ascii="Arial" w:cs="Arial" w:eastAsia="Arial" w:hAnsi="Arial"/>
          <w:b/>
          <w:bCs/>
          <w:sz w:val="22"/>
          <w:szCs w:val="22"/>
        </w:rPr>
        <w:t xml:space="preserve">2. On-site gasification </w:t>
      </w:r>
      <w:r>
        <w:rPr>
          <w:rFonts w:ascii="Arial" w:cs="Arial" w:eastAsia="Arial" w:hAnsi="Arial"/>
          <w:sz w:val="22"/>
          <w:szCs w:val="22"/>
        </w:rPr>
        <w:t xml:space="preserve">— operational since October 2016, converting dewatered biosolids and wood waste to electricity, substantially reducing or eliminating the volume of biosolids requiring off-site disposal.</w:t>
      </w:r>
    </w:p>
    <w:p>
      <w:pPr>
        <w:spacing w:after="160" w:before="80" w:line="300"/>
      </w:pPr>
      <w:r>
        <w:rPr>
          <w:rFonts w:ascii="Arial" w:cs="Arial" w:eastAsia="Arial" w:hAnsi="Arial"/>
          <w:sz w:val="22"/>
          <w:szCs w:val="22"/>
        </w:rPr>
        <w:t xml:space="preserve">As a result, outbound heavy-truck traffic attributable to biosolids disposal at the existing Hartmann Drive facility is currently minimal. This is relevant because it means the existing site's traffic profile is not a meaningful baseline for projecting traffic at a new site that would not include equivalent infrastructure.</w:t>
      </w:r>
    </w:p>
    <w:p>
      <w:pPr>
        <w:spacing w:after="120" w:before="240"/>
      </w:pPr>
      <w:r>
        <w:rPr>
          <w:rFonts w:ascii="Arial" w:cs="Arial" w:eastAsia="Arial" w:hAnsi="Arial"/>
          <w:b/>
          <w:bCs/>
          <w:sz w:val="24"/>
          <w:szCs w:val="24"/>
        </w:rPr>
        <w:t xml:space="preserve">I.2  The New Facility Would Not Inherit This Infrastructure</w:t>
      </w:r>
    </w:p>
    <w:p>
      <w:pPr>
        <w:spacing w:after="160" w:before="80" w:line="300"/>
      </w:pPr>
      <w:r>
        <w:rPr>
          <w:rFonts w:ascii="Arial" w:cs="Arial" w:eastAsia="Arial" w:hAnsi="Arial"/>
          <w:sz w:val="22"/>
          <w:szCs w:val="22"/>
        </w:rPr>
        <w:t xml:space="preserve">The proposed new facility would be built on a greenfield site. The gasification system at the existing plant represents a significant capital investment and a specialized permitting footprint. There is no indication in the public record that the city intends to replicate it at the new location. Without on-site gasification — and potentially without anaerobic digestion, which the city has also not specified — a new 20 MGD facility would generate substantially greater outbound biosolids traffic than the existing plant currently produces.</w:t>
      </w:r>
    </w:p>
    <w:p>
      <w:pPr>
        <w:spacing w:after="120" w:before="240"/>
      </w:pPr>
      <w:r>
        <w:rPr>
          <w:rFonts w:ascii="Arial" w:cs="Arial" w:eastAsia="Arial" w:hAnsi="Arial"/>
          <w:b/>
          <w:bCs/>
          <w:sz w:val="24"/>
          <w:szCs w:val="24"/>
        </w:rPr>
        <w:t xml:space="preserve">I.3  Estimated Biosolids Volume at 20 MGD</w:t>
      </w:r>
    </w:p>
    <w:p>
      <w:pPr>
        <w:spacing w:after="160" w:before="80" w:line="300"/>
      </w:pPr>
      <w:r>
        <w:rPr>
          <w:rFonts w:ascii="Arial" w:cs="Arial" w:eastAsia="Arial" w:hAnsi="Arial"/>
          <w:sz w:val="22"/>
          <w:szCs w:val="22"/>
        </w:rPr>
        <w:t xml:space="preserve">A conventional municipal treatment plant with biological treatment generates approximately 1,500–2,500 lbs of dry solids per million gallons treated. With anaerobic digestion, net dry solids are reduced by roughly 35 percent:</w:t>
      </w:r>
    </w:p>
    <w:p>
      <w:pPr>
        <w:spacing w:after="160" w:before="80" w:line="300"/>
      </w:pPr>
      <w:r>
        <w:rPr>
          <w:rFonts w:ascii="Arial" w:cs="Arial" w:eastAsia="Arial" w:hAnsi="Arial"/>
          <w:sz w:val="22"/>
          <w:szCs w:val="22"/>
        </w:rPr>
        <w:t xml:space="preserve">Dry solids at 20 MGD (with digestion): approximately 19,000–32,000 lbs/day</w:t>
      </w:r>
    </w:p>
    <w:p>
      <w:pPr>
        <w:spacing w:after="160" w:before="80" w:line="300"/>
      </w:pPr>
      <w:r>
        <w:rPr>
          <w:rFonts w:ascii="Arial" w:cs="Arial" w:eastAsia="Arial" w:hAnsi="Arial"/>
          <w:sz w:val="22"/>
          <w:szCs w:val="22"/>
        </w:rPr>
        <w:t xml:space="preserve">Dewatered to approximately 20 percent total solids: approximately 45–80 tons/day</w:t>
      </w:r>
    </w:p>
    <w:p>
      <w:pPr>
        <w:spacing w:after="160" w:before="80" w:line="300"/>
      </w:pPr>
      <w:r>
        <w:rPr>
          <w:rFonts w:ascii="Arial" w:cs="Arial" w:eastAsia="Arial" w:hAnsi="Arial"/>
          <w:sz w:val="22"/>
          <w:szCs w:val="22"/>
        </w:rPr>
        <w:t xml:space="preserve">At 22 tons per tractor-trailer load: approximately 2–4 truck trips per day on a continuous-haul schedule, or 8–15 trucks on haul days if biosolids are stored and hauled 2–3 times per week.</w:t>
      </w:r>
    </w:p>
    <w:p>
      <w:pPr>
        <w:spacing w:after="160" w:before="80" w:line="300"/>
      </w:pPr>
      <w:r>
        <w:rPr>
          <w:rFonts w:ascii="Arial" w:cs="Arial" w:eastAsia="Arial" w:hAnsi="Arial"/>
          <w:sz w:val="22"/>
          <w:szCs w:val="22"/>
        </w:rPr>
        <w:t xml:space="preserve">Without anaerobic digestion, these figures increase by approximately 60 percent.</w:t>
      </w:r>
    </w:p>
    <w:p>
      <w:pPr>
        <w:spacing w:after="120" w:before="240"/>
      </w:pPr>
      <w:r>
        <w:rPr>
          <w:rFonts w:ascii="Arial" w:cs="Arial" w:eastAsia="Arial" w:hAnsi="Arial"/>
          <w:b/>
          <w:bCs/>
          <w:sz w:val="24"/>
          <w:szCs w:val="24"/>
        </w:rPr>
        <w:t xml:space="preserve">I.4  Disposal Options and Traffic Consequences</w:t>
      </w:r>
    </w:p>
    <w:p>
      <w:pPr>
        <w:spacing w:after="160" w:before="80" w:line="300"/>
      </w:pPr>
      <w:r>
        <w:rPr>
          <w:rFonts w:ascii="Arial" w:cs="Arial" w:eastAsia="Arial" w:hAnsi="Arial"/>
          <w:sz w:val="22"/>
          <w:szCs w:val="22"/>
        </w:rPr>
        <w:t xml:space="preserve">The city has not disclosed its intended biosolids management method for the new facility. Three technically feasible options exist, each with traffic consequences:</w:t>
      </w:r>
    </w:p>
    <w:p>
      <w:pPr>
        <w:spacing w:after="160" w:before="80" w:line="300"/>
      </w:pPr>
      <w:r>
        <w:rPr>
          <w:rFonts w:ascii="Arial" w:cs="Arial" w:eastAsia="Arial" w:hAnsi="Arial"/>
          <w:b/>
          <w:bCs/>
          <w:sz w:val="22"/>
          <w:szCs w:val="22"/>
        </w:rPr>
        <w:t xml:space="preserve">Option A — On-site digestion and gasification. </w:t>
      </w:r>
      <w:r>
        <w:rPr>
          <w:rFonts w:ascii="Arial" w:cs="Arial" w:eastAsia="Arial" w:hAnsi="Arial"/>
          <w:sz w:val="22"/>
          <w:szCs w:val="22"/>
        </w:rPr>
        <w:t xml:space="preserve">Replicating the existing system would minimize outbound truck traffic but requires capital, permitting, and facility footprint that have not been disclosed and have not been factored into the site size or cost analyses presented to the committee.</w:t>
      </w:r>
    </w:p>
    <w:p>
      <w:pPr>
        <w:spacing w:after="160" w:before="80" w:line="300"/>
      </w:pPr>
      <w:r>
        <w:rPr>
          <w:rFonts w:ascii="Arial" w:cs="Arial" w:eastAsia="Arial" w:hAnsi="Arial"/>
          <w:b/>
          <w:bCs/>
          <w:sz w:val="22"/>
          <w:szCs w:val="22"/>
        </w:rPr>
        <w:t xml:space="preserve">Option B — Haul biosolids to the existing Hartmann Drive plant. </w:t>
      </w:r>
      <w:r>
        <w:rPr>
          <w:rFonts w:ascii="Arial" w:cs="Arial" w:eastAsia="Arial" w:hAnsi="Arial"/>
          <w:sz w:val="22"/>
          <w:szCs w:val="22"/>
        </w:rPr>
        <w:t xml:space="preserve">This allows continued use of existing gasification infrastructure but generates permanent round-trip heavy-truck traffic between the new site and 321 Hartmann Drive as an ongoing operational cost of the location choice.</w:t>
      </w:r>
    </w:p>
    <w:p>
      <w:pPr>
        <w:spacing w:after="160" w:before="80" w:line="300"/>
      </w:pPr>
      <w:r>
        <w:rPr>
          <w:rFonts w:ascii="Arial" w:cs="Arial" w:eastAsia="Arial" w:hAnsi="Arial"/>
          <w:b/>
          <w:bCs/>
          <w:sz w:val="22"/>
          <w:szCs w:val="22"/>
        </w:rPr>
        <w:t xml:space="preserve">Option C — Land application or landfill disposal. </w:t>
      </w:r>
      <w:r>
        <w:rPr>
          <w:rFonts w:ascii="Arial" w:cs="Arial" w:eastAsia="Arial" w:hAnsi="Arial"/>
          <w:sz w:val="22"/>
          <w:szCs w:val="22"/>
        </w:rPr>
        <w:t xml:space="preserve">Class B biosolids may be land-applied to permitted agricultural sites under 40 CFR Part 503. This requires a permitted disposal site and generates regular heavy-truck movements from the new facility on an indefinite basis.</w:t>
      </w:r>
    </w:p>
    <w:p>
      <w:pPr>
        <w:spacing w:after="120" w:before="240"/>
      </w:pPr>
      <w:r>
        <w:rPr>
          <w:rFonts w:ascii="Arial" w:cs="Arial" w:eastAsia="Arial" w:hAnsi="Arial"/>
          <w:b/>
          <w:bCs/>
          <w:sz w:val="24"/>
          <w:szCs w:val="24"/>
        </w:rPr>
        <w:t xml:space="preserve">I.5  Road-Width Constraint</w:t>
      </w:r>
    </w:p>
    <w:p>
      <w:pPr>
        <w:spacing w:after="160" w:before="80" w:line="300"/>
      </w:pPr>
      <w:r>
        <w:rPr>
          <w:rFonts w:ascii="Arial" w:cs="Arial" w:eastAsia="Arial" w:hAnsi="Arial"/>
          <w:sz w:val="22"/>
          <w:szCs w:val="22"/>
        </w:rPr>
        <w:t xml:space="preserve">The road-width constraint documented in Appendix D, Exhibit D-1 applies with equal force to outbound biosolids traffic. Field measurements at four locations along Mann Road document actual pavement widths of 17–18 feet. Nothing in the road's topography or construction suggests the measured width is atypical of the corridor as a whole — and the measurements are approximately 25–30 percent narrower than the city engineer's characterization of "about 24 feet" at the June 2 meeting.</w:t>
      </w:r>
    </w:p>
    <w:p>
      <w:pPr>
        <w:spacing w:after="160" w:before="80" w:line="300"/>
      </w:pPr>
      <w:r>
        <w:rPr>
          <w:rFonts w:ascii="Arial" w:cs="Arial" w:eastAsia="Arial" w:hAnsi="Arial"/>
          <w:sz w:val="22"/>
          <w:szCs w:val="22"/>
        </w:rPr>
        <w:t xml:space="preserve">A loaded biosolids tractor-trailer is approximately 8.5 feet wide. At 17–18 feet of pavement, two such vehicles cannot pass without one pulling aside. At an estimated 2–4 truck trips per day on a continuous-haul schedule, or 8–15 trucks on haul days, this is a permanent operational characteristic of the site — not a construction-phase condition.</w:t>
      </w:r>
    </w:p>
    <w:p>
      <w:pPr>
        <w:spacing w:after="160" w:before="80" w:line="300"/>
      </w:pPr>
      <w:r>
        <w:rPr>
          <w:rFonts w:ascii="Arial" w:cs="Arial" w:eastAsia="Arial" w:hAnsi="Arial"/>
          <w:sz w:val="22"/>
          <w:szCs w:val="22"/>
        </w:rPr>
        <w:t xml:space="preserve">Combined with the inbound septage traffic documented in Appendix D, the same road carries both inbound tankers and outbound haulers. The two traffic streams are independent in origin but compound on the same physical constraint. Their aggregate impact on the corridor has not been addressed in the public record.</w:t>
      </w:r>
    </w:p>
    <w:p>
      <w:pPr>
        <w:spacing w:after="120" w:before="240"/>
      </w:pPr>
      <w:r>
        <w:rPr>
          <w:rFonts w:ascii="Arial" w:cs="Arial" w:eastAsia="Arial" w:hAnsi="Arial"/>
          <w:b/>
          <w:bCs/>
          <w:sz w:val="24"/>
          <w:szCs w:val="24"/>
        </w:rPr>
        <w:t xml:space="preserve">I.6  Disclosure Request</w:t>
      </w:r>
    </w:p>
    <w:p>
      <w:pPr>
        <w:spacing w:after="160" w:before="80" w:line="300"/>
      </w:pPr>
      <w:r>
        <w:rPr>
          <w:rFonts w:ascii="Arial" w:cs="Arial" w:eastAsia="Arial" w:hAnsi="Arial"/>
          <w:sz w:val="22"/>
          <w:szCs w:val="22"/>
        </w:rPr>
        <w:t xml:space="preserve">The biosolids management method for the new facility has not been identified in the public record. This is a material omission: the method determines outbound truck volume, which in turn determines road adequacy and the nature of the ongoing impact on the surrounding community. The petitioners request that the city engineer identify, on the public record, the intended biosolids management approach for the new facility before any site is eliminated from consideration.</w:t>
      </w:r>
    </w:p>
    <w:p>
      <w:pPr>
        <w:spacing w:after="160" w:before="80" w:line="300"/>
      </w:pPr>
      <w:r>
        <w:rPr>
          <w:rFonts w:ascii="Arial" w:cs="Arial" w:eastAsia="Arial" w:hAnsi="Arial"/>
          <w:i/>
          <w:iCs/>
          <w:sz w:val="22"/>
          <w:szCs w:val="22"/>
        </w:rPr>
        <w:t xml:space="preserve">Sources: Lebanon Authority Biosolids Treatment Process Description (published); City of Lebanon WWTP documentation; Waste Advantage Magazine, October 2016 (gasification initiative); June 2, 2026 Site Selection Committee meeting transcript; field measurements, June 4, 2026 (Mann Road street widths). Biosolids generation figures are standard engineering ranges per conventional activated sludge design practice; site-specific figures should be confirmed against the plant's current NPDES permit and discharge monitoring reports.</w:t>
      </w:r>
    </w:p>
    <w:p>
      <w:pPr>
        <w:spacing w:after="160" w:before="80" w:line="300"/>
      </w:pPr>
      <w:r>
        <w:rPr>
          <w:rFonts w:ascii="Arial" w:cs="Arial" w:eastAsia="Arial" w:hAnsi="Arial"/>
          <w:sz w:val="22"/>
          <w:szCs w:val="22"/>
        </w:rPr>
        <w:t xml:space="preserve">— Todd Roark, Tich Chaikumnerd, and Concerned Residents / Property Owners (Appendix I)</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b1781844be02ffd415c6094a2336c8ef2df278c.undefined"/><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2026-06-03T20:40:58.250Z</dcterms:created>
  <dcterms:modified xsi:type="dcterms:W3CDTF">2026-06-03T20:40:58.250Z</dcterms:modified>
</cp:coreProperties>
</file>

<file path=docProps/custom.xml><?xml version="1.0" encoding="utf-8"?>
<Properties xmlns="http://schemas.openxmlformats.org/officeDocument/2006/custom-properties" xmlns:vt="http://schemas.openxmlformats.org/officeDocument/2006/docPropsVTypes"/>
</file>