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 I)</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All candidate sites outside the city limits of Lebanon, TN — prior formal submissions focused on Sites 1 through 7 (Mann Road, Berea Church Road, and Coles Ferry Pike corridor)</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80"/>
        <w:ind w:left="360"/>
      </w:pPr>
      <w:r>
        <w:rPr>
          <w:rFonts w:ascii="Arial" w:cs="Arial" w:eastAsia="Arial" w:hAnsi="Arial"/>
          <w:sz w:val="22"/>
          <w:szCs w:val="22"/>
        </w:rPr>
        <w:t xml:space="preserve">•  Shortlisting safeguards (Appendix G) acknowledged to reflect the procedural concern first raised in the public record by Anthony Murphy during the public comment portion of the June 2, 2026 committee meeting.</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Additional candidate sites outside the city limits or urban growth boundary — including Sites 8, 18, and others — share the same core concerns: placement of urban infrastructure in rural residential areas, proximity to private wells and agricultural land, and heavy truck traffic on roads not built for it. My comments address Sites 1 through 7 as the primary analytical basis developed in prior submissions; the core arguments extend to any candidate site outside the city limits. Data is drawn from peer-reviewed literature, the TDEC public database, and the public record of the May 27 and June 2, 2026 Site Selection Committee meetings, and is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b/>
          <w:bCs/>
          <w:sz w:val="28"/>
          <w:szCs w:val="28"/>
        </w:rPr>
        <w:t xml:space="preserve">Fourth, Existing Infrastructure — force main reclassification. </w:t>
      </w:r>
      <w:r>
        <w:rPr>
          <w:rFonts w:ascii="Arial" w:cs="Arial" w:eastAsia="Arial" w:hAnsi="Arial"/>
          <w:sz w:val="28"/>
          <w:szCs w:val="28"/>
        </w:rPr>
        <w:t xml:space="preserve">The engineer's per-site cost model is built entirely on connection distances to the existing thirty-inch effluent force mains, F1 and F2. The only configuration consistent with that model is one in which F1 and F2 are repurposed upstream of the new plant to carry raw sewage — a function these pipes were not permitted to perform. NPDES permit TN0028754, issued by TDEC in June 2025, authorizes F1 and F2 to discharge treated municipal wastewater to Old Hickory Reservoir. Repurposing them to carry raw sewage upstream is a regulatory reclassification that has not been initiated with TDEC on the public record. The existing pipe material has not been disclosed. The condition has not been documented. Whether the pipes can sustain raw sewage pressure — including the consequences of a pump failure above the karst aquifer that serves thirty-eight private wells and the LaGuardo Utility District — has not been analyzed. Appendix E documents the regulatory framework, the NPDES permit citations, and the formal disclosure requests.</w:t>
      </w:r>
    </w:p>
    <w:p>
      <w:pPr>
        <w:spacing w:after="240" w:before="120" w:line="360"/>
      </w:pPr>
      <w:r>
        <w:rPr>
          <w:rFonts w:ascii="Arial" w:cs="Arial" w:eastAsia="Arial" w:hAnsi="Arial"/>
          <w:b/>
          <w:bCs/>
          <w:sz w:val="28"/>
          <w:szCs w:val="28"/>
        </w:rPr>
        <w:t xml:space="preserve">Fifth, Existing Infrastructure — treatment technology and acreage threshold. </w:t>
      </w:r>
      <w:r>
        <w:rPr>
          <w:rFonts w:ascii="Arial" w:cs="Arial" w:eastAsia="Arial" w:hAnsi="Arial"/>
          <w:sz w:val="28"/>
          <w:szCs w:val="28"/>
        </w:rPr>
        <w:t xml:space="preserve">The committee's sixty-acre minimum is calibrated to conventional activated sludge, the most land-intensive process in municipal use. Alternative technologies at the twenty-MGD scale require significantly less land — membrane bioreactors occupy forty to sixty percent of the footprint of CAS — and carry comparable or lower capital costs. At twenty MGD, MBBR and SBR cost the same as or less than CAS; MBR has been found to be six to eighteen percent lower in capital cost than CAS when nutrient removal is required, a condition Old Hickory Reservoir's water quality standards will almost certainly impose. The sixty-acre threshold therefore not only eliminates otherwise-viable city-located industrial sites; it may do so in favor of a more expensive technology. The treatment technology has not been disclosed. Appendix F documents the footprint data, the cost comparison, and the formal disclosure request.</w:t>
      </w:r>
    </w:p>
    <w:p>
      <w:pPr>
        <w:spacing w:after="240" w:before="120" w:line="360"/>
      </w:pPr>
      <w:r>
        <w:rPr>
          <w:rFonts w:ascii="Arial" w:cs="Arial" w:eastAsia="Arial" w:hAnsi="Arial"/>
          <w:b/>
          <w:bCs/>
          <w:sz w:val="28"/>
          <w:szCs w:val="28"/>
        </w:rPr>
        <w:t xml:space="preserve">Sixth, Shortlisting methodology — procedural safeguards. </w:t>
      </w:r>
      <w:r>
        <w:rPr>
          <w:rFonts w:ascii="Arial" w:cs="Arial" w:eastAsia="Arial" w:hAnsi="Arial"/>
          <w:sz w:val="28"/>
          <w:szCs w:val="28"/>
        </w:rPr>
        <w:t xml:space="preserve">The committee has stated, on the record, that the scoring matrix is preliminary and that harder questions come later. The petitioners do not object to shortlisting. They do object to the absence of documented safeguards that make the matrix's outputs reproducible and defensible: anchored scoring levels for each criterion, comparable engineering-data depth across all sites, a documented basis for the importance-factor weights, a sensitivity analysis showing that single-step score changes do not alter which sites are eliminated, and a reservation of authority to revive eliminated sites if shortlisted candidates prove unworkable in deeper review. Without those safeguards, an elimination made on a framework the committee has already acknowledged is incomplete is effectively permanent. Appendix G documents each required safeguard and includes more than twenty formal disclosure requests tied directly to the committee's five scoring criteria.</w:t>
      </w:r>
    </w:p>
    <w:p>
      <w:pPr>
        <w:spacing w:after="240" w:before="120" w:line="360"/>
      </w:pPr>
      <w:r>
        <w:rPr>
          <w:rFonts w:ascii="Arial" w:cs="Arial" w:eastAsia="Arial" w:hAnsi="Arial"/>
          <w:b/>
          <w:bCs/>
          <w:sz w:val="28"/>
          <w:szCs w:val="28"/>
        </w:rPr>
        <w:t xml:space="preserve">Seventh, Site scoring asymmetry — Columbia Gulf Transmission pipeline. </w:t>
      </w:r>
      <w:r>
        <w:rPr>
          <w:rFonts w:ascii="Arial" w:cs="Arial" w:eastAsia="Arial" w:hAnsi="Arial"/>
          <w:sz w:val="28"/>
          <w:szCs w:val="28"/>
        </w:rPr>
        <w:t xml:space="preserve">At the committee's March 19, 2026 working session, the city cited the Columbia Gulf Transmission interstate gas pipeline as a factor that deprioritized the Rockwood site. The same pipeline system — three high-pressure lines, thirty and thirty-six inches in diameter, operating at up to 1,007 psig — crosses the Mann Road, Berea Church Road, Maple Hill Road, and Coles Ferry Pike corridor in which Sites 1 through 7 are located. PHMSA failure investigation reports document two major ruptures of Columbia Gulf Mainline 200 within the past fifteen years, including a 2012 event in Kentucky that expelled pipe fragments and damaged a residence more than 800 feet from the rupture point. The petitioners formally request that the same pipeline risk analysis applied to Rockwood be applied to every candidate site within the Columbia Gulf alignment before any elimination vote. Appendix H documents the pipeline routing, the PHMSA failure record, and the formal request.</w:t>
      </w:r>
    </w:p>
    <w:p>
      <w:pPr>
        <w:spacing w:after="240" w:before="120" w:line="360"/>
      </w:pPr>
      <w:r>
        <w:rPr>
          <w:rFonts w:ascii="Arial" w:cs="Arial" w:eastAsia="Arial" w:hAnsi="Arial"/>
          <w:b/>
          <w:bCs/>
          <w:sz w:val="28"/>
          <w:szCs w:val="28"/>
        </w:rPr>
        <w:t xml:space="preserve">Eighth, Service Efficiency — biosolids disposal. </w:t>
      </w:r>
      <w:r>
        <w:rPr>
          <w:rFonts w:ascii="Arial" w:cs="Arial" w:eastAsia="Arial" w:hAnsi="Arial"/>
          <w:sz w:val="28"/>
          <w:szCs w:val="28"/>
        </w:rPr>
        <w:t xml:space="preserve">The existing Hartmann Drive plant converts its biosolids to electricity on-site through a gasification system operational since 2016. A new greenfield facility will not inherit that infrastructure. Without on-site gasification — or anaerobic digestion, which the city has also not specified — a twenty-MGD plant would generate an estimated forty-five to eighty tons of dewatered biosolids per day, requiring two to four daily tractor-trailer loads on a continuous-haul schedule, or eight to fifteen truck trips on haul days if biosolids are stored and batched. Without digestion, those figures increase by approximately sixty percent. The disposal method, the disposal site, and the associated traffic volumes have not been disclosed or factored into any site's scoring. Appendix I documents the current plant's biosolids management infrastructure, the volumetric estimates, and the formal disclosure request.</w:t>
      </w:r>
    </w:p>
    <w:p>
      <w:pPr>
        <w:spacing w:after="240" w:before="120" w:line="360"/>
      </w:pPr>
      <w:r>
        <w:rPr>
          <w:rFonts w:ascii="Arial" w:cs="Arial" w:eastAsia="Arial" w:hAnsi="Arial"/>
          <w:sz w:val="28"/>
          <w:szCs w:val="28"/>
        </w:rPr>
        <w:t xml:space="preserve">Our request: eliminate all candidate sites outside the city limits of Lebanon from the final ranking matrix. The analysis developed for Sites 1 through 7 applies in principle to any rural site outside the urban growth boundary. Prioritize the Rockwood and Alley-Cassetty footprints and the additional city-adjacent sites Mayor Hutto referenced — all have available acreage, existing infrastructure, and none of the rural residential exposure this statement documents. Appendices B, C, D, E, F, G, H, and I are filed with the clerk and incorporate the citations, the well-count map, the truck-volume calculations, the F1/F2 reclassification analysis, the technology-and-footprint disclosure request, the recommended shortlisting safeguards, the Columbia Gulf gas pipeline asymmetry analysis, and the biosolids disposal traffic impact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60" w:before="80" w:line="300"/>
      </w:pPr>
      <w:r>
        <w:rPr>
          <w:rFonts w:ascii="Arial" w:cs="Arial" w:eastAsia="Arial" w:hAnsi="Arial"/>
          <w:sz w:val="22"/>
          <w:szCs w:val="22"/>
        </w:rPr>
        <w:t xml:space="preserve">Note on applicability: These estimates are developed from the Mann Road and Berea Church Road corridor as the primary subject of this filing. The same distance-decay methodology applies to any candidate site outside the city limits bordered by rural residential properties. Sites 8 and 18, and any other rural sites that remain under consideration, should be scored under the Community Impact criterion using the same Ready (2010) framework applied here.</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sz w:val="22"/>
          <w:szCs w:val="22"/>
        </w:rPr>
        <w:t xml:space="preserve">Note on applicability: The karst geology and groundwater contamination pathway described in this appendix is not limited to the Mann Road and Berea Church Road corridor. Any candidate site outside the city limits that overlies the same karst formation — including Sites 8, 18, and others in the rural north Lebanon area — is subject to the same contamination risk to private wells and LaGuardo Utility District infrastructure. The committee should conduct a comparable well-count and karst-exposure analysis for any rural site that advances beyond preliminary screening.</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 Sites 1 through 7 primarily, but also Sites 8, 18, and any other rural candidate sites outside the city limits — score materially worse under this criterion than industrial-adjacent sites. The road-width and load-bearing analysis in this appendix should be applied to the approach roads of every rural site remaining under consideration, not only the Mann Road corridor.</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 NPDES Permit No. TN0028754 — the City's current discharge permit, issued June 24, 2024 — designates the permitted receiving water as the Cumberland River (Old Hickory Reservoir) at river mile 252.2, a public water supply reservoir. The permit's water quality framework was calculated for treated effluent against Cumberland River dilution flows of 782 MGD (1Q10). A raw sewage discharge into any tributary feeding Old Hickory Reservoir operates entirely outside that framework and introduces pathogens to a public water supply under conditions the permit neither contemplated nor covers.</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60" w:before="80" w:line="300"/>
      </w:pPr>
      <w:r>
        <w:rPr>
          <w:rFonts w:ascii="Arial" w:cs="Arial" w:eastAsia="Arial" w:hAnsi="Arial"/>
          <w:sz w:val="22"/>
          <w:szCs w:val="22"/>
        </w:rPr>
        <w:t xml:space="preserve">NPDES Permit No. TN0028754, issued June 24, 2024, effective July 1, 2024, and expiring May 31, 2029, authorizes the City of Lebanon to discharge “treated municipal wastewater from Outfall 001” to the Cumberland River. The authorization is specific: treated municipal wastewater. It does not authorize discharge of raw or partially treated sewage from any point on the F1/F2 alignment. The permit was issued in June 2024 — after the City had begun preliminary planning for the new facility. If the City intended at that time to reclassify F1 and F2 as raw-sewage conveyance lines, that intent should have been disclosed in the permit application. The absence of any such disclosure, and the issuance of a standard treated-effluent permit in 2024, suggests either that the reclassification was not contemplated at the time of permitting or that it was not disclosed to TDEC. Either circumstance confirms that reclassification requires formal regulatory action before it can proceed.</w:t>
      </w:r>
    </w:p>
    <w:p>
      <w:pPr>
        <w:spacing w:after="160" w:before="80" w:line="300"/>
      </w:pPr>
      <w:r>
        <w:rPr>
          <w:rFonts w:ascii="Arial" w:cs="Arial" w:eastAsia="Arial" w:hAnsi="Arial"/>
          <w:sz w:val="22"/>
          <w:szCs w:val="22"/>
        </w:rPr>
        <w:t xml:space="preserve">The permit also establishes a comprehensive monitoring framework calibrated to treated effluent: water quality-based effluent limits for metals and toxics, and annual biomonitoring requirements using Ceriodaphnia dubia (water fleas) and Pimephales promelas (fathead minnows) tested against “samples of final effluent from Outfall 001” with an LC50 acute toxicity endpoint. This monitoring framework has no applicability to raw sewage and provides no regulatory oversight for the failure modes that reclassification introduces. A rupture of F1 or F2 while carrying raw sewage upstream of the new plant's tangent point would be an unmonitored, unpermitted discharge — outside the scope of every condition in NPDES Permit No. TN0028754.</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pStyle w:val="ListParagraph"/>
        <w:numPr>
          <w:ilvl w:val="0"/>
          <w:numId w:val="2"/>
        </w:numPr>
        <w:spacing w:after="120" w:before="60" w:line="300"/>
      </w:pPr>
      <w:r>
        <w:rPr>
          <w:rFonts w:ascii="Arial" w:cs="Arial" w:eastAsia="Arial" w:hAnsi="Arial"/>
          <w:sz w:val="22"/>
          <w:szCs w:val="22"/>
        </w:rPr>
        <w:t xml:space="preserve">Whether the proposed reclassification of F1 and F2 was disclosed to TDEC at the time of NPDES Permit No. TN0028754's application (permit issued June 24, 2024), and whether TDEC's approval of a standard treated-effluent outfall permit reflects an assumption of continued treated-effluent use of F1 and F2 through the permit's expiration on May 31, 2029.</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60" w:before="80" w:line="300"/>
      </w:pPr>
      <w:r>
        <w:rPr>
          <w:rFonts w:ascii="Arial" w:cs="Arial" w:eastAsia="Arial" w:hAnsi="Arial"/>
          <w:sz w:val="22"/>
          <w:szCs w:val="22"/>
        </w:rPr>
        <w:t xml:space="preserve">The Lebanon WWTP at Hartmann Drive was constructed in approximately 1962 and designed solely for biochemical oxygen demand (BOD) removal — standard practice at that time. A new facility at 20 MGD will not replicate that design. Discharge to Old Hickory Reservoir will almost certainly require biological nutrient removal (BNR) — the controlled removal of nitrogen and phosphorus — which was not part of original CAS design practice and has been required by regulators with increasing frequency since the 1970s. Conventional BNR-CAS requires somewhat larger reactor volumes than BOD-only CAS, and this is likely the basis for the 60-acre threshold. However, the technologies that achieve BNR in the smallest footprint — MBR, MBBR, and aerobic granular sludge — are also the most current and are in widespread municipal use today. The 60-acre threshold, if calibrated to BNR-capable CAS, represents the most land-intensive pathway to regulatory compliance. Compact BNR alternatives have not been disclosed or considered in the committee's acreage threshold.</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sz w:val="22"/>
          <w:szCs w:val="22"/>
        </w:rPr>
        <w:t xml:space="preserve">Site 13 (Rockwood) illustrates this concretely. At 99.8 percent in the flood plain, it scores poorly on Size of Property under the current sixty-acre threshold. However, approximately 55 percent of its acreage — roughly thirty-two acres — is flood fringe rather than regulatory floodway. Flood fringe is potentially fillable under FEMA regulations through a Conditional Letter of Map Revision (CLOMR). At the earthwork rate cited by the engineer at the May 27, 2026 meeting ($30 per cubic yard), bringing a portion of that flood fringe to buildable elevation is a quantifiable cost, not a categorical barrier. Thirty-two buildable acres, post-fill, falls within the MBR footprint range identified in Section 2 above for a 20 MGD initial-phase facility. Whether Site 13 is viable is therefore not answerable from the public record as currently constituted — the answer depends on a technology choice that has not been disclosed. The sixty-acre threshold undermines this site’s otherwise favorable characteristics; a technology-informed threshold may not.</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60" w:before="80" w:line="300"/>
      </w:pPr>
      <w:r>
        <w:rPr>
          <w:rFonts w:ascii="Arial" w:cs="Arial" w:eastAsia="Arial" w:hAnsi="Arial"/>
          <w:sz w:val="22"/>
          <w:szCs w:val="22"/>
        </w:rPr>
        <w:t xml:space="preserve">The cost relationship reinforces this point. Published comparative analysis of 20 MGD municipal facilities shows that technologies requiring significantly less land carry capital costs at or below that of conventional activated sludge: MBBR and SBR are cost-comparable to CAS, while MBR — though typically carrying a 30–50 percent capital premium — has been found to be 6–18 percent lower in capital cost than CAS when nutrient removal is required. A 20 MGD facility discharging to Old Hickory Reservoir will almost certainly face nutrient limits under its NPDES permit. The sixty-acre minimum therefore not only disadvantages city-located sites; it does so while potentially favoring a more expensive technology on a compliance-cost basis.</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60" w:before="80" w:line="300"/>
      </w:pPr>
      <w:r>
        <w:rPr>
          <w:rFonts w:ascii="Arial" w:cs="Arial" w:eastAsia="Arial" w:hAnsi="Arial"/>
          <w:sz w:val="22"/>
          <w:szCs w:val="22"/>
        </w:rPr>
        <w:t xml:space="preserve">The concern at the core of this appendix — the absence of anchored scoring rubrics and documented elimination criteria in the committee's matrix — was first raised in the public record by Anthony Murphy during the public comment portion of the June 2, 2026 committee meeting. This appendix develops that concern into the full procedural safeguard framework the petitioners are requesting.</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 — and potentially other rural sites outside the city limits face the same infrastructure gap.</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spacing w:after="160" w:before="80" w:line="300"/>
      </w:pPr>
      <w:r>
        <w:rPr>
          <w:rFonts w:ascii="Arial" w:cs="Arial" w:eastAsia="Arial" w:hAnsi="Arial"/>
          <w:sz w:val="22"/>
          <w:szCs w:val="22"/>
        </w:rPr>
        <w:t xml:space="preserve">A third instance concerns the interaction between treatment technology and flood-plain acreage scoring. The sixty-acre minimum currently penalizing several sites is, as documented in Appendix F, explicitly technology-dependent. Applied without a disclosed technology basis, it functions as an acreage threshold calibrated to the most land-intensive available process — conventional activated sludge — and scores every candidate site against that undisclosed assumption. This asymmetrically disadvantages city-located, industrially-zoned sites, which tend to be smaller and more flood-constrained but may be fully viable under a compact-process design, while it favors large rural tracts that carry significant infrastructure, road, environmental, and community-impact costs of their own. The scoring criterion as currently applied is not neutral: it embeds a technology preference that has not been disclosed, justified, or entered into the public record.</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The committee should confirm the Columbia Gulf alignment against every candidate site outside the city limits before any elimination vote — the pipeline corridor is not confined to the Sites 1 through 7 cluster.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