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0CFF4F" w14:textId="77777777" w:rsidR="005F16ED" w:rsidRDefault="005F16ED">
      <w:pPr>
        <w:spacing w:line="480" w:lineRule="auto"/>
      </w:pPr>
    </w:p>
    <w:p w14:paraId="67AB2BC0" w14:textId="77777777" w:rsidR="005F16ED" w:rsidRDefault="005F16ED">
      <w:pPr>
        <w:spacing w:line="480" w:lineRule="auto"/>
      </w:pPr>
    </w:p>
    <w:p w14:paraId="2CBA4B7A" w14:textId="77777777" w:rsidR="005F16ED" w:rsidRDefault="005F16ED">
      <w:pPr>
        <w:spacing w:line="480" w:lineRule="auto"/>
      </w:pPr>
    </w:p>
    <w:p w14:paraId="01EE624A" w14:textId="77777777" w:rsidR="005F16ED" w:rsidRDefault="005F16ED">
      <w:pPr>
        <w:spacing w:line="480" w:lineRule="auto"/>
      </w:pPr>
    </w:p>
    <w:p w14:paraId="313D51A1" w14:textId="77777777" w:rsidR="005F16ED" w:rsidRDefault="005F16ED">
      <w:pPr>
        <w:spacing w:line="480" w:lineRule="auto"/>
      </w:pPr>
    </w:p>
    <w:p w14:paraId="18714F6E" w14:textId="77777777" w:rsidR="005F16ED" w:rsidRDefault="00BC0DDC">
      <w:pPr>
        <w:spacing w:line="480" w:lineRule="auto"/>
        <w:jc w:val="center"/>
      </w:pPr>
      <w:r>
        <w:rPr>
          <w:b/>
          <w:bCs/>
        </w:rPr>
        <w:t>Case Study: Leveraging Artificial General Intelligence (AGI) in Finance</w:t>
      </w:r>
    </w:p>
    <w:p w14:paraId="4E00F372" w14:textId="77777777" w:rsidR="005F16ED" w:rsidRDefault="005F16ED">
      <w:pPr>
        <w:spacing w:line="480" w:lineRule="auto"/>
      </w:pPr>
    </w:p>
    <w:p w14:paraId="15883701" w14:textId="77777777" w:rsidR="005F16ED" w:rsidRDefault="00BC0DDC">
      <w:pPr>
        <w:spacing w:line="480" w:lineRule="auto"/>
        <w:jc w:val="center"/>
      </w:pPr>
      <w:r>
        <w:t>Willie Breaux</w:t>
      </w:r>
    </w:p>
    <w:p w14:paraId="25B2EBFE" w14:textId="77777777" w:rsidR="005F16ED" w:rsidRDefault="00BC0DDC">
      <w:pPr>
        <w:spacing w:line="480" w:lineRule="auto"/>
        <w:jc w:val="center"/>
      </w:pPr>
      <w:r>
        <w:t>ITAI – 2372 – Artificial Intelligence Applications</w:t>
      </w:r>
    </w:p>
    <w:p w14:paraId="5C1445D0" w14:textId="77777777" w:rsidR="005F16ED" w:rsidRDefault="00BC0DDC">
      <w:r>
        <w:br w:type="page"/>
      </w:r>
    </w:p>
    <w:p w14:paraId="10C734E7" w14:textId="77777777" w:rsidR="005F16ED" w:rsidRDefault="00BC0DDC" w:rsidP="003A32D0">
      <w:pPr>
        <w:spacing w:line="360" w:lineRule="auto"/>
      </w:pPr>
      <w:r>
        <w:rPr>
          <w:b/>
          <w:bCs/>
        </w:rPr>
        <w:lastRenderedPageBreak/>
        <w:t>Introduction</w:t>
      </w:r>
    </w:p>
    <w:p w14:paraId="45452A74" w14:textId="77777777" w:rsidR="005F16ED" w:rsidRDefault="00BC0DDC" w:rsidP="003A32D0">
      <w:pPr>
        <w:spacing w:line="360" w:lineRule="auto"/>
      </w:pPr>
      <w:r>
        <w:t>Artificial General Intelligence (AGI) refers to AI that could perform at least as well as humans across most cognitive tasks. But recent research argues that AGI should be understood in terms of performance, generality, and autonomy rather than solely through hype (Morris et al., 2024, pp. 1, 4). This distinction matters because AGI is often discussed as a future breakthrough, yet many industries are already grappling with the practical effects of advanced AI today. In the finance industry, this matters bec</w:t>
      </w:r>
      <w:r>
        <w:t>ause financial institutions already use narrow AI for important daily functions. The financial services sector is the leading driver of AI adoption, accounting for 38% of total AI investments by 2028 (Joshi, 2025, p. 2). Total spending on AI in finance is forecast to reach $400 billion by 2027, up from $166 billion in 2023 (FSB, 2024, p. 4). These numbers show that finance is not simply experimenting with AI on the margins but is actively investing in it as part of its long-term operational strategy. Althou</w:t>
      </w:r>
      <w:r>
        <w:t>gh financial institutions already use narrow AI for fraud detection, compliance, underwriting, and customer support, AGI could extend those systems into broader reasoning across multiple financial tasks. It could enable institutions to process more complex information, respond more quickly to emerging threats, and support decision-making in areas where current AI systems remain limited. Yet because finance depends on trust, accountability, and stability, any move toward AGI must remain governed by transpare</w:t>
      </w:r>
      <w:r>
        <w:t>ncy, human oversight, and strong risk management. For that reason, the relevance of AGI to finance is not just about innovation or efficiency, but about whether more powerful systems can be introduced without weakening the reliability and integrity of the financial system.</w:t>
      </w:r>
    </w:p>
    <w:p w14:paraId="206F9B8D" w14:textId="77777777" w:rsidR="003A32D0" w:rsidRDefault="003A32D0" w:rsidP="003A32D0">
      <w:pPr>
        <w:spacing w:line="360" w:lineRule="auto"/>
      </w:pPr>
    </w:p>
    <w:p w14:paraId="097A8840" w14:textId="77777777" w:rsidR="005F16ED" w:rsidRDefault="00BC0DDC" w:rsidP="003A32D0">
      <w:pPr>
        <w:spacing w:line="360" w:lineRule="auto"/>
      </w:pPr>
      <w:r>
        <w:rPr>
          <w:b/>
          <w:bCs/>
        </w:rPr>
        <w:t>Industry Analysis</w:t>
      </w:r>
    </w:p>
    <w:p w14:paraId="3CC9A623" w14:textId="7E9494B6" w:rsidR="005F16ED" w:rsidRDefault="00BC0DDC" w:rsidP="003A32D0">
      <w:pPr>
        <w:spacing w:line="360" w:lineRule="auto"/>
      </w:pPr>
      <w:r>
        <w:t>A fragmented landscape of maturity characterizes the current state of the financial industry. Research indicates that while global leaders are scaling AI, approximately 74% of firms are still in the early phases, doing very little with the technology or limiting it to small-scale proofs of concept (Cognizant, p. 3). Current AI systems in finance are predominantly “advisory, not autonomous” (Cognizant, p. 5). This shows that although AI adoption is growing, most institutions have not yet moved into a stage w</w:t>
      </w:r>
      <w:r>
        <w:t xml:space="preserve">here these systems are trusted to make broad, independent decisions. At the same time, the industry faces growing customer digital engagement, leading to the collection of massive amounts of unstructured data, such as video, images, and text (BIS, 2024, p. 3; FSB, 2024, p. 4). That growing volume of data creates </w:t>
      </w:r>
      <w:r>
        <w:lastRenderedPageBreak/>
        <w:t xml:space="preserve">opportunities for </w:t>
      </w:r>
      <w:r w:rsidR="003A32D0">
        <w:t xml:space="preserve">improved analysis, but it also increases complexity for institutions </w:t>
      </w:r>
      <w:r>
        <w:t>still working with outdated infrastructure and siloed systems.</w:t>
      </w:r>
    </w:p>
    <w:p w14:paraId="741EB11E" w14:textId="77777777" w:rsidR="003A32D0" w:rsidRDefault="003A32D0" w:rsidP="003A32D0">
      <w:pPr>
        <w:spacing w:line="360" w:lineRule="auto"/>
      </w:pPr>
    </w:p>
    <w:p w14:paraId="1EF770F9" w14:textId="77777777" w:rsidR="005F16ED" w:rsidRDefault="00BC0DDC" w:rsidP="003A32D0">
      <w:pPr>
        <w:spacing w:line="360" w:lineRule="auto"/>
      </w:pPr>
      <w:r>
        <w:t xml:space="preserve">Even so, </w:t>
      </w:r>
      <w:proofErr w:type="gramStart"/>
      <w:r>
        <w:t>the industry</w:t>
      </w:r>
      <w:proofErr w:type="gramEnd"/>
      <w:r>
        <w:t xml:space="preserve"> still faces serious challenges, especially in the areas of financial crime and compliance burden. Financial institutions spend more than $271 billion globally each year on anti-money laundering (AML) compliance, and those costs have risen by 60% over the last decade. Much of that burden still falls on manual labor, leaving compliance teams stretched thin as they investigate incomplete alerts caused by siloed systems (Sutherland Global, p. 2). This makes compliance not only expensive but also in</w:t>
      </w:r>
      <w:r>
        <w:t>efficient and difficult to scale. Data fragmentation and quality issues also continue to limit performance across the industry. Legacy infrastructure and siloed systems slow decision-making and prevent institutions from building a comprehensive, unified view of customer risk, leading to redundant data collection and increased manual checks (Cognizant, p. 3; Sutherland Global, p. 2). These weaknesses also affect customer experience. Fragmented onboarding processes often lead to repeated requests for the same</w:t>
      </w:r>
      <w:r>
        <w:t xml:space="preserve"> information, slow account opening, and long delays in service delivery, all of which increase customer dissatisfaction (Sutherland Global, pp. 2, 4).</w:t>
      </w:r>
    </w:p>
    <w:p w14:paraId="44066F6D" w14:textId="77777777" w:rsidR="003A32D0" w:rsidRDefault="003A32D0" w:rsidP="003A32D0">
      <w:pPr>
        <w:spacing w:line="360" w:lineRule="auto"/>
      </w:pPr>
    </w:p>
    <w:p w14:paraId="15B5B549" w14:textId="77777777" w:rsidR="005F16ED" w:rsidRDefault="00BC0DDC" w:rsidP="003A32D0">
      <w:pPr>
        <w:spacing w:line="360" w:lineRule="auto"/>
      </w:pPr>
      <w:r>
        <w:t>Cybersecurity and identity fraud present another major challenge. The rise of generative AI has supercharged identity fraud, with deepfake fraud attempts involving fake voices and videos increasing twentyfold over the last three years (Barr, 2025; Financial Stability Board [FSB], 2024, p. 25). Because of this, financial institutions are now facing threats that are becoming faster, cheaper, and harder to detect. Regulatory and market complexity add another layer of pressure. Sudden events such as the Russia-</w:t>
      </w:r>
      <w:r>
        <w:t>Ukraine conflict can rapidly change sanctions and compliance requirements, while traditional models still struggle to anticipate extreme volatility and liquidity stress during black swan events (Sutherland Global, p. 3; FSB, 2024, p. 11; Cognizant, p. 5). Systemic stability risks are also growing because critical AI hardware and cloud infrastructure are concentrated in the hands of a few major providers. At the same time, the widespread use of similar models and training data across institutions could encou</w:t>
      </w:r>
      <w:r>
        <w:t xml:space="preserve">rage herding behavior, amplifying market stress and increasing the risk of flash crashes (FSB, 2024, p. 20; Bank for International Settlements [BIS], 2024, p. 23). The FSB warns that while AI can improve efficiency, compliance, and analytics, it can also increase market vulnerability through </w:t>
      </w:r>
      <w:r>
        <w:lastRenderedPageBreak/>
        <w:t>concentration risk, model governance weaknesses, and cyber threats that may affect financial stability (FSB, 2024, pp. 1–2). This is especially serious in finance because trust and stability matter just as much as speed</w:t>
      </w:r>
      <w:r>
        <w:t xml:space="preserve"> and innovation, meaning that any technological shift must be measured not only by performance gains, but also by its ability to preserve confidence in the financial system.</w:t>
      </w:r>
    </w:p>
    <w:p w14:paraId="7AE26758" w14:textId="77777777" w:rsidR="003A32D0" w:rsidRDefault="003A32D0" w:rsidP="003A32D0">
      <w:pPr>
        <w:spacing w:line="360" w:lineRule="auto"/>
      </w:pPr>
    </w:p>
    <w:p w14:paraId="76F8672A" w14:textId="77777777" w:rsidR="005F16ED" w:rsidRDefault="00BC0DDC" w:rsidP="003A32D0">
      <w:pPr>
        <w:spacing w:line="360" w:lineRule="auto"/>
      </w:pPr>
      <w:r>
        <w:rPr>
          <w:b/>
          <w:bCs/>
        </w:rPr>
        <w:t>AGI Application Proposal</w:t>
      </w:r>
    </w:p>
    <w:p w14:paraId="329AB88F" w14:textId="77777777" w:rsidR="005F16ED" w:rsidRDefault="00BC0DDC" w:rsidP="003A32D0">
      <w:pPr>
        <w:spacing w:line="360" w:lineRule="auto"/>
      </w:pPr>
      <w:r>
        <w:t>Against that backdrop, AGI could be applied in finance through several high-value use cases, especially fraud detection, AML/KYC compliance, and customer service operations. In fraud detection, AGI could help financial institutions identify suspicious behavior across transactions, devices, and customer patterns faster than narrow systems by connecting signals that are often reviewed separately today. This would be especially valuable in an environment where fraud tactics are constantly evolving and becoming</w:t>
      </w:r>
      <w:r>
        <w:t xml:space="preserve"> more difficult to detect in real time. But the risk is that deepfake-enabled fraud and overreliance on AI decisions could still create serious security failures if institutions place too much trust in automated outputs without human review (BIS, 2024; Barr, 2025).</w:t>
      </w:r>
    </w:p>
    <w:p w14:paraId="2704CEBE" w14:textId="77777777" w:rsidR="003A32D0" w:rsidRDefault="003A32D0" w:rsidP="003A32D0">
      <w:pPr>
        <w:spacing w:line="360" w:lineRule="auto"/>
        <w:ind w:firstLine="720"/>
      </w:pPr>
    </w:p>
    <w:p w14:paraId="74A71AFD" w14:textId="77777777" w:rsidR="005F16ED" w:rsidRDefault="00BC0DDC" w:rsidP="003A32D0">
      <w:pPr>
        <w:spacing w:line="360" w:lineRule="auto"/>
      </w:pPr>
      <w:r>
        <w:t>AGI could also improve AML/KYC and compliance work by reducing manual investigation burdens, connecting fragmented data, identifying suspicious activity faster, and supporting more complex reviews across multiple systems. This would give institutions a better chance of keeping up with the growing scale and speed of financial crime while also reducing some of the compliance cost burden. At the same time, weak explainability and poor data governance could make those decisions harder to trust, justify, or defe</w:t>
      </w:r>
      <w:r>
        <w:t xml:space="preserve">nd, especially in regulated environments where institutions must be able to explain why a customer or transaction was flagged (BIS, 2024; FSB, 2024). In customer service and onboarding, AGI could also handle more complex requests, summarize documents, and guide users through multi-step processes. This could reduce delays, improve responsiveness, and create </w:t>
      </w:r>
      <w:proofErr w:type="gramStart"/>
      <w:r>
        <w:t>a smoother</w:t>
      </w:r>
      <w:proofErr w:type="gramEnd"/>
      <w:r>
        <w:t xml:space="preserve"> overall customer experience. Still, opaque or biased outputs could hurt fairness, trust, and accountability in a high-stakes industry where mi</w:t>
      </w:r>
      <w:r>
        <w:t>stakes can affect access to financial services (BIS, 2024).</w:t>
      </w:r>
    </w:p>
    <w:p w14:paraId="0D13AE8F" w14:textId="77777777" w:rsidR="003A32D0" w:rsidRDefault="003A32D0" w:rsidP="003A32D0">
      <w:pPr>
        <w:spacing w:line="360" w:lineRule="auto"/>
        <w:ind w:firstLine="720"/>
      </w:pPr>
    </w:p>
    <w:p w14:paraId="49C36255" w14:textId="77777777" w:rsidR="005F16ED" w:rsidRDefault="00BC0DDC" w:rsidP="003A32D0">
      <w:pPr>
        <w:spacing w:line="360" w:lineRule="auto"/>
      </w:pPr>
      <w:r>
        <w:lastRenderedPageBreak/>
        <w:t>The strongest expected benefits of AGI in finance include improved efficiency, better fraud and risk detection, faster compliance work, and stronger decision support across complex tasks. If used responsibly, AGI could help financial institutions process information more quickly, adapt to changing threats, improve customer service, and make better use of the large volumes of data they already collect, all while keeping humans in control. In that sense, the value of AGI in finance would not come only from au</w:t>
      </w:r>
      <w:r>
        <w:t>tomation but also from improving the quality and speed of judgment across the industry.</w:t>
      </w:r>
    </w:p>
    <w:p w14:paraId="4130D133" w14:textId="77777777" w:rsidR="003A32D0" w:rsidRDefault="003A32D0" w:rsidP="003A32D0">
      <w:pPr>
        <w:spacing w:line="360" w:lineRule="auto"/>
        <w:ind w:firstLine="720"/>
      </w:pPr>
    </w:p>
    <w:p w14:paraId="67A02B9F" w14:textId="77777777" w:rsidR="005F16ED" w:rsidRDefault="00BC0DDC" w:rsidP="003A32D0">
      <w:pPr>
        <w:spacing w:line="360" w:lineRule="auto"/>
      </w:pPr>
      <w:r>
        <w:t xml:space="preserve">Risk and ethical concerns would remain significant. One major concern is the explainability of black-box models with billions of parameters, especially when those systems influence decisions involving fraud, compliance, or customer access. Market herding and correlation caused by similar pretrained AGI models could lead to similar trading patterns across institutions, intensifying stress and increasing the likelihood of instability </w:t>
      </w:r>
      <w:proofErr w:type="gramStart"/>
      <w:r>
        <w:t>similar to</w:t>
      </w:r>
      <w:proofErr w:type="gramEnd"/>
      <w:r>
        <w:t xml:space="preserve"> the 2010 flash crash. Deepfake-enabled identity fraud is another major threat, as AI-generated voice and video doppelgängers are already being used to bypass bank identity verification, and these attacks continue to grow in both scale and sophistication (Barr, 2025; FSB, 2024, p. 25). AGI systems may also inherit and automate systemic or human-cognitive biases, leading to discriminatory financial exclusion even without discriminatory intent (NIST, 2023, p. 12). For that reason, the most realistic</w:t>
      </w:r>
      <w:r>
        <w:t xml:space="preserve"> and responsible vision for AGI in finance is not full autonomy but carefully monitored human-AI collaboration supported by strong governance and risk controls.</w:t>
      </w:r>
    </w:p>
    <w:p w14:paraId="248E6A93" w14:textId="77777777" w:rsidR="003A32D0" w:rsidRDefault="003A32D0" w:rsidP="003A32D0">
      <w:pPr>
        <w:spacing w:line="360" w:lineRule="auto"/>
      </w:pPr>
    </w:p>
    <w:p w14:paraId="06B65D50" w14:textId="77777777" w:rsidR="005F16ED" w:rsidRDefault="00BC0DDC" w:rsidP="003A32D0">
      <w:pPr>
        <w:spacing w:line="360" w:lineRule="auto"/>
      </w:pPr>
      <w:r>
        <w:rPr>
          <w:b/>
          <w:bCs/>
        </w:rPr>
        <w:t>Conclusion</w:t>
      </w:r>
    </w:p>
    <w:p w14:paraId="1D2684C8" w14:textId="77777777" w:rsidR="005F16ED" w:rsidRDefault="00BC0DDC" w:rsidP="003A32D0">
      <w:pPr>
        <w:spacing w:line="360" w:lineRule="auto"/>
      </w:pPr>
      <w:r>
        <w:t>AGI has the potential to extend financial AI beyond narrow automation into broader reasoning across fraud detection, compliance, and decision support. But the same features that make AGI attractive in finance can also make it dangerous, especially when systems are opaque, over-trusted, or overly dependent on concentrated providers. The strongest path forward is not unrestricted AI autonomy, but carefully governed human-AI systems built around transparency, accountability, and risk management.</w:t>
      </w:r>
    </w:p>
    <w:p w14:paraId="69C0A167" w14:textId="77777777" w:rsidR="005F16ED" w:rsidRDefault="00BC0DDC" w:rsidP="003A32D0">
      <w:pPr>
        <w:spacing w:line="360" w:lineRule="auto"/>
      </w:pPr>
      <w:r>
        <w:br w:type="page"/>
      </w:r>
    </w:p>
    <w:p w14:paraId="1DFCE7D4" w14:textId="77777777" w:rsidR="005F16ED" w:rsidRDefault="00BC0DDC">
      <w:pPr>
        <w:spacing w:line="480" w:lineRule="auto"/>
        <w:jc w:val="center"/>
      </w:pPr>
      <w:r>
        <w:rPr>
          <w:b/>
          <w:bCs/>
        </w:rPr>
        <w:lastRenderedPageBreak/>
        <w:t>References</w:t>
      </w:r>
    </w:p>
    <w:p w14:paraId="0A5669B7" w14:textId="77777777" w:rsidR="005F16ED" w:rsidRDefault="00BC0DDC">
      <w:pPr>
        <w:spacing w:line="480" w:lineRule="auto"/>
        <w:ind w:left="720" w:hanging="720"/>
      </w:pPr>
      <w:r>
        <w:t xml:space="preserve">Bank for International Settlements. (2024). </w:t>
      </w:r>
      <w:r>
        <w:rPr>
          <w:i/>
          <w:iCs/>
        </w:rPr>
        <w:t>Regulating AI in the financial sector: Recent developments and main challenges</w:t>
      </w:r>
      <w:r>
        <w:t>. https://www.bis.org/fsi/publ/insights63.pdf</w:t>
      </w:r>
    </w:p>
    <w:p w14:paraId="30223FB6" w14:textId="77777777" w:rsidR="005F16ED" w:rsidRDefault="00BC0DDC">
      <w:pPr>
        <w:spacing w:line="480" w:lineRule="auto"/>
        <w:ind w:left="720" w:hanging="720"/>
      </w:pPr>
      <w:r>
        <w:t xml:space="preserve">Barr, M. S. (2025, April 17). </w:t>
      </w:r>
      <w:r>
        <w:rPr>
          <w:i/>
          <w:iCs/>
        </w:rPr>
        <w:t>Deepfakes and the AI arms race in bank cybersecurity</w:t>
      </w:r>
      <w:r>
        <w:t>. Board of Governors of the Federal Reserve System. https://www.federalreserve.gov/newsevents/speech/barr20250417a.htm</w:t>
      </w:r>
    </w:p>
    <w:p w14:paraId="2CF305BB" w14:textId="77777777" w:rsidR="005F16ED" w:rsidRDefault="00BC0DDC">
      <w:pPr>
        <w:spacing w:line="480" w:lineRule="auto"/>
        <w:ind w:left="720" w:hanging="720"/>
      </w:pPr>
      <w:r>
        <w:t xml:space="preserve">Cognizant. (2025). </w:t>
      </w:r>
      <w:r>
        <w:rPr>
          <w:i/>
          <w:iCs/>
        </w:rPr>
        <w:t>Reinforcement before autonomy: Engineering trustworthy autonomy in insurance AI</w:t>
      </w:r>
      <w:r>
        <w:t>. https://www.cognizant.com/en_us/industries/documents/cognizant-reinforcement-before-autonomy.pdf</w:t>
      </w:r>
    </w:p>
    <w:p w14:paraId="022F9DE5" w14:textId="77777777" w:rsidR="005F16ED" w:rsidRDefault="00BC0DDC">
      <w:pPr>
        <w:spacing w:line="480" w:lineRule="auto"/>
        <w:ind w:left="720" w:hanging="720"/>
      </w:pPr>
      <w:r>
        <w:t xml:space="preserve">Financial Stability Board. (2024, November 14). </w:t>
      </w:r>
      <w:r>
        <w:rPr>
          <w:i/>
          <w:iCs/>
        </w:rPr>
        <w:t>The financial stability implications of artificial intelligence</w:t>
      </w:r>
      <w:r>
        <w:t>. https://www.fsb.org/uploads/P14112024.pdf</w:t>
      </w:r>
    </w:p>
    <w:p w14:paraId="77C90E30" w14:textId="77777777" w:rsidR="005F16ED" w:rsidRDefault="00BC0DDC">
      <w:pPr>
        <w:spacing w:line="480" w:lineRule="auto"/>
        <w:ind w:left="720" w:hanging="720"/>
      </w:pPr>
      <w:r>
        <w:t xml:space="preserve">Joshi, S. (2025). Comprehensive review of artificial general intelligence (AGI) and agentic GenAI: Applications in business and finance. </w:t>
      </w:r>
      <w:r>
        <w:rPr>
          <w:i/>
          <w:iCs/>
        </w:rPr>
        <w:t>SSRN</w:t>
      </w:r>
      <w:r>
        <w:t>. https://doi.org/10.2139/ssrn.5250611</w:t>
      </w:r>
    </w:p>
    <w:p w14:paraId="773249E3" w14:textId="77777777" w:rsidR="005F16ED" w:rsidRDefault="00BC0DDC">
      <w:pPr>
        <w:spacing w:line="480" w:lineRule="auto"/>
        <w:ind w:left="720" w:hanging="720"/>
      </w:pPr>
      <w:r>
        <w:t xml:space="preserve">Morris, M. R., Sohl-Dickstein, J., </w:t>
      </w:r>
      <w:proofErr w:type="spellStart"/>
      <w:r>
        <w:t>Fiedel</w:t>
      </w:r>
      <w:proofErr w:type="spellEnd"/>
      <w:r>
        <w:t xml:space="preserve">, N., </w:t>
      </w:r>
      <w:proofErr w:type="spellStart"/>
      <w:r>
        <w:t>Wartkentin</w:t>
      </w:r>
      <w:proofErr w:type="spellEnd"/>
      <w:r>
        <w:t xml:space="preserve">, T., Dafoe, A., Faust, A., </w:t>
      </w:r>
      <w:proofErr w:type="spellStart"/>
      <w:r>
        <w:t>Farbaret</w:t>
      </w:r>
      <w:proofErr w:type="spellEnd"/>
      <w:r>
        <w:t xml:space="preserve">, C., &amp; Legg, S. (2024). Levels of AGI for operationalizing progress on the path to AGI. In </w:t>
      </w:r>
      <w:r>
        <w:rPr>
          <w:i/>
          <w:iCs/>
        </w:rPr>
        <w:t>Proceedings of the 41st International Conference on Machine Learning</w:t>
      </w:r>
      <w:r>
        <w:t>.</w:t>
      </w:r>
    </w:p>
    <w:p w14:paraId="5F49835F" w14:textId="77777777" w:rsidR="005F16ED" w:rsidRDefault="00BC0DDC">
      <w:pPr>
        <w:spacing w:line="480" w:lineRule="auto"/>
        <w:ind w:left="720" w:hanging="720"/>
      </w:pPr>
      <w:r>
        <w:t xml:space="preserve">National Institute of Standards and Technology. (2023). </w:t>
      </w:r>
      <w:r>
        <w:rPr>
          <w:i/>
          <w:iCs/>
        </w:rPr>
        <w:t>Artificial intelligence risk management framework (AI RMF 1.0)</w:t>
      </w:r>
      <w:r>
        <w:t>. U.S. Department of Commerce. https://doi.org/10.6028/NIST.AI.100-1</w:t>
      </w:r>
    </w:p>
    <w:p w14:paraId="2241C1BC" w14:textId="77777777" w:rsidR="005F16ED" w:rsidRDefault="00BC0DDC">
      <w:pPr>
        <w:spacing w:line="480" w:lineRule="auto"/>
        <w:ind w:left="720" w:hanging="720"/>
      </w:pPr>
      <w:r>
        <w:t xml:space="preserve">Sutherland Global. (2023). </w:t>
      </w:r>
      <w:r>
        <w:rPr>
          <w:i/>
          <w:iCs/>
        </w:rPr>
        <w:t>From burden to business advantage: Transforming compliance with supported automation</w:t>
      </w:r>
      <w:r>
        <w:t>. https://www.sutherlandglobal.com/wp-content/uploads/sites/2/Transforming_AML_Compliance_whitepaper.pdf</w:t>
      </w:r>
    </w:p>
    <w:sectPr w:rsidR="005F16ED">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8C44A9"/>
    <w:multiLevelType w:val="hybridMultilevel"/>
    <w:tmpl w:val="7938D7EA"/>
    <w:lvl w:ilvl="0" w:tplc="D666B33C">
      <w:start w:val="1"/>
      <w:numFmt w:val="bullet"/>
      <w:lvlText w:val="●"/>
      <w:lvlJc w:val="left"/>
      <w:pPr>
        <w:ind w:left="720" w:hanging="360"/>
      </w:pPr>
    </w:lvl>
    <w:lvl w:ilvl="1" w:tplc="AF3E5134">
      <w:start w:val="1"/>
      <w:numFmt w:val="bullet"/>
      <w:lvlText w:val="○"/>
      <w:lvlJc w:val="left"/>
      <w:pPr>
        <w:ind w:left="1440" w:hanging="360"/>
      </w:pPr>
    </w:lvl>
    <w:lvl w:ilvl="2" w:tplc="A41AE732">
      <w:start w:val="1"/>
      <w:numFmt w:val="bullet"/>
      <w:lvlText w:val="■"/>
      <w:lvlJc w:val="left"/>
      <w:pPr>
        <w:ind w:left="2160" w:hanging="360"/>
      </w:pPr>
    </w:lvl>
    <w:lvl w:ilvl="3" w:tplc="2E86272E">
      <w:start w:val="1"/>
      <w:numFmt w:val="bullet"/>
      <w:lvlText w:val="●"/>
      <w:lvlJc w:val="left"/>
      <w:pPr>
        <w:ind w:left="2880" w:hanging="360"/>
      </w:pPr>
    </w:lvl>
    <w:lvl w:ilvl="4" w:tplc="7974E814">
      <w:start w:val="1"/>
      <w:numFmt w:val="bullet"/>
      <w:lvlText w:val="○"/>
      <w:lvlJc w:val="left"/>
      <w:pPr>
        <w:ind w:left="3600" w:hanging="360"/>
      </w:pPr>
    </w:lvl>
    <w:lvl w:ilvl="5" w:tplc="E61A382C">
      <w:start w:val="1"/>
      <w:numFmt w:val="bullet"/>
      <w:lvlText w:val="■"/>
      <w:lvlJc w:val="left"/>
      <w:pPr>
        <w:ind w:left="4320" w:hanging="360"/>
      </w:pPr>
    </w:lvl>
    <w:lvl w:ilvl="6" w:tplc="79683186">
      <w:start w:val="1"/>
      <w:numFmt w:val="bullet"/>
      <w:lvlText w:val="●"/>
      <w:lvlJc w:val="left"/>
      <w:pPr>
        <w:ind w:left="5040" w:hanging="360"/>
      </w:pPr>
    </w:lvl>
    <w:lvl w:ilvl="7" w:tplc="31C80F20">
      <w:start w:val="1"/>
      <w:numFmt w:val="bullet"/>
      <w:lvlText w:val="●"/>
      <w:lvlJc w:val="left"/>
      <w:pPr>
        <w:ind w:left="5760" w:hanging="360"/>
      </w:pPr>
    </w:lvl>
    <w:lvl w:ilvl="8" w:tplc="B33A2E92">
      <w:start w:val="1"/>
      <w:numFmt w:val="bullet"/>
      <w:lvlText w:val="●"/>
      <w:lvlJc w:val="left"/>
      <w:pPr>
        <w:ind w:left="6480" w:hanging="360"/>
      </w:pPr>
    </w:lvl>
  </w:abstractNum>
  <w:num w:numId="1" w16cid:durableId="125365848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16ED"/>
    <w:rsid w:val="003A32D0"/>
    <w:rsid w:val="005F16ED"/>
    <w:rsid w:val="00FE379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6DF8A"/>
  <w15:docId w15:val="{8930DDDE-CA42-4C23-B08C-DE15CCB7E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1722</Words>
  <Characters>9819</Characters>
  <Application>Microsoft Office Word</Application>
  <DocSecurity>0</DocSecurity>
  <Lines>81</Lines>
  <Paragraphs>23</Paragraphs>
  <ScaleCrop>false</ScaleCrop>
  <Company/>
  <LinksUpToDate>false</LinksUpToDate>
  <CharactersWithSpaces>11518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w.breauxiii@gmail.com</cp:lastModifiedBy>
  <cp:revision>2</cp:revision>
  <dcterms:created xsi:type="dcterms:W3CDTF">2026-04-18T21:39:00Z</dcterms:created>
  <dcterms:modified xsi:type="dcterms:W3CDTF">2026-04-18T21:39:00Z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5e303019-5e76-4753-bf3f-46644f2b8957</vt:lpwstr>
  </property>
</Properties>
</file>