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453"/>
        <w:gridCol w:w="1897"/>
      </w:tblGrid>
      <w:tr w:rsidR="00352636" w14:paraId="331BC546" w14:textId="77777777" w:rsidTr="00352636">
        <w:tc>
          <w:tcPr>
            <w:tcW w:w="8005" w:type="dxa"/>
          </w:tcPr>
          <w:p w14:paraId="4911ECE7" w14:textId="10C3A529" w:rsidR="00352636" w:rsidRDefault="00352636">
            <w:pPr>
              <w:rPr>
                <w:rFonts w:ascii="Courier" w:hAnsi="Courier" w:cs="Courier"/>
                <w:color w:val="000000"/>
                <w:sz w:val="20"/>
                <w:szCs w:val="20"/>
              </w:rPr>
            </w:pPr>
            <w:r>
              <w:rPr>
                <w:rFonts w:ascii="Courier" w:hAnsi="Courier" w:cs="Courier"/>
                <w:color w:val="000000"/>
                <w:sz w:val="20"/>
                <w:szCs w:val="20"/>
              </w:rPr>
              <w:t>The main issue I had with the paper is related to the correlation of structured navigation and actual productivity.  I was very confused about that until reading section 6.2.1 (page 7) when the paper referred to the result of Robilard et al. [9].  That helped but still I am not entirely convinced about the generality of this correlation and how strong it is.  I would like to understand this correlation better.  I think that an early discussion about the principles behind it and an illustration on how you compute a score (based on edit sessions on 5 distinct categories) is of great help.  I was also confused about Blaze. From the description from Section 6.2 (paragraph before 6.2.1) I was under the impression that Blaze measures the length of edit sessions.  I could not understand how Blaze identifies that one edit session is over.  Considering the example from the paper, why "D" is the end and not "E"?  Is the execution of a task in a different categories (e.g., build/test) !</w:t>
            </w:r>
            <w:r>
              <w:rPr>
                <w:rFonts w:ascii="Courier" w:hAnsi="Courier" w:cs="Courier"/>
                <w:color w:val="000000"/>
                <w:sz w:val="20"/>
                <w:szCs w:val="20"/>
              </w:rPr>
              <w:br/>
              <w:t xml:space="preserve"> the event that defines the end of an edit session?  How accurate is this?  I was also very curious to understand how to compose these sessions to define a score?  Does it make sense to show examples of sectioned bars (/sequences of edit sessions) for two developers in the paper to illustrate how these two developers perform?  Is it the case that only the sections that goes to the "structured category" bucket counts?  What happens if the bars are very fragmented?</w:t>
            </w:r>
            <w:r>
              <w:rPr>
                <w:rFonts w:ascii="Courier" w:hAnsi="Courier" w:cs="Courier"/>
                <w:color w:val="000000"/>
                <w:sz w:val="20"/>
                <w:szCs w:val="20"/>
              </w:rPr>
              <w:br/>
            </w:r>
            <w:r>
              <w:rPr>
                <w:rFonts w:ascii="Courier" w:hAnsi="Courier" w:cs="Courier"/>
                <w:color w:val="000000"/>
                <w:sz w:val="20"/>
                <w:szCs w:val="20"/>
              </w:rPr>
              <w:br/>
            </w:r>
          </w:p>
        </w:tc>
        <w:tc>
          <w:tcPr>
            <w:tcW w:w="1345" w:type="dxa"/>
          </w:tcPr>
          <w:p w14:paraId="4FBA249F" w14:textId="77777777" w:rsidR="00352636" w:rsidRDefault="00352636">
            <w:pPr>
              <w:rPr>
                <w:rFonts w:ascii="Courier" w:hAnsi="Courier" w:cs="Courier"/>
                <w:color w:val="000000"/>
                <w:sz w:val="20"/>
                <w:szCs w:val="20"/>
              </w:rPr>
            </w:pPr>
          </w:p>
        </w:tc>
      </w:tr>
      <w:tr w:rsidR="00352636" w14:paraId="7081AD8A" w14:textId="77777777" w:rsidTr="00352636">
        <w:tc>
          <w:tcPr>
            <w:tcW w:w="8005" w:type="dxa"/>
          </w:tcPr>
          <w:p w14:paraId="4B6BDC48" w14:textId="2BE62DFD" w:rsidR="00352636" w:rsidRDefault="00352636">
            <w:pPr>
              <w:rPr>
                <w:rFonts w:ascii="Courier" w:hAnsi="Courier" w:cs="Courier"/>
                <w:color w:val="000000"/>
                <w:sz w:val="20"/>
                <w:szCs w:val="20"/>
              </w:rPr>
            </w:pPr>
            <w:r>
              <w:rPr>
                <w:rFonts w:ascii="Courier" w:hAnsi="Courier" w:cs="Courier"/>
                <w:color w:val="000000"/>
                <w:sz w:val="20"/>
                <w:szCs w:val="20"/>
              </w:rPr>
              <w:t>I am wondering that developers could perform completely different based on the task they receive and based on how they work.  I see that authors mentioned this issue in the second paragraph from Threats to Validity (Section 7).  I imagine this can be a serious threat to the use of such scoring metric.</w:t>
            </w:r>
          </w:p>
        </w:tc>
        <w:tc>
          <w:tcPr>
            <w:tcW w:w="1345" w:type="dxa"/>
          </w:tcPr>
          <w:p w14:paraId="03EE856F" w14:textId="77777777" w:rsidR="00352636" w:rsidRDefault="00352636">
            <w:pPr>
              <w:rPr>
                <w:rFonts w:ascii="Courier" w:hAnsi="Courier" w:cs="Courier"/>
                <w:color w:val="000000"/>
                <w:sz w:val="20"/>
                <w:szCs w:val="20"/>
              </w:rPr>
            </w:pPr>
          </w:p>
        </w:tc>
      </w:tr>
      <w:tr w:rsidR="00352636" w14:paraId="12D0D7DB" w14:textId="77777777" w:rsidTr="00352636">
        <w:tc>
          <w:tcPr>
            <w:tcW w:w="8005" w:type="dxa"/>
          </w:tcPr>
          <w:p w14:paraId="39EB8C82" w14:textId="17171B50" w:rsidR="00352636" w:rsidRDefault="00352636">
            <w:pPr>
              <w:rPr>
                <w:rFonts w:ascii="Courier" w:hAnsi="Courier" w:cs="Courier"/>
                <w:color w:val="000000"/>
                <w:sz w:val="20"/>
                <w:szCs w:val="20"/>
              </w:rPr>
            </w:pPr>
            <w:r>
              <w:rPr>
                <w:rFonts w:ascii="Courier" w:hAnsi="Courier" w:cs="Courier"/>
                <w:color w:val="000000"/>
                <w:sz w:val="20"/>
                <w:szCs w:val="20"/>
              </w:rPr>
              <w:t>I would like to see a detailed description of the 15 attributes (features) mentioned in Section 6.2.1</w:t>
            </w:r>
          </w:p>
        </w:tc>
        <w:tc>
          <w:tcPr>
            <w:tcW w:w="1345" w:type="dxa"/>
          </w:tcPr>
          <w:p w14:paraId="1C7A16FE" w14:textId="77777777" w:rsidR="00352636" w:rsidRDefault="00352636">
            <w:pPr>
              <w:rPr>
                <w:rFonts w:ascii="Courier" w:hAnsi="Courier" w:cs="Courier"/>
                <w:color w:val="000000"/>
                <w:sz w:val="20"/>
                <w:szCs w:val="20"/>
              </w:rPr>
            </w:pPr>
            <w:bookmarkStart w:id="0" w:name="_GoBack"/>
            <w:bookmarkEnd w:id="0"/>
          </w:p>
        </w:tc>
      </w:tr>
      <w:tr w:rsidR="00352636" w14:paraId="49CF702A" w14:textId="77777777" w:rsidTr="00352636">
        <w:tc>
          <w:tcPr>
            <w:tcW w:w="8005" w:type="dxa"/>
          </w:tcPr>
          <w:p w14:paraId="70F5AE45" w14:textId="691FA42B" w:rsidR="00352636" w:rsidRDefault="00352636">
            <w:pPr>
              <w:rPr>
                <w:rFonts w:ascii="Courier" w:hAnsi="Courier" w:cs="Courier"/>
                <w:color w:val="000000"/>
                <w:sz w:val="20"/>
                <w:szCs w:val="20"/>
              </w:rPr>
            </w:pPr>
            <w:r>
              <w:rPr>
                <w:rFonts w:ascii="Courier" w:hAnsi="Courier" w:cs="Courier"/>
                <w:color w:val="000000"/>
                <w:sz w:val="20"/>
                <w:szCs w:val="20"/>
              </w:rPr>
              <w:t>Five categories mentioned in Section 6.2.1 do not correspond to those mentioned in Figure 8</w:t>
            </w:r>
          </w:p>
        </w:tc>
        <w:tc>
          <w:tcPr>
            <w:tcW w:w="1345" w:type="dxa"/>
          </w:tcPr>
          <w:p w14:paraId="1C2B725F" w14:textId="692A4145" w:rsidR="00352636" w:rsidRDefault="00506F53">
            <w:pPr>
              <w:rPr>
                <w:rFonts w:ascii="Courier" w:hAnsi="Courier" w:cs="Courier"/>
                <w:color w:val="000000"/>
                <w:sz w:val="20"/>
                <w:szCs w:val="20"/>
              </w:rPr>
            </w:pPr>
            <w:r w:rsidRPr="00506F53">
              <w:rPr>
                <w:rFonts w:ascii="Courier" w:hAnsi="Courier" w:cs="Courier"/>
                <w:color w:val="000000"/>
                <w:sz w:val="20"/>
                <w:szCs w:val="20"/>
              </w:rPr>
              <w:t>In fig – Structured, in sec6.2.1 – other actions</w:t>
            </w:r>
          </w:p>
        </w:tc>
      </w:tr>
      <w:tr w:rsidR="00352636" w14:paraId="1D4B6190" w14:textId="77777777" w:rsidTr="00352636">
        <w:tc>
          <w:tcPr>
            <w:tcW w:w="8005" w:type="dxa"/>
          </w:tcPr>
          <w:p w14:paraId="360EEA4D" w14:textId="1596B672" w:rsidR="00352636" w:rsidRDefault="00352636">
            <w:pPr>
              <w:rPr>
                <w:rFonts w:ascii="Courier" w:hAnsi="Courier" w:cs="Courier"/>
                <w:color w:val="000000"/>
                <w:sz w:val="20"/>
                <w:szCs w:val="20"/>
              </w:rPr>
            </w:pPr>
            <w:r>
              <w:rPr>
                <w:rFonts w:ascii="Courier" w:hAnsi="Courier" w:cs="Courier"/>
                <w:color w:val="000000"/>
                <w:sz w:val="20"/>
                <w:szCs w:val="20"/>
              </w:rPr>
              <w:t>I don't find much motivation in the paper that explains why structured search is better than unstructured search.  The usage levels of the two are astonishingly different in Fig 8.  Are developers really that out of touch with how much time they are spending on this?</w:t>
            </w:r>
          </w:p>
        </w:tc>
        <w:tc>
          <w:tcPr>
            <w:tcW w:w="1345" w:type="dxa"/>
          </w:tcPr>
          <w:p w14:paraId="753F6D27" w14:textId="77777777" w:rsidR="00352636" w:rsidRDefault="00352636">
            <w:pPr>
              <w:rPr>
                <w:rFonts w:ascii="Courier" w:hAnsi="Courier" w:cs="Courier"/>
                <w:color w:val="000000"/>
                <w:sz w:val="20"/>
                <w:szCs w:val="20"/>
              </w:rPr>
            </w:pPr>
          </w:p>
        </w:tc>
      </w:tr>
      <w:tr w:rsidR="00352636" w14:paraId="069F8FD3" w14:textId="77777777" w:rsidTr="00352636">
        <w:tc>
          <w:tcPr>
            <w:tcW w:w="8005" w:type="dxa"/>
          </w:tcPr>
          <w:p w14:paraId="6FEA9678" w14:textId="453B231F" w:rsidR="00352636" w:rsidRDefault="00352636">
            <w:pPr>
              <w:rPr>
                <w:rFonts w:ascii="Courier" w:hAnsi="Courier" w:cs="Courier"/>
                <w:color w:val="000000"/>
                <w:sz w:val="20"/>
                <w:szCs w:val="20"/>
              </w:rPr>
            </w:pPr>
            <w:r>
              <w:rPr>
                <w:rFonts w:ascii="Courier" w:hAnsi="Courier" w:cs="Courier"/>
                <w:color w:val="000000"/>
                <w:sz w:val="20"/>
                <w:szCs w:val="20"/>
              </w:rPr>
              <w:t>The Releated Work section is very disruptive to the flow of the paper.  The Monitoring Practice Studies part appears to be completely irrelevant at this point in the paper - even after reading the paper the work seems marginally relevant.  It should either be moved to the end of the paper, or the monitoring practice studies section should just be removed and the Gamification section trimmed down.</w:t>
            </w:r>
          </w:p>
        </w:tc>
        <w:tc>
          <w:tcPr>
            <w:tcW w:w="1345" w:type="dxa"/>
          </w:tcPr>
          <w:p w14:paraId="159B6C89" w14:textId="77777777" w:rsidR="00352636" w:rsidRDefault="00352636">
            <w:pPr>
              <w:rPr>
                <w:rFonts w:ascii="Courier" w:hAnsi="Courier" w:cs="Courier"/>
                <w:color w:val="000000"/>
                <w:sz w:val="20"/>
                <w:szCs w:val="20"/>
              </w:rPr>
            </w:pPr>
          </w:p>
        </w:tc>
      </w:tr>
      <w:tr w:rsidR="00352636" w14:paraId="03278A58" w14:textId="77777777" w:rsidTr="00352636">
        <w:tc>
          <w:tcPr>
            <w:tcW w:w="8005" w:type="dxa"/>
          </w:tcPr>
          <w:p w14:paraId="325D5324" w14:textId="190D4047" w:rsidR="00352636" w:rsidRDefault="002647CE">
            <w:pPr>
              <w:rPr>
                <w:rFonts w:ascii="Courier" w:hAnsi="Courier" w:cs="Courier"/>
                <w:color w:val="000000"/>
                <w:sz w:val="20"/>
                <w:szCs w:val="20"/>
              </w:rPr>
            </w:pPr>
            <w:r>
              <w:rPr>
                <w:rFonts w:ascii="Courier" w:hAnsi="Courier" w:cs="Courier"/>
                <w:color w:val="000000"/>
                <w:sz w:val="20"/>
                <w:szCs w:val="20"/>
              </w:rPr>
              <w:br/>
              <w:t>"Results, though inconclusive, show... "  -&gt;  how can they be both inconclusive and show something?</w:t>
            </w:r>
          </w:p>
        </w:tc>
        <w:tc>
          <w:tcPr>
            <w:tcW w:w="1345" w:type="dxa"/>
          </w:tcPr>
          <w:p w14:paraId="414B5C7A" w14:textId="77777777" w:rsidR="00352636" w:rsidRDefault="00352636">
            <w:pPr>
              <w:rPr>
                <w:rFonts w:ascii="Courier" w:hAnsi="Courier" w:cs="Courier"/>
                <w:color w:val="000000"/>
                <w:sz w:val="20"/>
                <w:szCs w:val="20"/>
              </w:rPr>
            </w:pPr>
          </w:p>
        </w:tc>
      </w:tr>
      <w:tr w:rsidR="00352636" w14:paraId="3C9A2710" w14:textId="77777777" w:rsidTr="00352636">
        <w:tc>
          <w:tcPr>
            <w:tcW w:w="8005" w:type="dxa"/>
          </w:tcPr>
          <w:p w14:paraId="1EF2F32A" w14:textId="550F9D78" w:rsidR="00352636" w:rsidRDefault="002647CE">
            <w:pPr>
              <w:rPr>
                <w:rFonts w:ascii="Courier" w:hAnsi="Courier" w:cs="Courier"/>
                <w:color w:val="000000"/>
                <w:sz w:val="20"/>
                <w:szCs w:val="20"/>
              </w:rPr>
            </w:pPr>
            <w:r>
              <w:rPr>
                <w:rFonts w:ascii="Courier" w:hAnsi="Courier" w:cs="Courier"/>
                <w:color w:val="000000"/>
                <w:sz w:val="20"/>
                <w:szCs w:val="20"/>
              </w:rPr>
              <w:lastRenderedPageBreak/>
              <w:t xml:space="preserve">I don't understand why you equate a "team goal" to "helping their team in a competition" - was  explicitly asked?  Otherwise, it seems like an unjustified inference.  </w:t>
            </w:r>
          </w:p>
        </w:tc>
        <w:tc>
          <w:tcPr>
            <w:tcW w:w="1345" w:type="dxa"/>
          </w:tcPr>
          <w:p w14:paraId="696757A4" w14:textId="77777777" w:rsidR="00352636" w:rsidRDefault="00352636">
            <w:pPr>
              <w:rPr>
                <w:rFonts w:ascii="Courier" w:hAnsi="Courier" w:cs="Courier"/>
                <w:color w:val="000000"/>
                <w:sz w:val="20"/>
                <w:szCs w:val="20"/>
              </w:rPr>
            </w:pPr>
          </w:p>
        </w:tc>
      </w:tr>
      <w:tr w:rsidR="002647CE" w14:paraId="40819195" w14:textId="77777777" w:rsidTr="00352636">
        <w:tc>
          <w:tcPr>
            <w:tcW w:w="8005" w:type="dxa"/>
          </w:tcPr>
          <w:p w14:paraId="6A8DA050" w14:textId="3C6111C0" w:rsidR="002647CE" w:rsidRDefault="002647CE">
            <w:pPr>
              <w:rPr>
                <w:rFonts w:ascii="Courier" w:hAnsi="Courier" w:cs="Courier"/>
                <w:color w:val="000000"/>
                <w:sz w:val="20"/>
                <w:szCs w:val="20"/>
              </w:rPr>
            </w:pPr>
            <w:r>
              <w:rPr>
                <w:rFonts w:ascii="Courier" w:hAnsi="Courier" w:cs="Courier"/>
                <w:color w:val="000000"/>
                <w:sz w:val="20"/>
                <w:szCs w:val="20"/>
              </w:rPr>
              <w:t>"We conclude that a facility to share..." -&gt; it seems like you should site [16] here.</w:t>
            </w:r>
          </w:p>
        </w:tc>
        <w:tc>
          <w:tcPr>
            <w:tcW w:w="1345" w:type="dxa"/>
          </w:tcPr>
          <w:p w14:paraId="564C19AB" w14:textId="77777777" w:rsidR="002647CE" w:rsidRDefault="002647CE">
            <w:pPr>
              <w:rPr>
                <w:rFonts w:ascii="Courier" w:hAnsi="Courier" w:cs="Courier"/>
                <w:color w:val="000000"/>
                <w:sz w:val="20"/>
                <w:szCs w:val="20"/>
              </w:rPr>
            </w:pPr>
          </w:p>
        </w:tc>
      </w:tr>
      <w:tr w:rsidR="002647CE" w14:paraId="41791C79" w14:textId="77777777" w:rsidTr="00352636">
        <w:tc>
          <w:tcPr>
            <w:tcW w:w="8005" w:type="dxa"/>
          </w:tcPr>
          <w:p w14:paraId="20962D81" w14:textId="0E0D9F76" w:rsidR="002647CE" w:rsidRDefault="008F61BB">
            <w:pPr>
              <w:rPr>
                <w:rFonts w:ascii="Courier" w:hAnsi="Courier" w:cs="Courier"/>
                <w:color w:val="000000"/>
                <w:sz w:val="20"/>
                <w:szCs w:val="20"/>
              </w:rPr>
            </w:pPr>
            <w:r>
              <w:rPr>
                <w:rFonts w:ascii="Courier" w:hAnsi="Courier" w:cs="Courier"/>
                <w:color w:val="000000"/>
                <w:sz w:val="20"/>
                <w:szCs w:val="20"/>
              </w:rPr>
              <w:t>I was surprised to see you segment by country and not by age.</w:t>
            </w:r>
          </w:p>
        </w:tc>
        <w:tc>
          <w:tcPr>
            <w:tcW w:w="1345" w:type="dxa"/>
          </w:tcPr>
          <w:p w14:paraId="3C5C7173" w14:textId="646D0532" w:rsidR="002647CE" w:rsidRDefault="00506F53">
            <w:pPr>
              <w:rPr>
                <w:rFonts w:ascii="Courier" w:hAnsi="Courier" w:cs="Courier"/>
                <w:color w:val="000000"/>
                <w:sz w:val="20"/>
                <w:szCs w:val="20"/>
              </w:rPr>
            </w:pPr>
            <w:r>
              <w:rPr>
                <w:rFonts w:ascii="Courier" w:hAnsi="Courier" w:cs="Courier"/>
                <w:color w:val="000000"/>
                <w:sz w:val="20"/>
                <w:szCs w:val="20"/>
              </w:rPr>
              <w:t>Can ignore this comment</w:t>
            </w:r>
          </w:p>
        </w:tc>
      </w:tr>
      <w:tr w:rsidR="002647CE" w14:paraId="648F9AF3" w14:textId="77777777" w:rsidTr="00352636">
        <w:tc>
          <w:tcPr>
            <w:tcW w:w="8005" w:type="dxa"/>
          </w:tcPr>
          <w:p w14:paraId="225EA810" w14:textId="11E77C10" w:rsidR="002647CE" w:rsidRDefault="008F61BB">
            <w:pPr>
              <w:rPr>
                <w:rFonts w:ascii="Courier" w:hAnsi="Courier" w:cs="Courier"/>
                <w:color w:val="000000"/>
                <w:sz w:val="20"/>
                <w:szCs w:val="20"/>
              </w:rPr>
            </w:pPr>
            <w:r>
              <w:rPr>
                <w:rFonts w:ascii="Courier" w:hAnsi="Courier" w:cs="Courier"/>
                <w:color w:val="000000"/>
                <w:sz w:val="20"/>
                <w:szCs w:val="20"/>
              </w:rPr>
              <w:br/>
              <w:t>- "Figure 2 shows over 90% of respondents are</w:t>
            </w:r>
            <w:r>
              <w:rPr>
                <w:rFonts w:ascii="Courier" w:hAnsi="Courier" w:cs="Courier"/>
                <w:color w:val="000000"/>
                <w:sz w:val="20"/>
                <w:szCs w:val="20"/>
              </w:rPr>
              <w:br/>
              <w:t>comfortable with sharing either anonymous or non-anonymous</w:t>
            </w:r>
            <w:r>
              <w:rPr>
                <w:rFonts w:ascii="Courier" w:hAnsi="Courier" w:cs="Courier"/>
                <w:color w:val="000000"/>
                <w:sz w:val="20"/>
                <w:szCs w:val="20"/>
              </w:rPr>
              <w:br/>
              <w:t>information with their team members." -&gt; Figure 2 shows this 90% result for</w:t>
            </w:r>
            <w:r>
              <w:rPr>
                <w:rFonts w:ascii="Courier" w:hAnsi="Courier" w:cs="Courier"/>
                <w:color w:val="000000"/>
                <w:sz w:val="20"/>
                <w:szCs w:val="20"/>
              </w:rPr>
              <w:br/>
              <w:t>"Selected People". Please correct.</w:t>
            </w:r>
          </w:p>
        </w:tc>
        <w:tc>
          <w:tcPr>
            <w:tcW w:w="1345" w:type="dxa"/>
          </w:tcPr>
          <w:p w14:paraId="2462276F" w14:textId="456D4361" w:rsidR="002647CE" w:rsidRDefault="00506F53">
            <w:pPr>
              <w:rPr>
                <w:rFonts w:ascii="Courier" w:hAnsi="Courier" w:cs="Courier"/>
                <w:color w:val="000000"/>
                <w:sz w:val="20"/>
                <w:szCs w:val="20"/>
              </w:rPr>
            </w:pPr>
            <w:r>
              <w:rPr>
                <w:rFonts w:ascii="Courier" w:hAnsi="Courier" w:cs="Courier"/>
                <w:color w:val="000000"/>
                <w:sz w:val="20"/>
                <w:szCs w:val="20"/>
              </w:rPr>
              <w:t>there is some confusion on the data representation (color code)</w:t>
            </w:r>
          </w:p>
        </w:tc>
      </w:tr>
      <w:tr w:rsidR="00506F53" w14:paraId="0118C8EC" w14:textId="77777777" w:rsidTr="00352636">
        <w:tc>
          <w:tcPr>
            <w:tcW w:w="8005" w:type="dxa"/>
          </w:tcPr>
          <w:p w14:paraId="2D9B3E85" w14:textId="6DE8A93F" w:rsidR="00506F53" w:rsidRDefault="00506F53" w:rsidP="00506F53">
            <w:pPr>
              <w:rPr>
                <w:rFonts w:ascii="Courier" w:hAnsi="Courier" w:cs="Courier"/>
                <w:color w:val="000000"/>
                <w:sz w:val="20"/>
                <w:szCs w:val="20"/>
              </w:rPr>
            </w:pPr>
            <w:r>
              <w:rPr>
                <w:rFonts w:ascii="Courier" w:hAnsi="Courier" w:cs="Courier"/>
                <w:color w:val="000000"/>
                <w:sz w:val="20"/>
                <w:szCs w:val="20"/>
              </w:rPr>
              <w:t>Section 5:</w:t>
            </w:r>
            <w:r>
              <w:rPr>
                <w:rFonts w:ascii="Courier" w:hAnsi="Courier" w:cs="Courier"/>
                <w:color w:val="000000"/>
                <w:sz w:val="20"/>
                <w:szCs w:val="20"/>
              </w:rPr>
              <w:br/>
              <w:t>- who hosts the data? What is done with the data post-survey?</w:t>
            </w:r>
          </w:p>
        </w:tc>
        <w:tc>
          <w:tcPr>
            <w:tcW w:w="1345" w:type="dxa"/>
          </w:tcPr>
          <w:p w14:paraId="37BA4C95" w14:textId="0BBEAF84" w:rsidR="00506F53" w:rsidRDefault="00506F53" w:rsidP="00506F53">
            <w:pPr>
              <w:rPr>
                <w:rFonts w:ascii="Courier" w:hAnsi="Courier" w:cs="Courier"/>
                <w:color w:val="000000"/>
                <w:sz w:val="20"/>
                <w:szCs w:val="20"/>
              </w:rPr>
            </w:pPr>
            <w:r>
              <w:rPr>
                <w:rFonts w:ascii="Courier" w:hAnsi="Courier" w:cs="Courier"/>
                <w:color w:val="000000"/>
                <w:sz w:val="20"/>
                <w:szCs w:val="20"/>
              </w:rPr>
              <w:t>Do we need to address this?</w:t>
            </w:r>
          </w:p>
        </w:tc>
      </w:tr>
      <w:tr w:rsidR="00506F53" w14:paraId="7DD3550F" w14:textId="77777777" w:rsidTr="00352636">
        <w:tc>
          <w:tcPr>
            <w:tcW w:w="8005" w:type="dxa"/>
          </w:tcPr>
          <w:p w14:paraId="22AE961C" w14:textId="34550ABF" w:rsidR="00506F53" w:rsidRDefault="00506F53" w:rsidP="00506F53">
            <w:pPr>
              <w:rPr>
                <w:rFonts w:ascii="Courier" w:hAnsi="Courier" w:cs="Courier"/>
                <w:color w:val="000000"/>
                <w:sz w:val="20"/>
                <w:szCs w:val="20"/>
              </w:rPr>
            </w:pPr>
          </w:p>
        </w:tc>
        <w:tc>
          <w:tcPr>
            <w:tcW w:w="1345" w:type="dxa"/>
          </w:tcPr>
          <w:p w14:paraId="1EC16F30" w14:textId="77777777" w:rsidR="00506F53" w:rsidRDefault="00506F53" w:rsidP="00506F53">
            <w:pPr>
              <w:rPr>
                <w:rFonts w:ascii="Courier" w:hAnsi="Courier" w:cs="Courier"/>
                <w:color w:val="000000"/>
                <w:sz w:val="20"/>
                <w:szCs w:val="20"/>
              </w:rPr>
            </w:pPr>
          </w:p>
        </w:tc>
      </w:tr>
      <w:tr w:rsidR="00506F53" w14:paraId="68B84B2F" w14:textId="77777777" w:rsidTr="00352636">
        <w:tc>
          <w:tcPr>
            <w:tcW w:w="8005" w:type="dxa"/>
          </w:tcPr>
          <w:p w14:paraId="5FD2E1EA" w14:textId="77777777" w:rsidR="00506F53" w:rsidRDefault="00506F53" w:rsidP="00506F53">
            <w:pPr>
              <w:rPr>
                <w:rFonts w:ascii="Courier" w:hAnsi="Courier" w:cs="Courier"/>
                <w:color w:val="000000"/>
                <w:sz w:val="20"/>
                <w:szCs w:val="20"/>
              </w:rPr>
            </w:pPr>
          </w:p>
        </w:tc>
        <w:tc>
          <w:tcPr>
            <w:tcW w:w="1345" w:type="dxa"/>
          </w:tcPr>
          <w:p w14:paraId="3831C751" w14:textId="77777777" w:rsidR="00506F53" w:rsidRDefault="00506F53" w:rsidP="00506F53">
            <w:pPr>
              <w:rPr>
                <w:rFonts w:ascii="Courier" w:hAnsi="Courier" w:cs="Courier"/>
                <w:color w:val="000000"/>
                <w:sz w:val="20"/>
                <w:szCs w:val="20"/>
              </w:rPr>
            </w:pPr>
          </w:p>
        </w:tc>
      </w:tr>
      <w:tr w:rsidR="00506F53" w14:paraId="108E3976" w14:textId="77777777" w:rsidTr="00352636">
        <w:tc>
          <w:tcPr>
            <w:tcW w:w="8005" w:type="dxa"/>
          </w:tcPr>
          <w:p w14:paraId="1AE7FCD7" w14:textId="77777777" w:rsidR="00506F53" w:rsidRDefault="00506F53" w:rsidP="00506F53">
            <w:pPr>
              <w:rPr>
                <w:rFonts w:ascii="Courier" w:hAnsi="Courier" w:cs="Courier"/>
                <w:color w:val="000000"/>
                <w:sz w:val="20"/>
                <w:szCs w:val="20"/>
              </w:rPr>
            </w:pPr>
          </w:p>
        </w:tc>
        <w:tc>
          <w:tcPr>
            <w:tcW w:w="1345" w:type="dxa"/>
          </w:tcPr>
          <w:p w14:paraId="50DB851B" w14:textId="77777777" w:rsidR="00506F53" w:rsidRDefault="00506F53" w:rsidP="00506F53">
            <w:pPr>
              <w:rPr>
                <w:rFonts w:ascii="Courier" w:hAnsi="Courier" w:cs="Courier"/>
                <w:color w:val="000000"/>
                <w:sz w:val="20"/>
                <w:szCs w:val="20"/>
              </w:rPr>
            </w:pPr>
          </w:p>
        </w:tc>
      </w:tr>
      <w:tr w:rsidR="00506F53" w14:paraId="0A45AD5D" w14:textId="77777777" w:rsidTr="00352636">
        <w:tc>
          <w:tcPr>
            <w:tcW w:w="8005" w:type="dxa"/>
          </w:tcPr>
          <w:p w14:paraId="0948F165" w14:textId="77777777" w:rsidR="00506F53" w:rsidRDefault="00506F53" w:rsidP="00506F53">
            <w:pPr>
              <w:rPr>
                <w:rFonts w:ascii="Courier" w:hAnsi="Courier" w:cs="Courier"/>
                <w:color w:val="000000"/>
                <w:sz w:val="20"/>
                <w:szCs w:val="20"/>
              </w:rPr>
            </w:pPr>
          </w:p>
        </w:tc>
        <w:tc>
          <w:tcPr>
            <w:tcW w:w="1345" w:type="dxa"/>
          </w:tcPr>
          <w:p w14:paraId="4E616AA9" w14:textId="77777777" w:rsidR="00506F53" w:rsidRDefault="00506F53" w:rsidP="00506F53">
            <w:pPr>
              <w:rPr>
                <w:rFonts w:ascii="Courier" w:hAnsi="Courier" w:cs="Courier"/>
                <w:color w:val="000000"/>
                <w:sz w:val="20"/>
                <w:szCs w:val="20"/>
              </w:rPr>
            </w:pPr>
          </w:p>
        </w:tc>
      </w:tr>
    </w:tbl>
    <w:p w14:paraId="19C29CC8" w14:textId="462B3F26" w:rsidR="004B70F3" w:rsidRDefault="00571ABD">
      <w:r>
        <w:rPr>
          <w:rFonts w:ascii="Courier" w:hAnsi="Courier" w:cs="Courier"/>
          <w:color w:val="000000"/>
          <w:sz w:val="20"/>
          <w:szCs w:val="20"/>
        </w:rPr>
        <w:br/>
      </w:r>
      <w:r>
        <w:rPr>
          <w:rFonts w:ascii="Courier" w:hAnsi="Courier" w:cs="Courier"/>
          <w:color w:val="000000"/>
          <w:sz w:val="20"/>
          <w:szCs w:val="20"/>
        </w:rPr>
        <w:br/>
      </w:r>
    </w:p>
    <w:sectPr w:rsidR="004B7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ABD"/>
    <w:rsid w:val="002647CE"/>
    <w:rsid w:val="002856AC"/>
    <w:rsid w:val="00352636"/>
    <w:rsid w:val="004B70F3"/>
    <w:rsid w:val="00506F53"/>
    <w:rsid w:val="00571ABD"/>
    <w:rsid w:val="007D2337"/>
    <w:rsid w:val="007F6FCB"/>
    <w:rsid w:val="00845E78"/>
    <w:rsid w:val="008E78D6"/>
    <w:rsid w:val="008F61BB"/>
    <w:rsid w:val="00A61294"/>
    <w:rsid w:val="00D01A7E"/>
    <w:rsid w:val="00E45BC4"/>
    <w:rsid w:val="00E53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E46F1"/>
  <w15:chartTrackingRefBased/>
  <w15:docId w15:val="{90D5705E-C9E4-4135-B312-CB75BF14D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53457"/>
    <w:rPr>
      <w:sz w:val="16"/>
      <w:szCs w:val="16"/>
    </w:rPr>
  </w:style>
  <w:style w:type="paragraph" w:styleId="CommentText">
    <w:name w:val="annotation text"/>
    <w:basedOn w:val="Normal"/>
    <w:link w:val="CommentTextChar"/>
    <w:uiPriority w:val="99"/>
    <w:semiHidden/>
    <w:unhideWhenUsed/>
    <w:rsid w:val="00E53457"/>
    <w:pPr>
      <w:spacing w:line="240" w:lineRule="auto"/>
    </w:pPr>
    <w:rPr>
      <w:sz w:val="20"/>
      <w:szCs w:val="20"/>
    </w:rPr>
  </w:style>
  <w:style w:type="character" w:customStyle="1" w:styleId="CommentTextChar">
    <w:name w:val="Comment Text Char"/>
    <w:basedOn w:val="DefaultParagraphFont"/>
    <w:link w:val="CommentText"/>
    <w:uiPriority w:val="99"/>
    <w:semiHidden/>
    <w:rsid w:val="00E53457"/>
    <w:rPr>
      <w:sz w:val="20"/>
      <w:szCs w:val="20"/>
    </w:rPr>
  </w:style>
  <w:style w:type="paragraph" w:styleId="CommentSubject">
    <w:name w:val="annotation subject"/>
    <w:basedOn w:val="CommentText"/>
    <w:next w:val="CommentText"/>
    <w:link w:val="CommentSubjectChar"/>
    <w:uiPriority w:val="99"/>
    <w:semiHidden/>
    <w:unhideWhenUsed/>
    <w:rsid w:val="00E53457"/>
    <w:rPr>
      <w:b/>
      <w:bCs/>
    </w:rPr>
  </w:style>
  <w:style w:type="character" w:customStyle="1" w:styleId="CommentSubjectChar">
    <w:name w:val="Comment Subject Char"/>
    <w:basedOn w:val="CommentTextChar"/>
    <w:link w:val="CommentSubject"/>
    <w:uiPriority w:val="99"/>
    <w:semiHidden/>
    <w:rsid w:val="00E53457"/>
    <w:rPr>
      <w:b/>
      <w:bCs/>
      <w:sz w:val="20"/>
      <w:szCs w:val="20"/>
    </w:rPr>
  </w:style>
  <w:style w:type="paragraph" w:styleId="BalloonText">
    <w:name w:val="Balloon Text"/>
    <w:basedOn w:val="Normal"/>
    <w:link w:val="BalloonTextChar"/>
    <w:uiPriority w:val="99"/>
    <w:semiHidden/>
    <w:unhideWhenUsed/>
    <w:rsid w:val="00E534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457"/>
    <w:rPr>
      <w:rFonts w:ascii="Segoe UI" w:hAnsi="Segoe UI" w:cs="Segoe UI"/>
      <w:sz w:val="18"/>
      <w:szCs w:val="18"/>
    </w:rPr>
  </w:style>
  <w:style w:type="table" w:styleId="TableGrid">
    <w:name w:val="Table Grid"/>
    <w:basedOn w:val="TableNormal"/>
    <w:uiPriority w:val="39"/>
    <w:rsid w:val="003526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Nair</dc:creator>
  <cp:keywords/>
  <dc:description/>
  <cp:lastModifiedBy>Anil Nair</cp:lastModifiedBy>
  <cp:revision>3</cp:revision>
  <dcterms:created xsi:type="dcterms:W3CDTF">2014-03-07T03:18:00Z</dcterms:created>
  <dcterms:modified xsi:type="dcterms:W3CDTF">2014-03-07T04:58:00Z</dcterms:modified>
</cp:coreProperties>
</file>