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Microsoft YaHei" w:hAnsi="Microsoft YaHei" w:eastAsia="Microsoft YaHei"/>
          <w:b/>
          <w:color w:val="132F5C"/>
          <w:sz w:val="44"/>
        </w:rPr>
        <w:t>厦门市人才政策（清洗导入版）</w:t>
      </w:r>
    </w:p>
    <w:p>
      <w:pPr>
        <w:spacing w:after="360"/>
        <w:jc w:val="center"/>
      </w:pPr>
      <w:r>
        <w:rPr>
          <w:rFonts w:ascii="Microsoft YaHei" w:hAnsi="Microsoft YaHei" w:eastAsia="Microsoft YaHei"/>
          <w:color w:val="5F5F5F"/>
          <w:sz w:val="22"/>
        </w:rPr>
        <w:t>按咨询问答场景整理的市级政策清洗文档｜适合作为知识库主文档导入</w:t>
      </w:r>
    </w:p>
    <w:tbl>
      <w:tblPr>
        <w:tblW w:type="auto" w:w="0"/>
        <w:jc w:val="center"/>
        <w:tblLayout w:type="fixed"/>
        <w:tblLook w:firstColumn="1" w:firstRow="1" w:lastColumn="0" w:lastRow="0" w:noHBand="0" w:noVBand="1" w:val="04A0"/>
      </w:tblPr>
      <w:tblGrid>
        <w:gridCol w:w="4872"/>
        <w:gridCol w:w="4872"/>
      </w:tblGrid>
      <w:tr>
        <w:tc>
          <w:tcPr>
            <w:tcW w:type="dxa" w:w="1984"/>
            <w:tcMar>
              <w:top w:w="120" w:type="dxa"/>
              <w:start w:w="160" w:type="dxa"/>
              <w:bottom w:w="120" w:type="dxa"/>
              <w:end w:w="160" w:type="dxa"/>
            </w:tcMar>
            <w:vAlign w:val="center"/>
            <w:shd w:fill="2E5B9A"/>
          </w:tcPr>
          <w:p>
            <w:pPr>
              <w:spacing w:after="0" w:line="276" w:lineRule="auto"/>
              <w:jc w:val="center"/>
            </w:pPr>
            <w:r>
              <w:rPr>
                <w:b/>
                <w:color w:val="FFFFFF"/>
                <w:sz w:val="21"/>
              </w:rPr>
              <w:t>来源</w:t>
            </w:r>
          </w:p>
        </w:tc>
        <w:tc>
          <w:tcPr>
            <w:tcW w:type="dxa" w:w="6520"/>
            <w:tcMar>
              <w:top w:w="120" w:type="dxa"/>
              <w:start w:w="160" w:type="dxa"/>
              <w:bottom w:w="120" w:type="dxa"/>
              <w:end w:w="160" w:type="dxa"/>
            </w:tcMar>
            <w:vAlign w:val="center"/>
            <w:shd w:fill="F4F7FB"/>
          </w:tcPr>
          <w:p>
            <w:pPr>
              <w:spacing w:after="0" w:line="276" w:lineRule="auto"/>
              <w:jc w:val="left"/>
            </w:pPr>
            <w:r>
              <w:rPr>
                <w:sz w:val="21"/>
              </w:rPr>
              <w:t>根据《2025年厦门市人才.docx》整理，按问答与检索友好的结构清洗</w:t>
            </w:r>
          </w:p>
        </w:tc>
      </w:tr>
      <w:tr>
        <w:tc>
          <w:tcPr>
            <w:tcW w:type="dxa" w:w="1984"/>
            <w:tcMar>
              <w:top w:w="120" w:type="dxa"/>
              <w:start w:w="160" w:type="dxa"/>
              <w:bottom w:w="120" w:type="dxa"/>
              <w:end w:w="160" w:type="dxa"/>
            </w:tcMar>
            <w:vAlign w:val="center"/>
            <w:shd w:fill="2E5B9A"/>
          </w:tcPr>
          <w:p>
            <w:pPr>
              <w:spacing w:after="0" w:line="276" w:lineRule="auto"/>
              <w:jc w:val="center"/>
            </w:pPr>
            <w:r>
              <w:rPr>
                <w:b/>
                <w:color w:val="FFFFFF"/>
                <w:sz w:val="21"/>
              </w:rPr>
              <w:t>地域层级</w:t>
            </w:r>
          </w:p>
        </w:tc>
        <w:tc>
          <w:tcPr>
            <w:tcW w:type="dxa" w:w="6520"/>
            <w:tcMar>
              <w:top w:w="120" w:type="dxa"/>
              <w:start w:w="160" w:type="dxa"/>
              <w:bottom w:w="120" w:type="dxa"/>
              <w:end w:w="160" w:type="dxa"/>
            </w:tcMar>
            <w:vAlign w:val="center"/>
            <w:shd w:fill="F4F7FB"/>
          </w:tcPr>
          <w:p>
            <w:pPr>
              <w:spacing w:after="0" w:line="276" w:lineRule="auto"/>
              <w:jc w:val="left"/>
            </w:pPr>
            <w:r>
              <w:rPr>
                <w:sz w:val="21"/>
              </w:rPr>
              <w:t>厦门市级政策为主，适合回答‘厦门有哪些人才政策’及各专项问题</w:t>
            </w:r>
          </w:p>
        </w:tc>
      </w:tr>
      <w:tr>
        <w:tc>
          <w:tcPr>
            <w:tcW w:type="dxa" w:w="1984"/>
            <w:tcMar>
              <w:top w:w="120" w:type="dxa"/>
              <w:start w:w="160" w:type="dxa"/>
              <w:bottom w:w="120" w:type="dxa"/>
              <w:end w:w="160" w:type="dxa"/>
            </w:tcMar>
            <w:vAlign w:val="center"/>
            <w:shd w:fill="2E5B9A"/>
          </w:tcPr>
          <w:p>
            <w:pPr>
              <w:spacing w:after="0" w:line="276" w:lineRule="auto"/>
              <w:jc w:val="center"/>
            </w:pPr>
            <w:r>
              <w:rPr>
                <w:b/>
                <w:color w:val="FFFFFF"/>
                <w:sz w:val="21"/>
              </w:rPr>
              <w:t>导入定位</w:t>
            </w:r>
          </w:p>
        </w:tc>
        <w:tc>
          <w:tcPr>
            <w:tcW w:type="dxa" w:w="6520"/>
            <w:tcMar>
              <w:top w:w="120" w:type="dxa"/>
              <w:start w:w="160" w:type="dxa"/>
              <w:bottom w:w="120" w:type="dxa"/>
              <w:end w:w="160" w:type="dxa"/>
            </w:tcMar>
            <w:vAlign w:val="center"/>
            <w:shd w:fill="F4F7FB"/>
          </w:tcPr>
          <w:p>
            <w:pPr>
              <w:spacing w:after="0" w:line="276" w:lineRule="auto"/>
              <w:jc w:val="left"/>
            </w:pPr>
            <w:r>
              <w:rPr>
                <w:sz w:val="21"/>
              </w:rPr>
              <w:t>建议作为新知识库的核心市级文档，与总览文档一起导入</w:t>
            </w:r>
          </w:p>
        </w:tc>
      </w:tr>
    </w:tbl>
    <w:p/>
    <w:tbl>
      <w:tblPr>
        <w:tblW w:type="auto" w:w="0"/>
        <w:jc w:val="center"/>
        <w:tblLayout w:type="fixed"/>
        <w:tblLook w:firstColumn="1" w:firstRow="1" w:lastColumn="0" w:lastRow="0" w:noHBand="0" w:noVBand="1" w:val="04A0"/>
      </w:tblPr>
      <w:tblGrid>
        <w:gridCol w:w="9745"/>
      </w:tblGrid>
      <w:tr>
        <w:tc>
          <w:tcPr>
            <w:tcW w:type="dxa" w:w="9071"/>
            <w:shd w:fill="DCE8F7"/>
            <w:tcMar>
              <w:top w:w="120" w:type="dxa"/>
              <w:start w:w="180" w:type="dxa"/>
              <w:bottom w:w="120" w:type="dxa"/>
              <w:end w:w="180" w:type="dxa"/>
            </w:tcMar>
          </w:tcPr>
          <w:p>
            <w:pPr>
              <w:spacing w:after="0"/>
            </w:pPr>
            <w:r>
              <w:rPr>
                <w:b/>
                <w:color w:val="132F5C"/>
                <w:sz w:val="21"/>
              </w:rPr>
              <w:t>清洗原则</w:t>
            </w:r>
          </w:p>
        </w:tc>
      </w:tr>
      <w:tr>
        <w:tc>
          <w:tcPr>
            <w:tcW w:type="dxa" w:w="9071"/>
            <w:shd w:fill="EEF4FB"/>
            <w:tcMar>
              <w:top w:w="120" w:type="dxa"/>
              <w:start w:w="180" w:type="dxa"/>
              <w:bottom w:w="120" w:type="dxa"/>
              <w:end w:w="180" w:type="dxa"/>
            </w:tcMar>
          </w:tcPr>
          <w:p>
            <w:pPr>
              <w:ind w:left="227" w:hanging="142"/>
            </w:pPr>
            <w:r>
              <w:t>• 保留政策名称、文号、对象、支持口径、管理周期和高频问答点；删除封面、印发机关排版、重复落款和对检索干扰较大的噪声。</w:t>
            </w:r>
          </w:p>
        </w:tc>
      </w:tr>
      <w:tr>
        <w:tc>
          <w:tcPr>
            <w:tcW w:type="dxa" w:w="9071"/>
            <w:shd w:fill="EEF4FB"/>
            <w:tcMar>
              <w:top w:w="120" w:type="dxa"/>
              <w:start w:w="180" w:type="dxa"/>
              <w:bottom w:w="120" w:type="dxa"/>
              <w:end w:w="180" w:type="dxa"/>
            </w:tcMar>
          </w:tcPr>
          <w:p>
            <w:pPr>
              <w:ind w:left="227" w:hanging="142"/>
            </w:pPr>
            <w:r>
              <w:t>• 本文件强调“按政策分节 + 按问题组织”，便于直接切 chunk 和按标题召回。</w:t>
            </w:r>
          </w:p>
        </w:tc>
      </w:tr>
      <w:tr>
        <w:tc>
          <w:tcPr>
            <w:tcW w:type="dxa" w:w="9071"/>
            <w:shd w:fill="EEF4FB"/>
            <w:tcMar>
              <w:top w:w="120" w:type="dxa"/>
              <w:start w:w="180" w:type="dxa"/>
              <w:bottom w:w="120" w:type="dxa"/>
              <w:end w:w="180" w:type="dxa"/>
            </w:tcMar>
          </w:tcPr>
          <w:p>
            <w:pPr>
              <w:ind w:left="227" w:hanging="142"/>
            </w:pPr>
            <w:r>
              <w:t>• 若要回答具体条文、表格或细项条件，可继续回溯原始文件。</w:t>
            </w:r>
          </w:p>
        </w:tc>
      </w:tr>
    </w:tbl>
    <w:p/>
    <w:p>
      <w:pPr>
        <w:pStyle w:val="Heading1"/>
      </w:pPr>
      <w:r>
        <w:t>一、导入目录</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268"/>
            <w:shd w:fill="2E5B9A"/>
            <w:tcMar>
              <w:top w:w="120" w:type="dxa"/>
              <w:start w:w="150" w:type="dxa"/>
              <w:bottom w:w="120" w:type="dxa"/>
              <w:end w:w="150" w:type="dxa"/>
            </w:tcMar>
            <w:vAlign w:val="center"/>
          </w:tcPr>
          <w:p>
            <w:pPr>
              <w:spacing w:after="0"/>
              <w:jc w:val="center"/>
            </w:pPr>
            <w:r>
              <w:rPr>
                <w:b/>
                <w:color w:val="FFFFFF"/>
                <w:sz w:val="20"/>
              </w:rPr>
              <w:t>政策/模块</w:t>
            </w:r>
          </w:p>
        </w:tc>
        <w:tc>
          <w:tcPr>
            <w:tcW w:type="dxa" w:w="1701"/>
            <w:shd w:fill="2E5B9A"/>
            <w:tcMar>
              <w:top w:w="120" w:type="dxa"/>
              <w:start w:w="150" w:type="dxa"/>
              <w:bottom w:w="120" w:type="dxa"/>
              <w:end w:w="150" w:type="dxa"/>
            </w:tcMar>
            <w:vAlign w:val="center"/>
          </w:tcPr>
          <w:p>
            <w:pPr>
              <w:spacing w:after="0"/>
              <w:jc w:val="center"/>
            </w:pPr>
            <w:r>
              <w:rPr>
                <w:b/>
                <w:color w:val="FFFFFF"/>
                <w:sz w:val="20"/>
              </w:rPr>
              <w:t>层级</w:t>
            </w:r>
          </w:p>
        </w:tc>
        <w:tc>
          <w:tcPr>
            <w:tcW w:type="dxa" w:w="1701"/>
            <w:shd w:fill="2E5B9A"/>
            <w:tcMar>
              <w:top w:w="120" w:type="dxa"/>
              <w:start w:w="150" w:type="dxa"/>
              <w:bottom w:w="120" w:type="dxa"/>
              <w:end w:w="150" w:type="dxa"/>
            </w:tcMar>
            <w:vAlign w:val="center"/>
          </w:tcPr>
          <w:p>
            <w:pPr>
              <w:spacing w:after="0"/>
              <w:jc w:val="center"/>
            </w:pPr>
            <w:r>
              <w:rPr>
                <w:b/>
                <w:color w:val="FFFFFF"/>
                <w:sz w:val="20"/>
              </w:rPr>
              <w:t>关注主题</w:t>
            </w:r>
          </w:p>
        </w:tc>
        <w:tc>
          <w:tcPr>
            <w:tcW w:type="dxa" w:w="3402"/>
            <w:shd w:fill="2E5B9A"/>
            <w:tcMar>
              <w:top w:w="120" w:type="dxa"/>
              <w:start w:w="150" w:type="dxa"/>
              <w:bottom w:w="120" w:type="dxa"/>
              <w:end w:w="150" w:type="dxa"/>
            </w:tcMar>
            <w:vAlign w:val="center"/>
          </w:tcPr>
          <w:p>
            <w:pPr>
              <w:spacing w:after="0"/>
              <w:jc w:val="center"/>
            </w:pPr>
            <w:r>
              <w:rPr>
                <w:b/>
                <w:color w:val="FFFFFF"/>
                <w:sz w:val="20"/>
              </w:rPr>
              <w:t>导入建议</w:t>
            </w:r>
          </w:p>
        </w:tc>
      </w:tr>
      <w:tr>
        <w:tc>
          <w:tcPr>
            <w:tcW w:type="dxa" w:w="2268"/>
            <w:shd w:fill="EFF4FA"/>
            <w:tcMar>
              <w:top w:w="100" w:type="dxa"/>
              <w:start w:w="140" w:type="dxa"/>
              <w:bottom w:w="100" w:type="dxa"/>
              <w:end w:w="140" w:type="dxa"/>
            </w:tcMar>
            <w:vAlign w:val="center"/>
          </w:tcPr>
          <w:p>
            <w:pPr>
              <w:spacing w:after="0" w:line="276" w:lineRule="auto"/>
              <w:jc w:val="left"/>
            </w:pPr>
            <w:r>
              <w:rPr>
                <w:sz w:val="19"/>
              </w:rPr>
              <w:t>厦门市引进高层次创新创业人才“双百计划”实施意见</w:t>
            </w:r>
          </w:p>
        </w:tc>
        <w:tc>
          <w:tcPr>
            <w:tcW w:type="dxa" w:w="1701"/>
            <w:shd w:fill="EFF4FA"/>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EFF4FA"/>
            <w:tcMar>
              <w:top w:w="100" w:type="dxa"/>
              <w:start w:w="140" w:type="dxa"/>
              <w:bottom w:w="100" w:type="dxa"/>
              <w:end w:w="140" w:type="dxa"/>
            </w:tcMar>
            <w:vAlign w:val="center"/>
          </w:tcPr>
          <w:p>
            <w:pPr>
              <w:spacing w:after="0" w:line="276" w:lineRule="auto"/>
              <w:jc w:val="center"/>
            </w:pPr>
            <w:r>
              <w:rPr>
                <w:sz w:val="19"/>
              </w:rPr>
              <w:t>总纲/引才计划</w:t>
            </w:r>
          </w:p>
        </w:tc>
        <w:tc>
          <w:tcPr>
            <w:tcW w:type="dxa" w:w="3402"/>
            <w:shd w:fill="EFF4FA"/>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F8FAFD"/>
            <w:tcMar>
              <w:top w:w="100" w:type="dxa"/>
              <w:start w:w="140" w:type="dxa"/>
              <w:bottom w:w="100" w:type="dxa"/>
              <w:end w:w="140" w:type="dxa"/>
            </w:tcMar>
            <w:vAlign w:val="center"/>
          </w:tcPr>
          <w:p>
            <w:pPr>
              <w:spacing w:after="0" w:line="276" w:lineRule="auto"/>
              <w:jc w:val="left"/>
            </w:pPr>
            <w:r>
              <w:rPr>
                <w:sz w:val="19"/>
              </w:rPr>
              <w:t>厦门市高层次人才特聘岗位实施方案</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平台引才/高层次创新人才</w:t>
            </w:r>
          </w:p>
        </w:tc>
        <w:tc>
          <w:tcPr>
            <w:tcW w:type="dxa" w:w="3402"/>
            <w:shd w:fill="F8FAFD"/>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EFF4FA"/>
            <w:tcMar>
              <w:top w:w="100" w:type="dxa"/>
              <w:start w:w="140" w:type="dxa"/>
              <w:bottom w:w="100" w:type="dxa"/>
              <w:end w:w="140" w:type="dxa"/>
            </w:tcMar>
            <w:vAlign w:val="center"/>
          </w:tcPr>
          <w:p>
            <w:pPr>
              <w:spacing w:after="0" w:line="276" w:lineRule="auto"/>
              <w:jc w:val="left"/>
            </w:pPr>
            <w:r>
              <w:rPr>
                <w:sz w:val="19"/>
              </w:rPr>
              <w:t>厦门市高层次人才专项资金管理办法</w:t>
            </w:r>
          </w:p>
        </w:tc>
        <w:tc>
          <w:tcPr>
            <w:tcW w:type="dxa" w:w="1701"/>
            <w:shd w:fill="EFF4FA"/>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EFF4FA"/>
            <w:tcMar>
              <w:top w:w="100" w:type="dxa"/>
              <w:start w:w="140" w:type="dxa"/>
              <w:bottom w:w="100" w:type="dxa"/>
              <w:end w:w="140" w:type="dxa"/>
            </w:tcMar>
            <w:vAlign w:val="center"/>
          </w:tcPr>
          <w:p>
            <w:pPr>
              <w:spacing w:after="0" w:line="276" w:lineRule="auto"/>
              <w:jc w:val="center"/>
            </w:pPr>
            <w:r>
              <w:rPr>
                <w:sz w:val="19"/>
              </w:rPr>
              <w:t>资金规则/拨付口径</w:t>
            </w:r>
          </w:p>
        </w:tc>
        <w:tc>
          <w:tcPr>
            <w:tcW w:type="dxa" w:w="3402"/>
            <w:shd w:fill="EFF4FA"/>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F8FAFD"/>
            <w:tcMar>
              <w:top w:w="100" w:type="dxa"/>
              <w:start w:w="140" w:type="dxa"/>
              <w:bottom w:w="100" w:type="dxa"/>
              <w:end w:w="140" w:type="dxa"/>
            </w:tcMar>
            <w:vAlign w:val="center"/>
          </w:tcPr>
          <w:p>
            <w:pPr>
              <w:spacing w:after="0" w:line="276" w:lineRule="auto"/>
              <w:jc w:val="left"/>
            </w:pPr>
            <w:r>
              <w:rPr>
                <w:sz w:val="19"/>
              </w:rPr>
              <w:t>关于更加精准有效集聚人才加快推进高质量发展的意见</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F8FAFD"/>
            <w:tcMar>
              <w:top w:w="100" w:type="dxa"/>
              <w:start w:w="140" w:type="dxa"/>
              <w:bottom w:w="100" w:type="dxa"/>
              <w:end w:w="140" w:type="dxa"/>
            </w:tcMar>
            <w:vAlign w:val="center"/>
          </w:tcPr>
          <w:p>
            <w:pPr>
              <w:spacing w:after="0" w:line="276" w:lineRule="auto"/>
              <w:jc w:val="center"/>
            </w:pPr>
            <w:r>
              <w:rPr>
                <w:sz w:val="19"/>
              </w:rPr>
              <w:t>群鹭兴厦/项目总纲</w:t>
            </w:r>
          </w:p>
        </w:tc>
        <w:tc>
          <w:tcPr>
            <w:tcW w:type="dxa" w:w="3402"/>
            <w:shd w:fill="F8FAFD"/>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EFF4FA"/>
            <w:tcMar>
              <w:top w:w="100" w:type="dxa"/>
              <w:start w:w="140" w:type="dxa"/>
              <w:bottom w:w="100" w:type="dxa"/>
              <w:end w:w="140" w:type="dxa"/>
            </w:tcMar>
            <w:vAlign w:val="center"/>
          </w:tcPr>
          <w:p>
            <w:pPr>
              <w:spacing w:after="0" w:line="276" w:lineRule="auto"/>
              <w:jc w:val="left"/>
            </w:pPr>
            <w:r>
              <w:rPr>
                <w:sz w:val="19"/>
              </w:rPr>
              <w:t>厦门市电子信息产业人才项目实施办法</w:t>
            </w:r>
          </w:p>
        </w:tc>
        <w:tc>
          <w:tcPr>
            <w:tcW w:type="dxa" w:w="1701"/>
            <w:shd w:fill="EFF4FA"/>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EFF4FA"/>
            <w:tcMar>
              <w:top w:w="100" w:type="dxa"/>
              <w:start w:w="140" w:type="dxa"/>
              <w:bottom w:w="100" w:type="dxa"/>
              <w:end w:w="140" w:type="dxa"/>
            </w:tcMar>
            <w:vAlign w:val="center"/>
          </w:tcPr>
          <w:p>
            <w:pPr>
              <w:spacing w:after="0" w:line="276" w:lineRule="auto"/>
              <w:jc w:val="center"/>
            </w:pPr>
            <w:r>
              <w:rPr>
                <w:sz w:val="19"/>
              </w:rPr>
              <w:t>产业人才/电子信息</w:t>
            </w:r>
          </w:p>
        </w:tc>
        <w:tc>
          <w:tcPr>
            <w:tcW w:type="dxa" w:w="3402"/>
            <w:shd w:fill="EFF4FA"/>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F8FAFD"/>
            <w:tcMar>
              <w:top w:w="100" w:type="dxa"/>
              <w:start w:w="140" w:type="dxa"/>
              <w:bottom w:w="100" w:type="dxa"/>
              <w:end w:w="140" w:type="dxa"/>
            </w:tcMar>
            <w:vAlign w:val="center"/>
          </w:tcPr>
          <w:p>
            <w:pPr>
              <w:spacing w:after="0" w:line="276" w:lineRule="auto"/>
              <w:jc w:val="left"/>
            </w:pPr>
            <w:r>
              <w:rPr>
                <w:sz w:val="19"/>
              </w:rPr>
              <w:t>厦门市机械装备产业人才项目实施办法</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F8FAFD"/>
            <w:tcMar>
              <w:top w:w="100" w:type="dxa"/>
              <w:start w:w="140" w:type="dxa"/>
              <w:bottom w:w="100" w:type="dxa"/>
              <w:end w:w="140" w:type="dxa"/>
            </w:tcMar>
            <w:vAlign w:val="center"/>
          </w:tcPr>
          <w:p>
            <w:pPr>
              <w:spacing w:after="0" w:line="276" w:lineRule="auto"/>
              <w:jc w:val="center"/>
            </w:pPr>
            <w:r>
              <w:rPr>
                <w:sz w:val="19"/>
              </w:rPr>
              <w:t>产业人才/机械装备</w:t>
            </w:r>
          </w:p>
        </w:tc>
        <w:tc>
          <w:tcPr>
            <w:tcW w:type="dxa" w:w="3402"/>
            <w:shd w:fill="F8FAFD"/>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EFF4FA"/>
            <w:tcMar>
              <w:top w:w="100" w:type="dxa"/>
              <w:start w:w="140" w:type="dxa"/>
              <w:bottom w:w="100" w:type="dxa"/>
              <w:end w:w="140" w:type="dxa"/>
            </w:tcMar>
            <w:vAlign w:val="center"/>
          </w:tcPr>
          <w:p>
            <w:pPr>
              <w:spacing w:after="0" w:line="276" w:lineRule="auto"/>
              <w:jc w:val="left"/>
            </w:pPr>
            <w:r>
              <w:rPr>
                <w:sz w:val="19"/>
              </w:rPr>
              <w:t>厦门市商贸物流产业人才项目实施办法</w:t>
            </w:r>
          </w:p>
        </w:tc>
        <w:tc>
          <w:tcPr>
            <w:tcW w:type="dxa" w:w="1701"/>
            <w:shd w:fill="EFF4FA"/>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EFF4FA"/>
            <w:tcMar>
              <w:top w:w="100" w:type="dxa"/>
              <w:start w:w="140" w:type="dxa"/>
              <w:bottom w:w="100" w:type="dxa"/>
              <w:end w:w="140" w:type="dxa"/>
            </w:tcMar>
            <w:vAlign w:val="center"/>
          </w:tcPr>
          <w:p>
            <w:pPr>
              <w:spacing w:after="0" w:line="276" w:lineRule="auto"/>
              <w:jc w:val="center"/>
            </w:pPr>
            <w:r>
              <w:rPr>
                <w:sz w:val="19"/>
              </w:rPr>
              <w:t>产业人才/商贸物流</w:t>
            </w:r>
          </w:p>
        </w:tc>
        <w:tc>
          <w:tcPr>
            <w:tcW w:type="dxa" w:w="3402"/>
            <w:shd w:fill="EFF4FA"/>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F8FAFD"/>
            <w:tcMar>
              <w:top w:w="100" w:type="dxa"/>
              <w:start w:w="140" w:type="dxa"/>
              <w:bottom w:w="100" w:type="dxa"/>
              <w:end w:w="140" w:type="dxa"/>
            </w:tcMar>
            <w:vAlign w:val="center"/>
          </w:tcPr>
          <w:p>
            <w:pPr>
              <w:spacing w:after="0" w:line="276" w:lineRule="auto"/>
              <w:jc w:val="left"/>
            </w:pPr>
            <w:r>
              <w:rPr>
                <w:sz w:val="19"/>
              </w:rPr>
              <w:t>厦门市金融服务产业人才项目实施办法</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F8FAFD"/>
            <w:tcMar>
              <w:top w:w="100" w:type="dxa"/>
              <w:start w:w="140" w:type="dxa"/>
              <w:bottom w:w="100" w:type="dxa"/>
              <w:end w:w="140" w:type="dxa"/>
            </w:tcMar>
            <w:vAlign w:val="center"/>
          </w:tcPr>
          <w:p>
            <w:pPr>
              <w:spacing w:after="0" w:line="276" w:lineRule="auto"/>
              <w:jc w:val="center"/>
            </w:pPr>
            <w:r>
              <w:rPr>
                <w:sz w:val="19"/>
              </w:rPr>
              <w:t>产业人才/金融</w:t>
            </w:r>
          </w:p>
        </w:tc>
        <w:tc>
          <w:tcPr>
            <w:tcW w:type="dxa" w:w="3402"/>
            <w:shd w:fill="F8FAFD"/>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EFF4FA"/>
            <w:tcMar>
              <w:top w:w="100" w:type="dxa"/>
              <w:start w:w="140" w:type="dxa"/>
              <w:bottom w:w="100" w:type="dxa"/>
              <w:end w:w="140" w:type="dxa"/>
            </w:tcMar>
            <w:vAlign w:val="center"/>
          </w:tcPr>
          <w:p>
            <w:pPr>
              <w:spacing w:after="0" w:line="276" w:lineRule="auto"/>
              <w:jc w:val="left"/>
            </w:pPr>
            <w:r>
              <w:rPr>
                <w:sz w:val="19"/>
              </w:rPr>
              <w:t>厦门市生物医药产业人才项目实施办法</w:t>
            </w:r>
          </w:p>
        </w:tc>
        <w:tc>
          <w:tcPr>
            <w:tcW w:type="dxa" w:w="1701"/>
            <w:shd w:fill="EFF4FA"/>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EFF4FA"/>
            <w:tcMar>
              <w:top w:w="100" w:type="dxa"/>
              <w:start w:w="140" w:type="dxa"/>
              <w:bottom w:w="100" w:type="dxa"/>
              <w:end w:w="140" w:type="dxa"/>
            </w:tcMar>
            <w:vAlign w:val="center"/>
          </w:tcPr>
          <w:p>
            <w:pPr>
              <w:spacing w:after="0" w:line="276" w:lineRule="auto"/>
              <w:jc w:val="center"/>
            </w:pPr>
            <w:r>
              <w:rPr>
                <w:sz w:val="19"/>
              </w:rPr>
              <w:t>产业人才/生物医药</w:t>
            </w:r>
          </w:p>
        </w:tc>
        <w:tc>
          <w:tcPr>
            <w:tcW w:type="dxa" w:w="3402"/>
            <w:shd w:fill="EFF4FA"/>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F8FAFD"/>
            <w:tcMar>
              <w:top w:w="100" w:type="dxa"/>
              <w:start w:w="140" w:type="dxa"/>
              <w:bottom w:w="100" w:type="dxa"/>
              <w:end w:w="140" w:type="dxa"/>
            </w:tcMar>
            <w:vAlign w:val="center"/>
          </w:tcPr>
          <w:p>
            <w:pPr>
              <w:spacing w:after="0" w:line="276" w:lineRule="auto"/>
              <w:jc w:val="left"/>
            </w:pPr>
            <w:r>
              <w:rPr>
                <w:sz w:val="19"/>
              </w:rPr>
              <w:t>厦门市新能源和新材料产业人才项目实施办法</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F8FAFD"/>
            <w:tcMar>
              <w:top w:w="100" w:type="dxa"/>
              <w:start w:w="140" w:type="dxa"/>
              <w:bottom w:w="100" w:type="dxa"/>
              <w:end w:w="140" w:type="dxa"/>
            </w:tcMar>
            <w:vAlign w:val="center"/>
          </w:tcPr>
          <w:p>
            <w:pPr>
              <w:spacing w:after="0" w:line="276" w:lineRule="auto"/>
              <w:jc w:val="center"/>
            </w:pPr>
            <w:r>
              <w:rPr>
                <w:sz w:val="19"/>
              </w:rPr>
              <w:t>产业人才/新能源新材料</w:t>
            </w:r>
          </w:p>
        </w:tc>
        <w:tc>
          <w:tcPr>
            <w:tcW w:type="dxa" w:w="3402"/>
            <w:shd w:fill="F8FAFD"/>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EFF4FA"/>
            <w:tcMar>
              <w:top w:w="100" w:type="dxa"/>
              <w:start w:w="140" w:type="dxa"/>
              <w:bottom w:w="100" w:type="dxa"/>
              <w:end w:w="140" w:type="dxa"/>
            </w:tcMar>
            <w:vAlign w:val="center"/>
          </w:tcPr>
          <w:p>
            <w:pPr>
              <w:spacing w:after="0" w:line="276" w:lineRule="auto"/>
              <w:jc w:val="left"/>
            </w:pPr>
            <w:r>
              <w:rPr>
                <w:sz w:val="19"/>
              </w:rPr>
              <w:t>厦门市文旅创意产业人才项目实施办法</w:t>
            </w:r>
          </w:p>
        </w:tc>
        <w:tc>
          <w:tcPr>
            <w:tcW w:type="dxa" w:w="1701"/>
            <w:shd w:fill="EFF4FA"/>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EFF4FA"/>
            <w:tcMar>
              <w:top w:w="100" w:type="dxa"/>
              <w:start w:w="140" w:type="dxa"/>
              <w:bottom w:w="100" w:type="dxa"/>
              <w:end w:w="140" w:type="dxa"/>
            </w:tcMar>
            <w:vAlign w:val="center"/>
          </w:tcPr>
          <w:p>
            <w:pPr>
              <w:spacing w:after="0" w:line="276" w:lineRule="auto"/>
              <w:jc w:val="center"/>
            </w:pPr>
            <w:r>
              <w:rPr>
                <w:sz w:val="19"/>
              </w:rPr>
              <w:t>产业人才/文旅创意</w:t>
            </w:r>
          </w:p>
        </w:tc>
        <w:tc>
          <w:tcPr>
            <w:tcW w:type="dxa" w:w="3402"/>
            <w:shd w:fill="EFF4FA"/>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r>
        <w:tc>
          <w:tcPr>
            <w:tcW w:type="dxa" w:w="2268"/>
            <w:shd w:fill="F8FAFD"/>
            <w:tcMar>
              <w:top w:w="100" w:type="dxa"/>
              <w:start w:w="140" w:type="dxa"/>
              <w:bottom w:w="100" w:type="dxa"/>
              <w:end w:w="140" w:type="dxa"/>
            </w:tcMar>
            <w:vAlign w:val="center"/>
          </w:tcPr>
          <w:p>
            <w:pPr>
              <w:spacing w:after="0" w:line="276" w:lineRule="auto"/>
              <w:jc w:val="left"/>
            </w:pPr>
            <w:r>
              <w:rPr>
                <w:sz w:val="19"/>
              </w:rPr>
              <w:t>厦门市海洋经济人才项目实施办法</w:t>
            </w:r>
          </w:p>
        </w:tc>
        <w:tc>
          <w:tcPr>
            <w:tcW w:type="dxa" w:w="1701"/>
            <w:shd w:fill="F8FAFD"/>
            <w:tcMar>
              <w:top w:w="100" w:type="dxa"/>
              <w:start w:w="140" w:type="dxa"/>
              <w:bottom w:w="100" w:type="dxa"/>
              <w:end w:w="140" w:type="dxa"/>
            </w:tcMar>
            <w:vAlign w:val="center"/>
          </w:tcPr>
          <w:p>
            <w:pPr>
              <w:spacing w:after="0" w:line="276" w:lineRule="auto"/>
              <w:jc w:val="center"/>
            </w:pPr>
            <w:r>
              <w:rPr>
                <w:sz w:val="19"/>
              </w:rPr>
              <w:t>厦门市级</w:t>
            </w:r>
          </w:p>
        </w:tc>
        <w:tc>
          <w:tcPr>
            <w:tcW w:type="dxa" w:w="1701"/>
            <w:shd w:fill="F8FAFD"/>
            <w:tcMar>
              <w:top w:w="100" w:type="dxa"/>
              <w:start w:w="140" w:type="dxa"/>
              <w:bottom w:w="100" w:type="dxa"/>
              <w:end w:w="140" w:type="dxa"/>
            </w:tcMar>
            <w:vAlign w:val="center"/>
          </w:tcPr>
          <w:p>
            <w:pPr>
              <w:spacing w:after="0" w:line="276" w:lineRule="auto"/>
              <w:jc w:val="center"/>
            </w:pPr>
            <w:r>
              <w:rPr>
                <w:sz w:val="19"/>
              </w:rPr>
              <w:t>产业人才/海洋经济</w:t>
            </w:r>
          </w:p>
        </w:tc>
        <w:tc>
          <w:tcPr>
            <w:tcW w:type="dxa" w:w="3402"/>
            <w:shd w:fill="F8FAFD"/>
            <w:tcMar>
              <w:top w:w="100" w:type="dxa"/>
              <w:start w:w="140" w:type="dxa"/>
              <w:bottom w:w="100" w:type="dxa"/>
              <w:end w:w="140" w:type="dxa"/>
            </w:tcMar>
            <w:vAlign w:val="center"/>
          </w:tcPr>
          <w:p>
            <w:pPr>
              <w:spacing w:after="0" w:line="276" w:lineRule="auto"/>
              <w:jc w:val="left"/>
            </w:pPr>
            <w:r>
              <w:rPr>
                <w:sz w:val="19"/>
              </w:rPr>
              <w:t>建议保留为独立一级标题，便于切片与召回</w:t>
            </w:r>
          </w:p>
        </w:tc>
      </w:tr>
    </w:tbl>
    <w:p/>
    <w:p>
      <w:pPr>
        <w:pStyle w:val="Heading1"/>
      </w:pPr>
      <w:r>
        <w:t>二、政策正文（按咨询主题清洗）</w:t>
      </w:r>
    </w:p>
    <w:p>
      <w:pPr>
        <w:pStyle w:val="Heading2"/>
      </w:pPr>
      <w:r>
        <w:t>1. 厦门市引进高层次创新创业人才“双百计划”实施意见</w:t>
      </w:r>
    </w:p>
    <w:p>
      <w:pPr/>
      <w:r>
        <w:t>文号：厦委组〔2024〕44号；主题：总纲/引才计划。</w:t>
      </w:r>
    </w:p>
    <w:p>
      <w:pPr>
        <w:ind w:left="340" w:hanging="170"/>
      </w:pPr>
      <w:r>
        <w:t>• 定位：厦门创新创业人才引进的基础政策，构成当前市级统领政策之一。</w:t>
      </w:r>
    </w:p>
    <w:p>
      <w:pPr>
        <w:ind w:left="340" w:hanging="170"/>
      </w:pPr>
      <w:r>
        <w:t>• 对象：创新个人、创新团队、创业人才，创业人才中单设台湾创业人才专项。</w:t>
      </w:r>
    </w:p>
    <w:p>
      <w:pPr>
        <w:ind w:left="340" w:hanging="170"/>
      </w:pPr>
      <w:r>
        <w:t>• 重点：围绕“4+4+6”现代化产业体系，5 年左右引进创新人才（团队）150 个、创业人才 300 个。</w:t>
      </w:r>
    </w:p>
    <w:p>
      <w:pPr>
        <w:ind w:left="340" w:hanging="170"/>
      </w:pPr>
      <w:r>
        <w:t>• 支持：创新个人 100 万元；创新团队 300 万元；院士及相当层次人才 500 万元；创业人才最高 500 万元创业扶持。</w:t>
      </w:r>
    </w:p>
    <w:p>
      <w:pPr>
        <w:ind w:left="340" w:hanging="170"/>
      </w:pPr>
      <w:r>
        <w:t>• 配套：创业场所 100–500 平方米或租金补贴；对符合条件项目可按综合经济贡献增量 5%给予奖励，最高 1000 万元。</w:t>
      </w:r>
    </w:p>
    <w:p>
      <w:pPr>
        <w:ind w:left="340" w:hanging="170"/>
      </w:pPr>
      <w:r>
        <w:t>• 管理：创新类管理期一般 3 年，创业类一般 5 年。</w:t>
      </w:r>
    </w:p>
    <w:p>
      <w:pPr>
        <w:pStyle w:val="Heading2"/>
      </w:pPr>
      <w:r>
        <w:t>2. 厦门市高层次人才特聘岗位实施方案</w:t>
      </w:r>
    </w:p>
    <w:p>
      <w:pPr/>
      <w:r>
        <w:t>文号：厦委组〔2024〕45号；主题：平台引才/高层次创新人才。</w:t>
      </w:r>
    </w:p>
    <w:p>
      <w:pPr>
        <w:ind w:left="340" w:hanging="170"/>
      </w:pPr>
      <w:r>
        <w:t>• 定位：通过特聘岗位方式支持重大平台和重点企业自主引进高层次创新人才。</w:t>
      </w:r>
    </w:p>
    <w:p>
      <w:pPr>
        <w:ind w:left="340" w:hanging="170"/>
      </w:pPr>
      <w:r>
        <w:t>• 引才主体：创新实验室、新型研发机构、重大创新平台企事业单位、国家级专精特新“小巨人”企业、龙头企业和重点产业项目。</w:t>
      </w:r>
    </w:p>
    <w:p>
      <w:pPr>
        <w:ind w:left="340" w:hanging="170"/>
      </w:pPr>
      <w:r>
        <w:t>• 基本条件：一般应有海外博士学位，或具有博士学位且有 2 年以上海外学习工作经历；引进后全职在厦工作且合同不少于 3 年。</w:t>
      </w:r>
    </w:p>
    <w:p>
      <w:pPr>
        <w:ind w:left="340" w:hanging="170"/>
      </w:pPr>
      <w:r>
        <w:t>• 支持：纳入市“双百计划”创新个人，给予最高 100 万元工作生活补助。</w:t>
      </w:r>
    </w:p>
    <w:p>
      <w:pPr>
        <w:pStyle w:val="Heading2"/>
      </w:pPr>
      <w:r>
        <w:t>3. 厦门市高层次人才专项资金管理办法</w:t>
      </w:r>
    </w:p>
    <w:p>
      <w:pPr/>
      <w:r>
        <w:t>文号：厦委组〔2024〕46号；主题：资金规则/拨付口径。</w:t>
      </w:r>
    </w:p>
    <w:p>
      <w:pPr>
        <w:ind w:left="340" w:hanging="170"/>
      </w:pPr>
      <w:r>
        <w:t>• 定位：明确国家级、省级、市级人才计划配套资金和“双百计划”资金的预算、拨付和监管规则。</w:t>
      </w:r>
    </w:p>
    <w:p>
      <w:pPr>
        <w:ind w:left="340" w:hanging="170"/>
      </w:pPr>
      <w:r>
        <w:t>• 支持对象：国家级人才计划、省级人才计划、市“双百计划”创新个人/团队/创业人才及相关费用。</w:t>
      </w:r>
    </w:p>
    <w:p>
      <w:pPr>
        <w:ind w:left="340" w:hanging="170"/>
      </w:pPr>
      <w:r>
        <w:t>• 关键规则：市“双百计划”创新个人 100 万元，创新团队 300 万元，院士等顶峰人才 500 万元；创业人才按阶段最高 500 万元。</w:t>
      </w:r>
    </w:p>
    <w:p>
      <w:pPr>
        <w:ind w:left="340" w:hanging="170"/>
      </w:pPr>
      <w:r>
        <w:t>• 用途约束：创新类资金 50% 改善人才生活、50% 用于创新工作；创业类资金仅限用于项目研发、设备购置、技术合作、项目管理等与项目直接相关的支出。</w:t>
      </w:r>
    </w:p>
    <w:p>
      <w:pPr>
        <w:ind w:left="340" w:hanging="170"/>
      </w:pPr>
      <w:r>
        <w:t>• 风险控制：对弄虚作假、挪用资金等行为可追回资助并纳入不良信用。</w:t>
      </w:r>
    </w:p>
    <w:p>
      <w:pPr>
        <w:pStyle w:val="Heading2"/>
      </w:pPr>
      <w:r>
        <w:t>4. 关于更加精准有效集聚人才加快推进高质量发展的意见</w:t>
      </w:r>
    </w:p>
    <w:p>
      <w:pPr/>
      <w:r>
        <w:t>文号：厦委办发〔2025〕2号；主题：群鹭兴厦/项目总纲。</w:t>
      </w:r>
    </w:p>
    <w:p>
      <w:pPr>
        <w:ind w:left="340" w:hanging="170"/>
      </w:pPr>
      <w:r>
        <w:t>• 定位：2025 年以后厦门市人才计划体系总纲，统领“群鹭兴厦”各子项目。</w:t>
      </w:r>
    </w:p>
    <w:p>
      <w:pPr>
        <w:ind w:left="340" w:hanging="170"/>
      </w:pPr>
      <w:r>
        <w:t>• 目标：到 2030 年底，引进和培养约 5000 名急需紧缺的行业领军人才和核心骨干人才。</w:t>
      </w:r>
    </w:p>
    <w:p>
      <w:pPr>
        <w:ind w:left="340" w:hanging="170"/>
      </w:pPr>
      <w:r>
        <w:t>• 项目：电子信息、机械装备、商贸物流、金融服务、生物医药、新能源和新材料、文旅创意、海洋经济、重点产业骨干、教育、卫生健康、社会工作、台湾特聘专家（专才）等 13 类项目。</w:t>
      </w:r>
    </w:p>
    <w:p>
      <w:pPr>
        <w:ind w:left="340" w:hanging="170"/>
      </w:pPr>
      <w:r>
        <w:t>• 财政：按实际每年安排约 2 亿元预算，除另有规定外，对新引进人才一般按补助金额的 20%给予安家补贴。</w:t>
      </w:r>
    </w:p>
    <w:p>
      <w:pPr>
        <w:ind w:left="340" w:hanging="170"/>
      </w:pPr>
      <w:r>
        <w:t>• 机制：通过 i人才数智平台申报，评审周期一般不超过 3 个月，并建立晋级机制。</w:t>
      </w:r>
    </w:p>
    <w:p>
      <w:pPr>
        <w:pStyle w:val="Heading2"/>
      </w:pPr>
      <w:r>
        <w:t>5. 厦门市电子信息产业人才项目实施办法</w:t>
      </w:r>
    </w:p>
    <w:p>
      <w:pPr/>
      <w:r>
        <w:t>文号：厦委人才办〔2025〕5号；主题：产业人才/电子信息。</w:t>
      </w:r>
    </w:p>
    <w:p>
      <w:pPr>
        <w:ind w:left="340" w:hanging="170"/>
      </w:pPr>
      <w:r>
        <w:t>• 对象：电子信息制造业人才、软件信息产业（人工智能产业）人才，分 A/B/C 三档。</w:t>
      </w:r>
    </w:p>
    <w:p>
      <w:pPr>
        <w:ind w:left="340" w:hanging="170"/>
      </w:pPr>
      <w:r>
        <w:t>• 申报主体：人才所在企业推荐申报，要求主要工作地在厦门并在厦缴纳个税。</w:t>
      </w:r>
    </w:p>
    <w:p>
      <w:pPr>
        <w:ind w:left="340" w:hanging="170"/>
      </w:pPr>
      <w:r>
        <w:t>• 支持：A/B/C 类分别给予 80/50/30 万元补助；近三年从外地来厦工作的，再给予 16/10/6 万元安家补贴。</w:t>
      </w:r>
    </w:p>
    <w:p>
      <w:pPr>
        <w:ind w:left="340" w:hanging="170"/>
      </w:pPr>
      <w:r>
        <w:t>• 专项亮点：集成电路相关紧缺专业本科/硕士/博士毕业生可按 1.8/3/4.2 万元/年给予补助，最长 2 年。</w:t>
      </w:r>
    </w:p>
    <w:p>
      <w:pPr>
        <w:pStyle w:val="Heading2"/>
      </w:pPr>
      <w:r>
        <w:t>6. 厦门市机械装备产业人才项目实施办法</w:t>
      </w:r>
    </w:p>
    <w:p>
      <w:pPr/>
      <w:r>
        <w:t>文号：厦委人才办〔2025〕6号；主题：产业人才/机械装备。</w:t>
      </w:r>
    </w:p>
    <w:p>
      <w:pPr>
        <w:ind w:left="340" w:hanging="170"/>
      </w:pPr>
      <w:r>
        <w:t>• 对象：机械装备产业人才，分 A/B/C 三档。</w:t>
      </w:r>
    </w:p>
    <w:p>
      <w:pPr>
        <w:ind w:left="340" w:hanging="170"/>
      </w:pPr>
      <w:r>
        <w:t>• 条件：要求在职在岗、主要工作地在厦门并在厦缴纳个税，企业应属于机械装备相关领域。</w:t>
      </w:r>
    </w:p>
    <w:p>
      <w:pPr>
        <w:ind w:left="340" w:hanging="170"/>
      </w:pPr>
      <w:r>
        <w:t>• 支持：A/B/C 类分别给予 80/50/30 万元补助；近三年外地来厦的，再给予 16/10/6 万元安家补贴。</w:t>
      </w:r>
    </w:p>
    <w:p>
      <w:pPr>
        <w:pStyle w:val="Heading2"/>
      </w:pPr>
      <w:r>
        <w:t>7. 厦门市商贸物流产业人才项目实施办法</w:t>
      </w:r>
    </w:p>
    <w:p>
      <w:pPr/>
      <w:r>
        <w:t>文号：厦委人才办〔2025〕7号；主题：产业人才/商贸物流。</w:t>
      </w:r>
    </w:p>
    <w:p>
      <w:pPr>
        <w:ind w:left="340" w:hanging="170"/>
      </w:pPr>
      <w:r>
        <w:t>• 对象：货物贸易、服务贸易、会展、现代物流等领域人才，分英才、优才、专才。</w:t>
      </w:r>
    </w:p>
    <w:p>
      <w:pPr>
        <w:ind w:left="340" w:hanging="170"/>
      </w:pPr>
      <w:r>
        <w:t>• 条件：申报时在申报企业任职，与企业签订 3 年及以上劳动合同，并在厦缴纳医社保。</w:t>
      </w:r>
    </w:p>
    <w:p>
      <w:pPr>
        <w:ind w:left="340" w:hanging="170"/>
      </w:pPr>
      <w:r>
        <w:t>• 支持：英才/优才/专才分别给予 50/30/20 万元补助；近三年外地来厦工作的，再给予 10/6/4 万元安家补贴。</w:t>
      </w:r>
    </w:p>
    <w:p>
      <w:pPr>
        <w:pStyle w:val="Heading2"/>
      </w:pPr>
      <w:r>
        <w:t>8. 厦门市金融服务产业人才项目实施办法</w:t>
      </w:r>
    </w:p>
    <w:p>
      <w:pPr/>
      <w:r>
        <w:t>文号：厦委人才办〔2025〕8号；主题：产业人才/金融。</w:t>
      </w:r>
    </w:p>
    <w:p>
      <w:pPr>
        <w:ind w:left="340" w:hanging="170"/>
      </w:pPr>
      <w:r>
        <w:t>• 对象：金融机构、基金管理机构、地方金融组织、金融投资集团人才，分行业领军型和高级专家型。</w:t>
      </w:r>
    </w:p>
    <w:p>
      <w:pPr>
        <w:ind w:left="340" w:hanging="170"/>
      </w:pPr>
      <w:r>
        <w:t>• 条件：需具备本科及以上学历，并取得 CFA、FRM、CPA、精算、法律职业等权威资格证书或高级职称（或博士学位）。</w:t>
      </w:r>
    </w:p>
    <w:p>
      <w:pPr>
        <w:ind w:left="340" w:hanging="170"/>
      </w:pPr>
      <w:r>
        <w:t>• 待遇：行业领军型、高级专家型分别按市高层次人才 B 类、C 类享受子女入学和医疗保健服务保障。</w:t>
      </w:r>
    </w:p>
    <w:p>
      <w:pPr>
        <w:ind w:left="340" w:hanging="170"/>
      </w:pPr>
      <w:r>
        <w:t>• 鼓励：对取得 CFA、FRM、ACCA、FSA 等资格证书且在厦连续全职工作满 2 年的，可按报考费给予累计不超过 5 万元补贴。</w:t>
      </w:r>
    </w:p>
    <w:p>
      <w:pPr>
        <w:pStyle w:val="Heading2"/>
      </w:pPr>
      <w:r>
        <w:t>9. 厦门市生物医药产业人才项目实施办法</w:t>
      </w:r>
    </w:p>
    <w:p>
      <w:pPr/>
      <w:r>
        <w:t>文号：厦委人才办〔2025〕9号；主题：产业人才/生物医药。</w:t>
      </w:r>
    </w:p>
    <w:p>
      <w:pPr>
        <w:ind w:left="340" w:hanging="170"/>
      </w:pPr>
      <w:r>
        <w:t>• 对象：创新药、改良型新药、仿制药、高性能医疗器械、生物医药服务、数字医疗、基因生物技术等领域人才，分 A/B/C 类。</w:t>
      </w:r>
    </w:p>
    <w:p>
      <w:pPr>
        <w:ind w:left="340" w:hanging="170"/>
      </w:pPr>
      <w:r>
        <w:t>• 基本条件：在厦缴纳个税，与申报单位签订 3 年以上劳动合同，在关键或重要岗位工作并担任中层及以上职务。</w:t>
      </w:r>
    </w:p>
    <w:p>
      <w:pPr>
        <w:ind w:left="340" w:hanging="170"/>
      </w:pPr>
      <w:r>
        <w:t>• 支持：A/B/C 类分别给予 80/50/30 万元人才补贴；近三年外地来厦工作的，再给予 16/10/6 万元补助。</w:t>
      </w:r>
    </w:p>
    <w:p>
      <w:pPr>
        <w:pStyle w:val="Heading2"/>
      </w:pPr>
      <w:r>
        <w:t>10. 厦门市新能源和新材料产业人才项目实施办法</w:t>
      </w:r>
    </w:p>
    <w:p>
      <w:pPr/>
      <w:r>
        <w:t>文号：厦委人才办〔2025〕10号；主题：产业人才/新能源新材料。</w:t>
      </w:r>
    </w:p>
    <w:p>
      <w:pPr>
        <w:ind w:left="340" w:hanging="170"/>
      </w:pPr>
      <w:r>
        <w:t>• 对象：新能源和新材料企业人才，分 A/B/C 类。</w:t>
      </w:r>
    </w:p>
    <w:p>
      <w:pPr>
        <w:ind w:left="340" w:hanging="170"/>
      </w:pPr>
      <w:r>
        <w:t>• 支持：A/B/C 类分别给予 80/50/30 万元补助；近三年外地来厦工作的，再给予 16/10/6 万元安家补贴。</w:t>
      </w:r>
    </w:p>
    <w:p>
      <w:pPr>
        <w:ind w:left="340" w:hanging="170"/>
      </w:pPr>
      <w:r>
        <w:t>• 企业领域：涵盖锂离子电池、储能、先进碳材料、高性能陶瓷、稀土功能材料等。</w:t>
      </w:r>
    </w:p>
    <w:p>
      <w:pPr>
        <w:pStyle w:val="Heading2"/>
      </w:pPr>
      <w:r>
        <w:t>11. 厦门市文旅创意产业人才项目实施办法</w:t>
      </w:r>
    </w:p>
    <w:p>
      <w:pPr/>
      <w:r>
        <w:t>文号：厦委人才办〔2025〕11号；主题：产业人才/文旅创意。</w:t>
      </w:r>
    </w:p>
    <w:p>
      <w:pPr>
        <w:ind w:left="340" w:hanging="170"/>
      </w:pPr>
      <w:r>
        <w:t>• 对象：影视制作、音乐演艺、网络视听、创意设计、动漫游戏、艺术品、旅游等领域人才，分英才、优才、青才。</w:t>
      </w:r>
    </w:p>
    <w:p>
      <w:pPr>
        <w:ind w:left="340" w:hanging="170"/>
      </w:pPr>
      <w:r>
        <w:t>• 支持：英才/优才/青才分别给予 50/30/20 万元补助；近三年外地来厦工作的，再给予 10/6/4 万元安家补贴。</w:t>
      </w:r>
    </w:p>
    <w:p>
      <w:pPr>
        <w:pStyle w:val="Heading2"/>
      </w:pPr>
      <w:r>
        <w:t>12. 厦门市海洋经济人才项目实施办法</w:t>
      </w:r>
    </w:p>
    <w:p>
      <w:pPr/>
      <w:r>
        <w:t>文号：厦委人才办〔2025〕12号；主题：产业人才/海洋经济。</w:t>
      </w:r>
    </w:p>
    <w:p>
      <w:pPr>
        <w:ind w:left="340" w:hanging="170"/>
      </w:pPr>
      <w:r>
        <w:t>• 对象：围绕海洋生物医药及制品、海洋高端装备及材料、海洋高技术服务业、海洋生物育种等优势领域的人才。</w:t>
      </w:r>
    </w:p>
    <w:p>
      <w:pPr>
        <w:ind w:left="340" w:hanging="170"/>
      </w:pPr>
      <w:r>
        <w:t>• 支持：从“群鹭兴厦”总纲看，到 2030 年底引进培养 100 名海洋经济高层次人才，按领军型人才 50 万元、优秀型人才 30 万元给予补助。</w:t>
      </w:r>
    </w:p>
    <w:p>
      <w:pPr>
        <w:pStyle w:val="Heading2"/>
      </w:pPr>
      <w:r>
        <w:t>13. 厦门市重点产业骨干人才项目实施办法</w:t>
      </w:r>
    </w:p>
    <w:p>
      <w:pPr/>
      <w:r>
        <w:t>文号：厦委人才办〔2025〕13号；主题：产业人才/骨干梯队。</w:t>
      </w:r>
    </w:p>
    <w:p>
      <w:pPr>
        <w:ind w:left="340" w:hanging="170"/>
      </w:pPr>
      <w:r>
        <w:t>• 对象：重点产业发展所需的核心骨干，强调技术创新、产业转型和管理能力。</w:t>
      </w:r>
    </w:p>
    <w:p>
      <w:pPr>
        <w:ind w:left="340" w:hanging="170"/>
      </w:pPr>
      <w:r>
        <w:t>• 定位：补产业底座，是领军人才的重要后备力量。</w:t>
      </w:r>
    </w:p>
    <w:p>
      <w:pPr>
        <w:ind w:left="340" w:hanging="170"/>
      </w:pPr>
      <w:r>
        <w:t>• 支持：从“群鹭兴厦”总纲看，到 2030 年底引进培育 2600 名重点产业骨干人才，分别给予 15 万元或 10 万元补助。</w:t>
      </w:r>
    </w:p>
    <w:p>
      <w:pPr>
        <w:pStyle w:val="Heading2"/>
      </w:pPr>
      <w:r>
        <w:t>14. 厦门市教育人才项目实施办法</w:t>
      </w:r>
    </w:p>
    <w:p>
      <w:pPr/>
      <w:r>
        <w:t>文号：厦委人才办〔2025〕14号；主题：教育人才。</w:t>
      </w:r>
    </w:p>
    <w:p>
      <w:pPr>
        <w:ind w:left="340" w:hanging="170"/>
      </w:pPr>
      <w:r>
        <w:t>• 支持方向：新教师、骨干教师、学科带头人、专家型教师、卓越教师培养。</w:t>
      </w:r>
    </w:p>
    <w:p>
      <w:pPr>
        <w:ind w:left="340" w:hanging="170"/>
      </w:pPr>
      <w:r>
        <w:t>• 支持：A/B/C 类分别给予 50/40/30 万元补助；对引进人才另给 A/B/C 类 80/60/40 万元安家补贴。</w:t>
      </w:r>
    </w:p>
    <w:p>
      <w:pPr>
        <w:pStyle w:val="Heading2"/>
      </w:pPr>
      <w:r>
        <w:t>15. 厦门市卫生健康人才项目实施办法</w:t>
      </w:r>
    </w:p>
    <w:p>
      <w:pPr/>
      <w:r>
        <w:t>文号：厦委人才办〔2025〕15号；主题：卫生健康人才。</w:t>
      </w:r>
    </w:p>
    <w:p>
      <w:pPr>
        <w:ind w:left="340" w:hanging="170"/>
      </w:pPr>
      <w:r>
        <w:t>• 支持方向：国家区域医疗中心建设所需紧缺特需人才、青年科技人才。</w:t>
      </w:r>
    </w:p>
    <w:p>
      <w:pPr>
        <w:ind w:left="340" w:hanging="170"/>
      </w:pPr>
      <w:r>
        <w:t>• 待遇：学科领军人才、学科带头人、青年拔尖人才在管理期内分别可获得 150/120/75 万元补助；引进人才首次三年期考核优秀的可继续纳入下一轮管理。</w:t>
      </w:r>
    </w:p>
    <w:p>
      <w:pPr>
        <w:pStyle w:val="Heading2"/>
      </w:pPr>
      <w:r>
        <w:t>16. 厦门市社会工作人才项目实施办法</w:t>
      </w:r>
    </w:p>
    <w:p>
      <w:pPr/>
      <w:r>
        <w:t>文号：厦委人才办〔2025〕16号；主题：社会工作人才。</w:t>
      </w:r>
    </w:p>
    <w:p>
      <w:pPr>
        <w:ind w:left="340" w:hanging="170"/>
      </w:pPr>
      <w:r>
        <w:t>• 对象：面向基层、面向一线的实务型和研究型社会工作人才。</w:t>
      </w:r>
    </w:p>
    <w:p>
      <w:pPr>
        <w:ind w:left="340" w:hanging="170"/>
      </w:pPr>
      <w:r>
        <w:t>• 支持：A/B/C 类分别给予 30/20/10 万元补助。</w:t>
      </w:r>
    </w:p>
    <w:p>
      <w:pPr>
        <w:pStyle w:val="Heading2"/>
      </w:pPr>
      <w:r>
        <w:t>17. 厦门市台湾特聘专家（专才）项目实施办法</w:t>
      </w:r>
    </w:p>
    <w:p>
      <w:pPr/>
      <w:r>
        <w:t>文号：厦委人才办〔2025〕17号；主题：台湾人才。</w:t>
      </w:r>
    </w:p>
    <w:p>
      <w:pPr>
        <w:ind w:left="340" w:hanging="170"/>
      </w:pPr>
      <w:r>
        <w:t>• 定位：发挥对台区位优势，重点支持集成电路、生物医药等台湾优势产业人才来厦发展。</w:t>
      </w:r>
    </w:p>
    <w:p>
      <w:pPr>
        <w:ind w:left="340" w:hanging="170"/>
      </w:pPr>
      <w:r>
        <w:t>• 支持：台湾特聘专家、专才分别给予 100 万元、60 万元补助；特别优秀的台湾特聘专家可给予 150 万元补助。</w:t>
      </w:r>
    </w:p>
    <w:p>
      <w:pPr/>
      <w:r>
        <w:t>导入提示：涉及台湾人才、对台融合、人社认定和就业创业支持时，应优先命中本节。</w:t>
      </w:r>
    </w:p>
    <w:p>
      <w:pPr>
        <w:pStyle w:val="Heading2"/>
      </w:pPr>
      <w:r>
        <w:t>18. 关于进一步加强博士后工作的若干措施</w:t>
      </w:r>
    </w:p>
    <w:p>
      <w:pPr/>
      <w:r>
        <w:t>文号：厦人社〔2024〕233号；主题：博士后。</w:t>
      </w:r>
    </w:p>
    <w:p>
      <w:pPr>
        <w:ind w:left="340" w:hanging="170"/>
      </w:pPr>
      <w:r>
        <w:t>• 定位：博士后支持政策，应单独作为知识库专题处理。</w:t>
      </w:r>
    </w:p>
    <w:p>
      <w:pPr>
        <w:ind w:left="340" w:hanging="170"/>
      </w:pPr>
      <w:r>
        <w:t>• 建议：与《厦门市博士后科研工作站管理细则》一起导入，用于回答博士后设站、管理、支持、补助等问题。</w:t>
      </w:r>
    </w:p>
    <w:p>
      <w:pPr>
        <w:pStyle w:val="Heading2"/>
      </w:pPr>
      <w:r>
        <w:t>19. 厦门市支持人工智能领域人才发展的若干措施</w:t>
      </w:r>
    </w:p>
    <w:p>
      <w:pPr/>
      <w:r>
        <w:t>文号：厦委组〔2025〕57号；主题：人工智能专项。</w:t>
      </w:r>
    </w:p>
    <w:p>
      <w:pPr>
        <w:ind w:left="340" w:hanging="170"/>
      </w:pPr>
      <w:r>
        <w:t>• 定位：人工智能人才专项政策。</w:t>
      </w:r>
    </w:p>
    <w:p>
      <w:pPr>
        <w:ind w:left="340" w:hanging="170"/>
      </w:pPr>
      <w:r>
        <w:t>• 核心支持：在“双百计划”中单设人工智能赛道，项目投入放宽到不低于 50 万元；对入选项目最高给予 500 万元创业扶持补助；支持设置人工智能特聘岗位，并给予 100 万元工作生活补助；对顶尖人才可“一事一议”专项支持。</w:t>
      </w:r>
    </w:p>
    <w:p>
      <w:pPr/>
      <w:r>
        <w:t>导入提示：涉及 AI 赛道、AI 特聘岗位、AI 创业项目时，应优先命中本节，再回到“双百计划”或电子信息项目。</w:t>
      </w:r>
    </w:p>
    <w:p>
      <w:pPr>
        <w:pStyle w:val="Heading2"/>
      </w:pPr>
      <w:r>
        <w:t>20. 关于进一步优化人才服务生态的若干措施</w:t>
      </w:r>
    </w:p>
    <w:p>
      <w:pPr/>
      <w:r>
        <w:t>文号：厦委组〔2024〕48号；主题：服务保障。</w:t>
      </w:r>
    </w:p>
    <w:p>
      <w:pPr>
        <w:ind w:left="340" w:hanging="170"/>
      </w:pPr>
      <w:r>
        <w:t>• 定位：人才服务生态建设，应与教育、住房等服务保障政策配套引用。</w:t>
      </w:r>
    </w:p>
    <w:p>
      <w:pPr>
        <w:ind w:left="340" w:hanging="170"/>
      </w:pPr>
      <w:r>
        <w:t>• 建议：回答服务类问题时，与子女入学、医疗保障、人才服务平台等内容一起命中。</w:t>
      </w:r>
    </w:p>
    <w:p>
      <w:pPr>
        <w:pStyle w:val="Heading2"/>
      </w:pPr>
      <w:r>
        <w:t>21. 厦门市引进高层次人才住房补贴实施意见等住房政策</w:t>
      </w:r>
    </w:p>
    <w:p>
      <w:pPr/>
      <w:r>
        <w:t>文号：2016—2023年相关文件；主题：住房保障。</w:t>
      </w:r>
    </w:p>
    <w:p>
      <w:pPr>
        <w:ind w:left="340" w:hanging="170"/>
      </w:pPr>
      <w:r>
        <w:t>• 住房政策应成独立问答主题，包括：高层次人才住房补贴实施意见、安居政策补充通知、保障性商品房、骨干人才认定事项、先进制造业企业住房保障、青年租赁住房保障等。</w:t>
      </w:r>
    </w:p>
    <w:p>
      <w:pPr>
        <w:ind w:left="340" w:hanging="170"/>
      </w:pPr>
      <w:r>
        <w:t>• 这些政策不宜混在产业人才项目问答中，应单独召回。</w:t>
      </w:r>
    </w:p>
    <w:p>
      <w:pPr/>
      <w:r>
        <w:t>导入提示：住房类问题应优先命中本节，不宜与产业项目补助混答。</w:t>
      </w:r>
    </w:p>
    <w:p>
      <w:pPr>
        <w:pStyle w:val="Heading1"/>
      </w:pPr>
      <w:r>
        <w:t>三、检索建议</w:t>
      </w:r>
    </w:p>
    <w:p>
      <w:pPr>
        <w:ind w:left="340" w:hanging="170"/>
      </w:pPr>
      <w:r>
        <w:t>• 问‘厦门现在有哪些人才政策’：优先命中本文件前 1—4 节和总览文档。</w:t>
      </w:r>
    </w:p>
    <w:p>
      <w:pPr>
        <w:ind w:left="340" w:hanging="170"/>
      </w:pPr>
      <w:r>
        <w:t>• 问‘双百计划/特聘岗位/专项资金’：优先命中对应专题节，再补充总览文档。</w:t>
      </w:r>
    </w:p>
    <w:p>
      <w:pPr>
        <w:ind w:left="340" w:hanging="170"/>
      </w:pPr>
      <w:r>
        <w:t>• 问‘电子信息/机械装备/生物医药/金融/海洋/台湾特聘专家’：优先命中相应产业或专项章节。</w:t>
      </w:r>
    </w:p>
    <w:p>
      <w:pPr>
        <w:ind w:left="340" w:hanging="170"/>
      </w:pPr>
      <w:r>
        <w:t>• 问‘住房/子女教育/博士后/人工智能/国际化引才’：优先命中专题节，不要先返回产业项目。</w:t>
      </w:r>
    </w:p>
    <w:sectPr w:rsidR="00FC693F" w:rsidRPr="0006063C" w:rsidSect="00034616">
      <w:pgSz w:w="12240" w:h="15840"/>
      <w:pgMar w:top="1247" w:right="1191"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20" w:before="0"/>
    </w:pPr>
    <w:rPr>
      <w:rFonts w:ascii="Microsoft YaHei" w:hAnsi="Microsoft YaHei" w:eastAsia="Microsoft YaHe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32F5C"/>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Microsoft YaHei" w:hAnsi="Microsoft YaHei" w:eastAsia="Microsoft YaHei"/>
      <w:b/>
      <w:bCs/>
      <w:color w:val="21539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icrosoft YaHei" w:hAnsi="Microsoft YaHei" w:eastAsia="Microsoft YaHei"/>
      <w:i w:val="0"/>
      <w:iCs/>
      <w:color w:val="464646"/>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