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yTitle"/>
        <w:jc w:val="center"/>
      </w:pPr>
      <w:r>
        <w:t>福建省博士后与工程师队伍建设专题（问答增强版）</w:t>
      </w:r>
    </w:p>
    <w:p>
      <w:pPr>
        <w:jc w:val="center"/>
      </w:pPr>
      <w:r>
        <w:rPr>
          <w:rFonts w:ascii="Microsoft YaHei" w:hAnsi="Microsoft YaHei" w:eastAsia="Microsoft YaHei"/>
          <w:color w:val="5A5A5A"/>
          <w:sz w:val="21"/>
        </w:rPr>
        <w:t>基于《2025年福建省人才》与《福建省人才政策（清洗导入版）》整理</w:t>
        <w:br/>
        <w:t>适合作为福建省级人才政策知识库专题补充文档</w:t>
      </w:r>
    </w:p>
    <w:tbl>
      <w:tblPr>
        <w:tblStyle w:val="TableGrid"/>
        <w:tblW w:type="auto" w:w="0"/>
        <w:tblLayout w:type="fixed"/>
        <w:tblLook w:firstColumn="1" w:firstRow="1" w:lastColumn="0" w:lastRow="0" w:noHBand="0" w:noVBand="1" w:val="04A0"/>
      </w:tblPr>
      <w:tblGrid>
        <w:gridCol w:w="4872"/>
        <w:gridCol w:w="4872"/>
      </w:tblGrid>
      <w:tr>
        <w:trPr>
          <w:tblHeader w:val="true"/>
        </w:trPr>
        <w:tc>
          <w:tcPr>
            <w:tcW w:type="dxa" w:w="1814"/>
            <w:shd w:fill="DCE6F1"/>
          </w:tcPr>
          <w:p>
            <w:pPr>
              <w:spacing w:after="0" w:line="300" w:lineRule="auto"/>
            </w:pPr>
            <w:r/>
            <w:r>
              <w:rPr>
                <w:b/>
              </w:rPr>
              <w:t>文档定位</w:t>
            </w:r>
          </w:p>
        </w:tc>
        <w:tc>
          <w:tcPr>
            <w:tcW w:type="dxa" w:w="6803"/>
            <w:shd w:fill="F8FBFD"/>
          </w:tcPr>
          <w:p>
            <w:pPr>
              <w:spacing w:after="0" w:line="300" w:lineRule="auto"/>
            </w:pPr>
            <w:r/>
            <w:r>
              <w:t>用于回答福建省博士后工作、博士后设站与进站、博士后支持、工程师队伍建设、工程技术人才培养评价等问题。</w:t>
            </w:r>
          </w:p>
        </w:tc>
      </w:tr>
      <w:tr>
        <w:tc>
          <w:tcPr>
            <w:tcW w:type="dxa" w:w="1814"/>
            <w:shd w:fill="EAF2F8"/>
          </w:tcPr>
          <w:p>
            <w:pPr>
              <w:spacing w:after="0" w:line="300" w:lineRule="auto"/>
            </w:pPr>
            <w:r/>
            <w:r>
              <w:rPr>
                <w:b/>
              </w:rPr>
              <w:t>使用边界</w:t>
            </w:r>
          </w:p>
        </w:tc>
        <w:tc>
          <w:tcPr>
            <w:tcW w:type="dxa" w:w="6803"/>
            <w:shd w:fill="F8FBFD"/>
          </w:tcPr>
          <w:p>
            <w:pPr>
              <w:spacing w:after="0" w:line="300" w:lineRule="auto"/>
            </w:pPr>
            <w:r/>
            <w:r>
              <w:t>本专题优先解决“政策是否存在、属于哪类支持、适合回答哪些问题、应跳转到哪些专题”这类知识库路由问题。若涉及具体申报表格、资金金额、逐条条件、办理窗口或原文逐款适用，应继续回溯原始文件。</w:t>
            </w:r>
          </w:p>
        </w:tc>
      </w:tr>
    </w:tbl>
    <w:p/>
    <w:p>
      <w:pPr>
        <w:pStyle w:val="MyH1"/>
      </w:pPr>
      <w:r>
        <w:t>一、专题总览</w:t>
      </w:r>
    </w:p>
    <w:p>
      <w:pPr>
        <w:spacing w:after="100" w:line="324" w:lineRule="auto"/>
      </w:pPr>
      <w:r>
        <w:t>本专题围绕两类省级政策文件组织：一类是《福建省高层次人才认定和支持办法（2023 年修订版）》体系下的延伸配套；另一类是 2024—2025 年度面向重点领域、青年人才和专业技术人才的阶段性支持与建设措施。现有清洗版已明确把“关于加强高水平工程师队伍建设的若干措施”和“进一步加强博士后工作七条措施”列入 2025 年福建省近期配套/申报政策目录，说明这两类政策属于省级近期重点关注内容。</w:t>
      </w:r>
    </w:p>
    <w:p>
      <w:pPr>
        <w:spacing w:after="40"/>
        <w:ind w:left="312" w:hanging="198"/>
      </w:pPr>
      <w:r>
        <w:t>• 工程师专题：适合回答工程技术人才培养、工程师评价、行业急需紧缺工程师支持、队伍建设方向等问题。</w:t>
      </w:r>
    </w:p>
    <w:p>
      <w:pPr>
        <w:spacing w:after="40"/>
        <w:ind w:left="312" w:hanging="198"/>
      </w:pPr>
      <w:r>
        <w:t>• 博士后专题：适合回答博士后设站、进站、培养、支持政策、与青年人才和创新创业赛事联动等问题。</w:t>
      </w:r>
    </w:p>
    <w:p>
      <w:pPr>
        <w:spacing w:after="40"/>
        <w:ind w:left="312" w:hanging="198"/>
      </w:pPr>
      <w:r>
        <w:t>• 与其他专题的关系：若问题转向高层次人才 A/B/C 类认定、百人计划、四大经济专项认定、近期项目申报，应优先跳转到已生成的福建省相应专题文档。</w:t>
      </w:r>
    </w:p>
    <w:p>
      <w:pPr>
        <w:pStyle w:val="MyH1"/>
      </w:pPr>
      <w:r>
        <w:t>二、工程师队伍建设专题</w:t>
      </w:r>
    </w:p>
    <w:p>
      <w:pPr>
        <w:pStyle w:val="MyH2"/>
      </w:pPr>
      <w:r>
        <w:t>1. 政策基础</w:t>
      </w:r>
    </w:p>
    <w:p>
      <w:pPr>
        <w:spacing w:after="100" w:line="324" w:lineRule="auto"/>
      </w:pPr>
      <w:r>
        <w:t>政策名称：关于加强高水平工程师队伍建设的若干措施。</w:t>
      </w:r>
    </w:p>
    <w:p>
      <w:pPr>
        <w:spacing w:after="100" w:line="324" w:lineRule="auto"/>
      </w:pPr>
      <w:r>
        <w:t>文号：闽委人才办〔2024〕3 号。</w:t>
      </w:r>
    </w:p>
    <w:p>
      <w:pPr>
        <w:spacing w:after="100" w:line="324" w:lineRule="auto"/>
      </w:pPr>
      <w:r>
        <w:t>主题定位：省级近期重点配套政策，属于福建省工程技术人才队伍建设、工程师培养评价与工程实践能力提升的重要上位政策。该文件已被福建省清洗版作为“近期配套/申报政策目录”中的重点条目单列。</w:t>
      </w:r>
    </w:p>
    <w:p>
      <w:pPr>
        <w:pStyle w:val="MyH2"/>
      </w:pPr>
      <w:r>
        <w:t>2. 适合回答的问题</w:t>
      </w:r>
    </w:p>
    <w:p>
      <w:pPr>
        <w:spacing w:after="40"/>
        <w:ind w:left="312" w:hanging="198"/>
      </w:pPr>
      <w:r>
        <w:t>• 福建省有没有专门面向工程师队伍建设的政策？</w:t>
      </w:r>
    </w:p>
    <w:p>
      <w:pPr>
        <w:spacing w:after="40"/>
        <w:ind w:left="312" w:hanging="198"/>
      </w:pPr>
      <w:r>
        <w:t>• 工程师队伍建设属于省级人才政策的哪一类？</w:t>
      </w:r>
    </w:p>
    <w:p>
      <w:pPr>
        <w:spacing w:after="40"/>
        <w:ind w:left="312" w:hanging="198"/>
      </w:pPr>
      <w:r>
        <w:t>• 哪些问题应该优先命中工程师专题，而不是高层次人才认定或百人计划？</w:t>
      </w:r>
    </w:p>
    <w:p>
      <w:pPr>
        <w:spacing w:after="40"/>
        <w:ind w:left="312" w:hanging="198"/>
      </w:pPr>
      <w:r>
        <w:t>• 工程技术人才、卓越工程师、高技能人才、工程实践人才相关问题应当如何路由？</w:t>
      </w:r>
    </w:p>
    <w:p>
      <w:pPr>
        <w:pStyle w:val="MyH2"/>
      </w:pPr>
      <w:r>
        <w:t>3. 问答口径建议</w:t>
      </w:r>
    </w:p>
    <w:p>
      <w:pPr>
        <w:spacing w:after="40"/>
        <w:ind w:left="312" w:hanging="198"/>
      </w:pPr>
      <w:r>
        <w:t>• 当用户询问“福建省有没有工程师支持政策”时，应先明确：有，省级近期政策目录中已将《关于加强高水平工程师队伍建设的若干措施》列为单独政策。</w:t>
      </w:r>
    </w:p>
    <w:p>
      <w:pPr>
        <w:spacing w:after="40"/>
        <w:ind w:left="312" w:hanging="198"/>
      </w:pPr>
      <w:r>
        <w:t>• 当用户问题偏“评价认定、能力提升、培养机制、平台支撑、企业工程技术人才队伍建设”时，应优先命中本专题。</w:t>
      </w:r>
    </w:p>
    <w:p>
      <w:pPr>
        <w:spacing w:after="40"/>
        <w:ind w:left="312" w:hanging="198"/>
      </w:pPr>
      <w:r>
        <w:t>• 当用户问题偏“省级高层次人才 A/B/C 类认定标准”时，不应只返回本专题，而应回到《福建省高层次人才认定和支持办法》主干政策。</w:t>
      </w:r>
    </w:p>
    <w:p>
      <w:pPr>
        <w:spacing w:after="40"/>
        <w:ind w:left="312" w:hanging="198"/>
      </w:pPr>
      <w:r>
        <w:t>• 当用户问题偏“具体申报通知、年度遴选、补助金额、表格材料”时，应继续回溯原始文件或配套通知，不宜凭本专题推断细则。</w:t>
      </w:r>
    </w:p>
    <w:p>
      <w:pPr>
        <w:pStyle w:val="MyH2"/>
      </w:pPr>
      <w:r>
        <w:t>4. 检索关键词建议</w:t>
      </w:r>
    </w:p>
    <w:tbl>
      <w:tblPr>
        <w:tblStyle w:val="TableGrid"/>
        <w:tblW w:type="auto" w:w="0"/>
        <w:tblLayout w:type="fixed"/>
        <w:tblLook w:firstColumn="1" w:firstRow="1" w:lastColumn="0" w:lastRow="0" w:noHBand="0" w:noVBand="1" w:val="04A0"/>
      </w:tblPr>
      <w:tblGrid>
        <w:gridCol w:w="2381"/>
        <w:gridCol w:w="6350"/>
      </w:tblGrid>
      <w:tr>
        <w:trPr>
          <w:tblHeader w:val="true"/>
        </w:trPr>
        <w:tc>
          <w:tcPr>
            <w:tcW w:type="dxa" w:w="4872"/>
            <w:shd w:fill="D9EAF7"/>
          </w:tcPr>
          <w:p>
            <w:pPr>
              <w:jc w:val="center"/>
            </w:pPr>
            <w:r>
              <w:rPr>
                <w:b/>
              </w:rPr>
              <w:t>用户常见问法</w:t>
            </w:r>
          </w:p>
        </w:tc>
        <w:tc>
          <w:tcPr>
            <w:tcW w:type="dxa" w:w="4872"/>
            <w:shd w:fill="D9EAF7"/>
          </w:tcPr>
          <w:p>
            <w:pPr>
              <w:jc w:val="center"/>
            </w:pPr>
            <w:r>
              <w:rPr>
                <w:b/>
              </w:rPr>
              <w:t>建议命中的关键词 / 正式政策名</w:t>
            </w:r>
          </w:p>
        </w:tc>
      </w:tr>
      <w:tr>
        <w:tc>
          <w:tcPr>
            <w:tcW w:type="dxa" w:w="2381"/>
          </w:tcPr>
          <w:p>
            <w:r>
              <w:t>福建有工程师政策吗</w:t>
            </w:r>
          </w:p>
        </w:tc>
        <w:tc>
          <w:tcPr>
            <w:tcW w:type="dxa" w:w="6350"/>
          </w:tcPr>
          <w:p>
            <w:r>
              <w:t>工程师队伍建设、高水平工程师队伍、工程技术人才、闽委人才办〔2024〕3 号</w:t>
            </w:r>
          </w:p>
        </w:tc>
      </w:tr>
      <w:tr>
        <w:tc>
          <w:tcPr>
            <w:tcW w:type="dxa" w:w="2381"/>
          </w:tcPr>
          <w:p>
            <w:r>
              <w:t>工程师怎么评价/培养</w:t>
            </w:r>
          </w:p>
        </w:tc>
        <w:tc>
          <w:tcPr>
            <w:tcW w:type="dxa" w:w="6350"/>
          </w:tcPr>
          <w:p>
            <w:r>
              <w:t>工程师评价、工程实践、工程技术人才培养、队伍建设机制</w:t>
            </w:r>
          </w:p>
        </w:tc>
      </w:tr>
      <w:tr>
        <w:tc>
          <w:tcPr>
            <w:tcW w:type="dxa" w:w="2381"/>
          </w:tcPr>
          <w:p>
            <w:r>
              <w:t>卓越工程师/数字工程师</w:t>
            </w:r>
          </w:p>
        </w:tc>
        <w:tc>
          <w:tcPr>
            <w:tcW w:type="dxa" w:w="6350"/>
          </w:tcPr>
          <w:p>
            <w:r>
              <w:t>卓越工程师、数字卓越工程师、工程师能力评价、重点产业工程人才</w:t>
            </w:r>
          </w:p>
        </w:tc>
      </w:tr>
      <w:tr>
        <w:tc>
          <w:tcPr>
            <w:tcW w:type="dxa" w:w="2381"/>
          </w:tcPr>
          <w:p>
            <w:r>
              <w:t>高技能人才和工程师有什么政策</w:t>
            </w:r>
          </w:p>
        </w:tc>
        <w:tc>
          <w:tcPr>
            <w:tcW w:type="dxa" w:w="6350"/>
          </w:tcPr>
          <w:p>
            <w:r>
              <w:t>工程师队伍建设、高技能人才、技能提升、企业工程技术骨干</w:t>
            </w:r>
          </w:p>
        </w:tc>
      </w:tr>
    </w:tbl>
    <w:p/>
    <w:p>
      <w:pPr>
        <w:pStyle w:val="MyH1"/>
      </w:pPr>
      <w:r>
        <w:t>三、博士后工作专题</w:t>
      </w:r>
    </w:p>
    <w:p>
      <w:pPr>
        <w:pStyle w:val="MyH2"/>
      </w:pPr>
      <w:r>
        <w:t>1. 政策基础</w:t>
      </w:r>
    </w:p>
    <w:p>
      <w:pPr>
        <w:spacing w:after="100" w:line="324" w:lineRule="auto"/>
      </w:pPr>
      <w:r>
        <w:t>政策名称：关于印发进一步加强博士后工作七条措施的通知。</w:t>
      </w:r>
    </w:p>
    <w:p>
      <w:pPr>
        <w:spacing w:after="100" w:line="324" w:lineRule="auto"/>
      </w:pPr>
      <w:r>
        <w:t>文号：闽人社文〔2024〕39 号。</w:t>
      </w:r>
    </w:p>
    <w:p>
      <w:pPr>
        <w:spacing w:after="100" w:line="324" w:lineRule="auto"/>
      </w:pPr>
      <w:r>
        <w:t>主题定位：省级博士后工作支持政策，属于福建省近期重点配套政策目录中的核心条目之一。适合与省级高层次人才支持政策、百人计划、青年人才项目、博士后创新创业赛事等内容联合使用。</w:t>
      </w:r>
    </w:p>
    <w:p>
      <w:pPr>
        <w:pStyle w:val="MyH2"/>
      </w:pPr>
      <w:r>
        <w:t>2. 与其他省级政策的关系</w:t>
      </w:r>
    </w:p>
    <w:p>
      <w:pPr>
        <w:spacing w:after="40"/>
        <w:ind w:left="312" w:hanging="198"/>
      </w:pPr>
      <w:r>
        <w:t>• 与《福建省高层次人才认定和支持办法》的关系：博士后人才可与省级高层次人才认定、安家补助、医疗教育等支持政策形成衔接。</w:t>
      </w:r>
    </w:p>
    <w:p>
      <w:pPr>
        <w:spacing w:after="40"/>
        <w:ind w:left="312" w:hanging="198"/>
      </w:pPr>
      <w:r>
        <w:t>• 与引才“百人计划”的关系：创业人才、创新人才项目申报通知均明确提到，海外（境外）和省外知名高校应届毕业生、博士后，在申报时可适当放宽任职经历和职务要求。</w:t>
      </w:r>
    </w:p>
    <w:p>
      <w:pPr>
        <w:spacing w:after="40"/>
        <w:ind w:left="312" w:hanging="198"/>
      </w:pPr>
      <w:r>
        <w:t>• 与创新创业赛事的关系：第三届全国博士后创新创业大赛等省委人才办认定赛事中的获奖人才，可按简易程序纳入实地考察人选。</w:t>
      </w:r>
    </w:p>
    <w:p>
      <w:pPr>
        <w:spacing w:after="40"/>
        <w:ind w:left="312" w:hanging="198"/>
      </w:pPr>
      <w:r>
        <w:t>• 与高校、科研平台、企业的关系：博士后政策通常会关联设站、招收、培养、科研条件、成果转化和青年人才集聚。</w:t>
      </w:r>
    </w:p>
    <w:p>
      <w:pPr>
        <w:pStyle w:val="MyH2"/>
      </w:pPr>
      <w:r>
        <w:t>3. 适合回答的问题</w:t>
      </w:r>
    </w:p>
    <w:p>
      <w:pPr>
        <w:spacing w:after="40"/>
        <w:ind w:left="312" w:hanging="198"/>
      </w:pPr>
      <w:r>
        <w:t>• 福建省有没有博士后专项支持政策？</w:t>
      </w:r>
    </w:p>
    <w:p>
      <w:pPr>
        <w:spacing w:after="40"/>
        <w:ind w:left="312" w:hanging="198"/>
      </w:pPr>
      <w:r>
        <w:t>• 福建省博士后工作目前有哪些重点措施？</w:t>
      </w:r>
    </w:p>
    <w:p>
      <w:pPr>
        <w:spacing w:after="40"/>
        <w:ind w:left="312" w:hanging="198"/>
      </w:pPr>
      <w:r>
        <w:t>• 博士后能否与省级引才、青年人才或赛事获奖渠道联动？</w:t>
      </w:r>
    </w:p>
    <w:p>
      <w:pPr>
        <w:spacing w:after="40"/>
        <w:ind w:left="312" w:hanging="198"/>
      </w:pPr>
      <w:r>
        <w:t>• 问博士后设站、进站、培养、支持时应优先命中哪些政策？</w:t>
      </w:r>
    </w:p>
    <w:p>
      <w:pPr>
        <w:pStyle w:val="MyH2"/>
      </w:pPr>
      <w:r>
        <w:t>4. 问答口径建议</w:t>
      </w:r>
    </w:p>
    <w:p>
      <w:pPr>
        <w:spacing w:after="40"/>
        <w:ind w:left="312" w:hanging="198"/>
      </w:pPr>
      <w:r>
        <w:t>• 首答时应先明确：福建省层面已有《进一步加强博士后工作七条措施》，且已被纳入 2025 年近期配套/申报政策目录。</w:t>
      </w:r>
    </w:p>
    <w:p>
      <w:pPr>
        <w:spacing w:after="40"/>
        <w:ind w:left="312" w:hanging="198"/>
      </w:pPr>
      <w:r>
        <w:t>• 若用户问“博士后有什么政策”，可先从政策存在、政策层级、适用场景、与青年人才和引才项目的联动关系作答。</w:t>
      </w:r>
    </w:p>
    <w:p>
      <w:pPr>
        <w:spacing w:after="40"/>
        <w:ind w:left="312" w:hanging="198"/>
      </w:pPr>
      <w:r>
        <w:t>• 若用户进一步追问具体补贴、设站条件、申报流程、受理部门、表格材料，应明确提示需继续命中该文件原文，或结合具体设站细则、设区市博士后政策细化回答。</w:t>
      </w:r>
    </w:p>
    <w:p>
      <w:pPr>
        <w:spacing w:after="40"/>
        <w:ind w:left="312" w:hanging="198"/>
      </w:pPr>
      <w:r>
        <w:t>• 如果用户问题明确指向厦门市博士后政策，不应直接以省级材料替代厦门清单，应回到厦门的博士后专题或原始文件。</w:t>
      </w:r>
    </w:p>
    <w:p>
      <w:pPr>
        <w:pStyle w:val="MyH2"/>
      </w:pPr>
      <w:r>
        <w:t>5. 检索关键词建议</w:t>
      </w:r>
    </w:p>
    <w:tbl>
      <w:tblPr>
        <w:tblStyle w:val="TableGrid"/>
        <w:tblW w:type="auto" w:w="0"/>
        <w:tblLayout w:type="fixed"/>
        <w:tblLook w:firstColumn="1" w:firstRow="1" w:lastColumn="0" w:lastRow="0" w:noHBand="0" w:noVBand="1" w:val="04A0"/>
      </w:tblPr>
      <w:tblGrid>
        <w:gridCol w:w="2551"/>
        <w:gridCol w:w="6180"/>
      </w:tblGrid>
      <w:tr>
        <w:trPr>
          <w:tblHeader w:val="true"/>
        </w:trPr>
        <w:tc>
          <w:tcPr>
            <w:tcW w:type="dxa" w:w="4872"/>
            <w:shd w:fill="D9EAD3"/>
          </w:tcPr>
          <w:p>
            <w:pPr>
              <w:jc w:val="center"/>
            </w:pPr>
            <w:r>
              <w:rPr>
                <w:b/>
              </w:rPr>
              <w:t>用户常见问法</w:t>
            </w:r>
          </w:p>
        </w:tc>
        <w:tc>
          <w:tcPr>
            <w:tcW w:type="dxa" w:w="4872"/>
            <w:shd w:fill="D9EAD3"/>
          </w:tcPr>
          <w:p>
            <w:pPr>
              <w:jc w:val="center"/>
            </w:pPr>
            <w:r>
              <w:rPr>
                <w:b/>
              </w:rPr>
              <w:t>建议命中的关键词 / 路由</w:t>
            </w:r>
          </w:p>
        </w:tc>
      </w:tr>
      <w:tr>
        <w:tc>
          <w:tcPr>
            <w:tcW w:type="dxa" w:w="2551"/>
          </w:tcPr>
          <w:p>
            <w:r>
              <w:t>福建省博士后有哪些支持</w:t>
            </w:r>
          </w:p>
        </w:tc>
        <w:tc>
          <w:tcPr>
            <w:tcW w:type="dxa" w:w="6180"/>
          </w:tcPr>
          <w:p>
            <w:r>
              <w:t>博士后工作七条措施、博士后支持、博士后政策、闽人社文〔2024〕39 号</w:t>
            </w:r>
          </w:p>
        </w:tc>
      </w:tr>
      <w:tr>
        <w:tc>
          <w:tcPr>
            <w:tcW w:type="dxa" w:w="2551"/>
          </w:tcPr>
          <w:p>
            <w:r>
              <w:t>博士后怎么和引才政策衔接</w:t>
            </w:r>
          </w:p>
        </w:tc>
        <w:tc>
          <w:tcPr>
            <w:tcW w:type="dxa" w:w="6180"/>
          </w:tcPr>
          <w:p>
            <w:r>
              <w:t>博士后 + 百人计划、博士后 + 创新人才、博士后 + 创业人才</w:t>
            </w:r>
          </w:p>
        </w:tc>
      </w:tr>
      <w:tr>
        <w:tc>
          <w:tcPr>
            <w:tcW w:type="dxa" w:w="2551"/>
          </w:tcPr>
          <w:p>
            <w:r>
              <w:t>博士后比赛获奖后怎么办</w:t>
            </w:r>
          </w:p>
        </w:tc>
        <w:tc>
          <w:tcPr>
            <w:tcW w:type="dxa" w:w="6180"/>
          </w:tcPr>
          <w:p>
            <w:r>
              <w:t>博士后创新创业大赛、简易程序、实地考察人选</w:t>
            </w:r>
          </w:p>
        </w:tc>
      </w:tr>
      <w:tr>
        <w:tc>
          <w:tcPr>
            <w:tcW w:type="dxa" w:w="2551"/>
          </w:tcPr>
          <w:p>
            <w:r>
              <w:t>博士后设站/进站怎么办理</w:t>
            </w:r>
          </w:p>
        </w:tc>
        <w:tc>
          <w:tcPr>
            <w:tcW w:type="dxa" w:w="6180"/>
          </w:tcPr>
          <w:p>
            <w:r>
              <w:t>博士后工作七条措施 + 原始设站细则 / 设区市实施口径</w:t>
            </w:r>
          </w:p>
        </w:tc>
      </w:tr>
    </w:tbl>
    <w:p/>
    <w:p>
      <w:pPr>
        <w:pStyle w:val="MyH1"/>
      </w:pPr>
      <w:r>
        <w:t>四、与福建省其他专题文档的联动关系</w:t>
      </w:r>
    </w:p>
    <w:p>
      <w:pPr>
        <w:spacing w:after="40"/>
        <w:ind w:left="312" w:hanging="198"/>
      </w:pPr>
      <w:r>
        <w:t>• 若问题聚焦“省级高层次人才认定、A/B/C 类、特级人才、四大经济认定”，应优先跳转《福建省高层次人才认定与支持专题（问答增强版）》和《福建省四大经济专项认定专题（问答增强版）》。</w:t>
      </w:r>
    </w:p>
    <w:p>
      <w:pPr>
        <w:spacing w:after="40"/>
        <w:ind w:left="312" w:hanging="198"/>
      </w:pPr>
      <w:r>
        <w:t>• 若问题聚焦“第十批引进高层次创业创新人才、创业/创新/台湾人才项目、申报材料、线下申报流程”，应优先跳转《福建省引才“百人计划”专题（问答增强版）》。</w:t>
      </w:r>
    </w:p>
    <w:p>
      <w:pPr>
        <w:spacing w:after="40"/>
        <w:ind w:left="312" w:hanging="198"/>
      </w:pPr>
      <w:r>
        <w:t>• 若问题聚焦“近期申报、免申即认、产业领军团队、特级后备人才、高水平工程师、博士后七条措施”，可联动《福建省近期申报与专项支持专题（问答增强版）》。</w:t>
      </w:r>
    </w:p>
    <w:p>
      <w:pPr>
        <w:spacing w:after="40"/>
        <w:ind w:left="312" w:hanging="198"/>
      </w:pPr>
      <w:r>
        <w:t>• 若用户问题明确指向厦门市，本专题只可作为省级上位政策参考，不应替代厦门市级项目清单与实施细则。</w:t>
      </w:r>
    </w:p>
    <w:p>
      <w:pPr>
        <w:pStyle w:val="MyH1"/>
      </w:pPr>
      <w:r>
        <w:t>五、高频问答（知识库首答模板）</w:t>
      </w:r>
    </w:p>
    <w:p>
      <w:pPr>
        <w:pStyle w:val="MyH2"/>
      </w:pPr>
      <w:r>
        <w:t>问：福建省有没有专门面向工程师队伍建设的政策？</w:t>
      </w:r>
    </w:p>
    <w:p>
      <w:pPr>
        <w:spacing w:after="100" w:line="324" w:lineRule="auto"/>
      </w:pPr>
      <w:r>
        <w:t>答：有。福建省近期配套/申报政策目录中已将《关于加强高水平工程师队伍建设的若干措施》作为单独政策列出，说明工程技术人才培养、评价和队伍建设已纳入省级人才政策重点。</w:t>
      </w:r>
    </w:p>
    <w:p>
      <w:pPr>
        <w:pStyle w:val="MyH2"/>
      </w:pPr>
      <w:r>
        <w:t>问：福建省有没有博士后专项政策？</w:t>
      </w:r>
    </w:p>
    <w:p>
      <w:pPr>
        <w:spacing w:after="100" w:line="324" w:lineRule="auto"/>
      </w:pPr>
      <w:r>
        <w:t>答：有。福建省近期配套政策目录中已列入《进一步加强博士后工作七条措施》，可作为回答博士后设站、培养、支持和青年人才衔接问题的省级入口政策。</w:t>
      </w:r>
    </w:p>
    <w:p>
      <w:pPr>
        <w:pStyle w:val="MyH2"/>
      </w:pPr>
      <w:r>
        <w:t>问：博士后能不能和省级引才项目联动？</w:t>
      </w:r>
    </w:p>
    <w:p>
      <w:pPr>
        <w:spacing w:after="100" w:line="324" w:lineRule="auto"/>
      </w:pPr>
      <w:r>
        <w:t>答：可以。福建省第十批引进高层次创业创新人才申报通知中，明确把应届毕业博士后、海外（境外）或省外博士后纳入相关项目的适用口径，并对部分任职经历要求作了放宽。</w:t>
      </w:r>
    </w:p>
    <w:p>
      <w:pPr>
        <w:pStyle w:val="MyH2"/>
      </w:pPr>
      <w:r>
        <w:t>问：如果用户问的是厦门市博士后政策怎么办？</w:t>
      </w:r>
    </w:p>
    <w:p>
      <w:pPr>
        <w:spacing w:after="100" w:line="324" w:lineRule="auto"/>
      </w:pPr>
      <w:r>
        <w:t>答：应优先命中厦门市博士后专题或厦门原始政策，不应直接用福建省上位政策替代厦门市级清单。</w:t>
      </w:r>
    </w:p>
    <w:p>
      <w:pPr>
        <w:pStyle w:val="MyH2"/>
      </w:pPr>
      <w:r>
        <w:t>问：如果用户继续追问金额、材料、窗口怎么办？</w:t>
      </w:r>
    </w:p>
    <w:p>
      <w:pPr>
        <w:spacing w:after="100" w:line="324" w:lineRule="auto"/>
      </w:pPr>
      <w:r>
        <w:t>答：应在首答后提示继续回溯原始文件或专题细则，不宜凭目录型信息直接推断。</w:t>
      </w:r>
    </w:p>
    <w:p>
      <w:pPr>
        <w:pStyle w:val="MyH1"/>
      </w:pPr>
      <w:r>
        <w:t>六、检索建议（增强版）</w:t>
      </w:r>
    </w:p>
    <w:p>
      <w:pPr>
        <w:spacing w:after="40"/>
        <w:ind w:left="312" w:hanging="198"/>
      </w:pPr>
      <w:r>
        <w:t>• 问“福建省有没有工程师政策 / 工程技术人才政策”时：优先命中本专题“工程师队伍建设”部分，再补《福建省近期申报与专项支持专题（问答增强版）》。</w:t>
      </w:r>
    </w:p>
    <w:p>
      <w:pPr>
        <w:spacing w:after="40"/>
        <w:ind w:left="312" w:hanging="198"/>
      </w:pPr>
      <w:r>
        <w:t>• 问“福建省有没有博士后支持 / 博士后七条措施”时：优先命中本专题“博士后工作”部分，再补主文档 v2 和近期申报专题。</w:t>
      </w:r>
    </w:p>
    <w:p>
      <w:pPr>
        <w:spacing w:after="40"/>
        <w:ind w:left="312" w:hanging="198"/>
      </w:pPr>
      <w:r>
        <w:t>• 问“博士后能不能申报百人计划 / 创业人才 / 创新人才”时：优先命中本专题博士后部分，同时补引才“百人计划”专题。</w:t>
      </w:r>
    </w:p>
    <w:p>
      <w:pPr>
        <w:spacing w:after="40"/>
        <w:ind w:left="312" w:hanging="198"/>
      </w:pPr>
      <w:r>
        <w:t>• 问“福建省高层次人才认定条件是什么”时：不应只返回本专题，必须优先命中认定与支持专题。</w:t>
      </w:r>
    </w:p>
    <w:p>
      <w:pPr>
        <w:spacing w:after="40"/>
        <w:ind w:left="312" w:hanging="198"/>
      </w:pPr>
      <w:r>
        <w:t>• 问“厦门有哪些博士后或工程师政策”时：本专题不应作为首答材料，只能在厦门市级材料不足时作上位补充。</w:t>
      </w:r>
    </w:p>
    <w:p/>
    <w:p>
      <w:pPr>
        <w:jc w:val="center"/>
      </w:pPr>
      <w:r>
        <w:rPr>
          <w:i/>
          <w:color w:val="6E6E6E"/>
        </w:rPr>
        <w:t>—— 本文档适合作为福建省级知识库专题补充文档导入 ——</w:t>
      </w:r>
    </w:p>
    <w:sectPr w:rsidR="00FC693F" w:rsidRPr="0006063C" w:rsidSect="00034616">
      <w:pgSz w:w="12240" w:h="15840"/>
      <w:pgMar w:top="1247" w:right="1191"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yTitle">
    <w:name w:val="MyTitle"/>
    <w:rPr>
      <w:rFonts w:ascii="Microsoft YaHei" w:hAnsi="Microsoft YaHei" w:eastAsia="Microsoft YaHei"/>
      <w:b/>
      <w:color w:val="1F4E79"/>
      <w:sz w:val="40"/>
    </w:rPr>
  </w:style>
  <w:style w:type="paragraph" w:customStyle="1" w:styleId="MyH1">
    <w:name w:val="MyH1"/>
    <w:basedOn w:val="Heading1"/>
    <w:rPr>
      <w:rFonts w:ascii="Microsoft YaHei" w:hAnsi="Microsoft YaHei" w:eastAsia="Microsoft YaHei"/>
      <w:b/>
      <w:color w:val="1F4E79"/>
      <w:sz w:val="30"/>
    </w:rPr>
  </w:style>
  <w:style w:type="paragraph" w:customStyle="1" w:styleId="MyH2">
    <w:name w:val="MyH2"/>
    <w:basedOn w:val="Heading2"/>
    <w:rPr>
      <w:rFonts w:ascii="Microsoft YaHei" w:hAnsi="Microsoft YaHei" w:eastAsia="Microsoft YaHei"/>
      <w:b/>
      <w:color w:val="366092"/>
      <w:sz w:val="25"/>
    </w:rPr>
  </w:style>
  <w:style w:type="paragraph" w:customStyle="1" w:styleId="MyH3">
    <w:name w:val="MyH3"/>
    <w:basedOn w:val="Heading3"/>
    <w:rPr>
      <w:rFonts w:ascii="Microsoft YaHei" w:hAnsi="Microsoft YaHei" w:eastAsia="Microsoft YaHei"/>
      <w:b/>
      <w:color w:val="4F81BD"/>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