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福建省四大经济专项认定专题</w:t>
        <w:br/>
        <w:t>（问答增强版）</w:t>
      </w:r>
    </w:p>
    <w:p>
      <w:pPr>
        <w:jc w:val="center"/>
      </w:pPr>
      <w:r>
        <w:rPr>
          <w:i/>
        </w:rPr>
        <w:t>数字经济 / 海洋经济 / 绿色经济 / 文旅经济</w:t>
      </w:r>
    </w:p>
    <w:tbl>
      <w:tblPr>
        <w:tblW w:type="auto" w:w="0"/>
        <w:jc w:val="center"/>
        <w:tblLook w:firstColumn="1" w:firstRow="1" w:lastColumn="0" w:lastRow="0" w:noHBand="0" w:noVBand="1" w:val="04A0"/>
        <w:tblBorders>
          <w:top w:val="single" w:sz="8" w:color="B4C7E7"/>
          <w:left w:val="single" w:sz="8" w:color="B4C7E7"/>
          <w:bottom w:val="single" w:sz="8" w:color="B4C7E7"/>
          <w:right w:val="single" w:sz="8" w:color="B4C7E7"/>
          <w:insideH w:val="single" w:sz="8" w:color="B4C7E7"/>
          <w:insideV w:val="single" w:sz="8" w:color="B4C7E7"/>
        </w:tblBorders>
      </w:tblPr>
      <w:tblGrid>
        <w:gridCol w:w="9632"/>
      </w:tblGrid>
      <w:tr>
        <w:tc>
          <w:tcPr>
            <w:tcW w:type="dxa" w:w="9632"/>
            <w:shd w:fill="F4F8FC"/>
            <w:tcMar>
              <w:top w:w="160" w:type="dxa"/>
              <w:start w:w="180" w:type="dxa"/>
              <w:bottom w:w="160" w:type="dxa"/>
              <w:end w:w="180" w:type="dxa"/>
            </w:tcMar>
          </w:tcPr>
          <w:p>
            <w:r>
              <w:t>文档定位：围绕《福建省高层次人才认定和支持办法（2023修订版）》中的“四大经济”专项认定条件进行问答增强整理，适合回答‘福建省四大经济专项怎么认定’‘数字经济/海洋经济/绿色经济/文旅经济人才有哪些专项入口’等问题。</w:t>
            </w:r>
          </w:p>
        </w:tc>
      </w:tr>
    </w:tbl>
    <w:p>
      <w:r>
        <w:t>使用边界：本专题属于福建省级上位政策材料，适合回答省级认定口径；当用户问题明确指向厦门市级人才项目清单时，只能作为上位政策参考。</w:t>
      </w:r>
    </w:p>
    <w:p>
      <w:pPr>
        <w:pStyle w:val="Heading1"/>
      </w:pPr>
      <w:r>
        <w:t>一、专题总览</w:t>
      </w:r>
    </w:p>
    <w:p>
      <w:pPr>
        <w:pStyle w:val="ListBullet"/>
      </w:pPr>
      <w:r>
        <w:t>福建省高层次人才在通用认定体系之外，针对数字经济、海洋经济、绿色经济、文旅经济四类关键领域设置了专项认定条件。</w:t>
      </w:r>
    </w:p>
    <w:p>
      <w:pPr>
        <w:pStyle w:val="ListBullet"/>
      </w:pPr>
      <w:r>
        <w:t>四类专项仍然依托特级、A 类、B 类、C 类框架运行，重点解决关键产业急需紧缺人才的专项认定问题。</w:t>
      </w:r>
    </w:p>
    <w:p>
      <w:pPr>
        <w:pStyle w:val="ListBullet"/>
      </w:pPr>
      <w:r>
        <w:t>专项条款普遍强调企业体量、项目资金额、风投资金、前沿平台、行业荣誉、赛事成绩和同行专家评价等口径。</w:t>
      </w:r>
    </w:p>
    <w:p>
      <w:pPr>
        <w:pStyle w:val="ListBullet"/>
      </w:pPr>
      <w:r>
        <w:t>认定后仍可衔接省级高层次人才支持政策，如安家补助、子女教育、医疗保障、住房保障、专项服务等。</w:t>
      </w:r>
    </w:p>
    <w:p>
      <w:pPr>
        <w:pStyle w:val="Heading1"/>
      </w:pPr>
      <w:r>
        <w:t>二、数字经济专项认定要点</w:t>
      </w:r>
    </w:p>
    <w:p>
      <w:r>
        <w:t>适合回答：人工智能、大数据、区块链、物联网、工业互联网、智能制造等方向的人才如何走省级专项认定。</w:t>
      </w:r>
    </w:p>
    <w:tbl>
      <w:tblPr>
        <w:tblW w:type="auto" w:w="0"/>
        <w:jc w:val="center"/>
        <w:tblLook w:firstColumn="1" w:firstRow="1" w:lastColumn="0" w:lastRow="0" w:noHBand="0" w:noVBand="1" w:val="04A0"/>
        <w:tblBorders>
          <w:top w:val="single" w:sz="6" w:color="C6D9F1"/>
          <w:left w:val="single" w:sz="6" w:color="C6D9F1"/>
          <w:bottom w:val="single" w:sz="6" w:color="C6D9F1"/>
          <w:right w:val="single" w:sz="6" w:color="C6D9F1"/>
          <w:insideH w:val="single" w:sz="6" w:color="C6D9F1"/>
          <w:insideV w:val="single" w:sz="6" w:color="C6D9F1"/>
        </w:tblBorders>
      </w:tblPr>
      <w:tblGrid>
        <w:gridCol w:w="3211"/>
        <w:gridCol w:w="3211"/>
        <w:gridCol w:w="3211"/>
      </w:tblGrid>
      <w:tr>
        <w:tc>
          <w:tcPr>
            <w:tcW w:type="dxa" w:w="3211"/>
            <w:shd w:fill="DCE6F1"/>
            <w:tcMar>
              <w:top w:w="120" w:type="dxa"/>
              <w:start w:w="120" w:type="dxa"/>
              <w:bottom w:w="120" w:type="dxa"/>
              <w:end w:w="120" w:type="dxa"/>
            </w:tcMar>
          </w:tcPr>
          <w:p>
            <w:pPr>
              <w:jc w:val="center"/>
            </w:pPr>
            <w:r>
              <w:rPr>
                <w:b/>
              </w:rPr>
              <w:t>层级</w:t>
            </w:r>
          </w:p>
        </w:tc>
        <w:tc>
          <w:tcPr>
            <w:tcW w:type="dxa" w:w="3211"/>
            <w:shd w:fill="DCE6F1"/>
            <w:tcMar>
              <w:top w:w="120" w:type="dxa"/>
              <w:start w:w="120" w:type="dxa"/>
              <w:bottom w:w="120" w:type="dxa"/>
              <w:end w:w="120" w:type="dxa"/>
            </w:tcMar>
          </w:tcPr>
          <w:p>
            <w:pPr>
              <w:jc w:val="center"/>
            </w:pPr>
            <w:r>
              <w:rPr>
                <w:b/>
              </w:rPr>
              <w:t>典型入口</w:t>
            </w:r>
          </w:p>
        </w:tc>
        <w:tc>
          <w:tcPr>
            <w:tcW w:type="dxa" w:w="3211"/>
            <w:shd w:fill="DCE6F1"/>
            <w:tcMar>
              <w:top w:w="120" w:type="dxa"/>
              <w:start w:w="120" w:type="dxa"/>
              <w:bottom w:w="120" w:type="dxa"/>
              <w:end w:w="120" w:type="dxa"/>
            </w:tcMar>
          </w:tcPr>
          <w:p>
            <w:pPr>
              <w:jc w:val="center"/>
            </w:pPr>
            <w:r>
              <w:rPr>
                <w:b/>
              </w:rPr>
              <w:t>代表性要点</w:t>
            </w:r>
          </w:p>
        </w:tc>
      </w:tr>
      <w:tr>
        <w:tc>
          <w:tcPr>
            <w:tcW w:type="dxa" w:w="3211"/>
            <w:tcMar>
              <w:top w:w="120" w:type="dxa"/>
              <w:start w:w="120" w:type="dxa"/>
              <w:bottom w:w="120" w:type="dxa"/>
              <w:end w:w="120" w:type="dxa"/>
            </w:tcMar>
            <w:vAlign w:val="center"/>
          </w:tcPr>
          <w:p>
            <w:pPr>
              <w:jc w:val="center"/>
            </w:pPr>
            <w:r>
              <w:t>A类</w:t>
            </w:r>
          </w:p>
        </w:tc>
        <w:tc>
          <w:tcPr>
            <w:tcW w:type="dxa" w:w="3211"/>
            <w:tcMar>
              <w:top w:w="120" w:type="dxa"/>
              <w:start w:w="120" w:type="dxa"/>
              <w:bottom w:w="120" w:type="dxa"/>
              <w:end w:w="120" w:type="dxa"/>
            </w:tcMar>
            <w:vAlign w:val="center"/>
          </w:tcPr>
          <w:p>
            <w:pPr>
              <w:jc w:val="left"/>
            </w:pPr>
            <w:r>
              <w:t>头部企业 / 国家级平台 / 国际标准</w:t>
            </w:r>
          </w:p>
        </w:tc>
        <w:tc>
          <w:tcPr>
            <w:tcW w:type="dxa" w:w="3211"/>
            <w:tcMar>
              <w:top w:w="120" w:type="dxa"/>
              <w:start w:w="120" w:type="dxa"/>
              <w:bottom w:w="120" w:type="dxa"/>
              <w:end w:w="120" w:type="dxa"/>
            </w:tcMar>
            <w:vAlign w:val="center"/>
          </w:tcPr>
          <w:p>
            <w:pPr>
              <w:jc w:val="left"/>
            </w:pPr>
            <w:r>
              <w:t>如累计获得1亿元以上风投的数字经济企业负责人、全球数字经济100强企业核心负责人、国家级新一代人工智能开放创新平台负责人、5G创新中心或实验室负责人等。</w:t>
            </w:r>
          </w:p>
        </w:tc>
      </w:tr>
      <w:tr>
        <w:tc>
          <w:tcPr>
            <w:tcW w:type="dxa" w:w="3211"/>
            <w:tcMar>
              <w:top w:w="120" w:type="dxa"/>
              <w:start w:w="120" w:type="dxa"/>
              <w:bottom w:w="120" w:type="dxa"/>
              <w:end w:w="120" w:type="dxa"/>
            </w:tcMar>
            <w:vAlign w:val="center"/>
          </w:tcPr>
          <w:p>
            <w:pPr>
              <w:jc w:val="center"/>
            </w:pPr>
            <w:r>
              <w:t>B类</w:t>
            </w:r>
          </w:p>
        </w:tc>
        <w:tc>
          <w:tcPr>
            <w:tcW w:type="dxa" w:w="3211"/>
            <w:tcMar>
              <w:top w:w="120" w:type="dxa"/>
              <w:start w:w="120" w:type="dxa"/>
              <w:bottom w:w="120" w:type="dxa"/>
              <w:end w:w="120" w:type="dxa"/>
            </w:tcMar>
            <w:vAlign w:val="center"/>
          </w:tcPr>
          <w:p>
            <w:pPr>
              <w:jc w:val="left"/>
            </w:pPr>
            <w:r>
              <w:t>骨干企业 / 国家项目 / 高薪专家</w:t>
            </w:r>
          </w:p>
        </w:tc>
        <w:tc>
          <w:tcPr>
            <w:tcW w:type="dxa" w:w="3211"/>
            <w:tcMar>
              <w:top w:w="120" w:type="dxa"/>
              <w:start w:w="120" w:type="dxa"/>
              <w:bottom w:w="120" w:type="dxa"/>
              <w:end w:w="120" w:type="dxa"/>
            </w:tcMar>
            <w:vAlign w:val="center"/>
          </w:tcPr>
          <w:p>
            <w:pPr>
              <w:jc w:val="left"/>
            </w:pPr>
            <w:r>
              <w:t>如年营收1亿元以上数字产业化企业负责人、年营收8亿元以上产业数字化企业首席信息官、获5000万元以上风投企业负责人、国家级重大项目负责人、著名学术组织会士等。</w:t>
            </w:r>
          </w:p>
        </w:tc>
      </w:tr>
      <w:tr>
        <w:tc>
          <w:tcPr>
            <w:tcW w:type="dxa" w:w="3211"/>
            <w:tcMar>
              <w:top w:w="120" w:type="dxa"/>
              <w:start w:w="120" w:type="dxa"/>
              <w:bottom w:w="120" w:type="dxa"/>
              <w:end w:w="120" w:type="dxa"/>
            </w:tcMar>
            <w:vAlign w:val="center"/>
          </w:tcPr>
          <w:p>
            <w:pPr>
              <w:jc w:val="center"/>
            </w:pPr>
            <w:r>
              <w:t>C类</w:t>
            </w:r>
          </w:p>
        </w:tc>
        <w:tc>
          <w:tcPr>
            <w:tcW w:type="dxa" w:w="3211"/>
            <w:tcMar>
              <w:top w:w="120" w:type="dxa"/>
              <w:start w:w="120" w:type="dxa"/>
              <w:bottom w:w="120" w:type="dxa"/>
              <w:end w:w="120" w:type="dxa"/>
            </w:tcMar>
            <w:vAlign w:val="center"/>
          </w:tcPr>
          <w:p>
            <w:pPr>
              <w:jc w:val="left"/>
            </w:pPr>
            <w:r>
              <w:t>成长型企业 / 省级平台 / 实战专家</w:t>
            </w:r>
          </w:p>
        </w:tc>
        <w:tc>
          <w:tcPr>
            <w:tcW w:type="dxa" w:w="3211"/>
            <w:tcMar>
              <w:top w:w="120" w:type="dxa"/>
              <w:start w:w="120" w:type="dxa"/>
              <w:bottom w:w="120" w:type="dxa"/>
              <w:end w:w="120" w:type="dxa"/>
            </w:tcMar>
            <w:vAlign w:val="center"/>
          </w:tcPr>
          <w:p>
            <w:pPr>
              <w:jc w:val="left"/>
            </w:pPr>
            <w:r>
              <w:t>如年营收6000万元以上数字企业负责人、获3000万元以上风投企业负责人、省级人工智能/物联网创新中心负责人，或从事数字经济科研技术5年以上并达到较高薪酬标准的人才。</w:t>
            </w:r>
          </w:p>
        </w:tc>
      </w:tr>
    </w:tbl>
    <w:p>
      <w:r>
        <w:t>数字经济专项的高频识别词包括：人工智能、大数据、区块链、物联网、工业互联网、智能制造、5G、开放创新平台、前沿科技平台、系统架构师、网络安全赛事、数字标准制定等。</w:t>
      </w:r>
    </w:p>
    <w:p>
      <w:pPr>
        <w:pStyle w:val="Heading1"/>
      </w:pPr>
      <w:r>
        <w:t>三、海洋经济专项认定要点</w:t>
      </w:r>
    </w:p>
    <w:p>
      <w:pPr>
        <w:pStyle w:val="ListBullet"/>
      </w:pPr>
      <w:r>
        <w:t>A 类侧重国家级重大项目负责人（单个项目国家支持资金超过 1 亿元）、海洋经济领域 1 亿元以上风投企业负责人、国家级平台负责人、发达国家相关研究所所长或国家实验室主任、农业农村部现代农业产业技术体系首席科学家等。</w:t>
      </w:r>
    </w:p>
    <w:p>
      <w:pPr>
        <w:pStyle w:val="ListBullet"/>
      </w:pPr>
      <w:r>
        <w:t>B 类侧重国家级重大项目负责人（单个项目国家支持资金超过 5000 万元）、5000 万元以上风投企业负责人、国家级平台副主任、农业农村部现代农业产业技术体系岗位科学家等。</w:t>
      </w:r>
    </w:p>
    <w:p>
      <w:pPr>
        <w:pStyle w:val="ListBullet"/>
      </w:pPr>
      <w:r>
        <w:t>C 类侧重国家级重大项目负责人（单个项目国家支持资金超过 3000 万元）或 3000 万元以上风投企业负责人等。</w:t>
      </w:r>
    </w:p>
    <w:p>
      <w:pPr>
        <w:pStyle w:val="ListBullet"/>
      </w:pPr>
      <w:r>
        <w:t>海洋经济专项还强调行业协会、学会科技奖等奖项说明，典型包括中国海洋学会、中国海洋湖沼学会、中国造船工程学会等口径。</w:t>
      </w:r>
    </w:p>
    <w:p>
      <w:pPr>
        <w:pStyle w:val="Heading1"/>
      </w:pPr>
      <w:r>
        <w:t>四、绿色经济专项认定要点</w:t>
      </w:r>
    </w:p>
    <w:p>
      <w:pPr>
        <w:pStyle w:val="ListBullet"/>
      </w:pPr>
      <w:r>
        <w:t>A 类重点关注年营收 100 亿元以上或年纳税额 10 亿元以上绿色产业企业负责人，或获得国家级重大项目（单个项目国家支持资金超过 5000 万元）的负责人。</w:t>
      </w:r>
    </w:p>
    <w:p>
      <w:pPr>
        <w:pStyle w:val="ListBullet"/>
      </w:pPr>
      <w:r>
        <w:t>B 类重点关注年营收 30 亿元以上或年纳税额 3 亿元以上企业负责人、国家级重大项目（单个项目国家支持资金超过 3000 万元）负责人，以及具有 10 年以上实践经验、负责 5 个及以上国家级绿色经济重大项目且达到较高薪酬标准的专家。</w:t>
      </w:r>
    </w:p>
    <w:p>
      <w:pPr>
        <w:pStyle w:val="ListBullet"/>
      </w:pPr>
      <w:r>
        <w:t>C 类重点关注年营收 10 亿元以上或年纳税额 1 亿元以上企业负责人、国家级重大项目（单个项目国家支持资金超过 1500 万元）负责人，以及从事绿色经济科研技术或项目实践并达到相应薪酬标准的专业人才。</w:t>
      </w:r>
    </w:p>
    <w:p>
      <w:r>
        <w:t>绿色经济专项典型适配领域包括：节能环保、资源综合利用、循环经济、能源清洁开发与高效利用等。</w:t>
      </w:r>
    </w:p>
    <w:p>
      <w:pPr>
        <w:pStyle w:val="Heading1"/>
      </w:pPr>
      <w:r>
        <w:t>五、文旅经济专项认定要点</w:t>
      </w:r>
    </w:p>
    <w:p>
      <w:pPr>
        <w:pStyle w:val="ListBullet"/>
      </w:pPr>
      <w:r>
        <w:t>A 类可关注全球排名前 10 位酒店管理集团总部高级管理人员。</w:t>
      </w:r>
    </w:p>
    <w:p>
      <w:pPr>
        <w:pStyle w:val="ListBullet"/>
      </w:pPr>
      <w:r>
        <w:t>B 类可关注中国旅游集团20强、全国文化企业30强企业高管，中国旅游协会等协会会长，中国旅游演艺机构十强总导演/总策划/演艺总监，以及具有 5A 级旅游景区或主题公园规划运营经验并达到较高薪酬标准的专业人才；全国导游大赛金牌获得者也是典型口径。</w:t>
      </w:r>
    </w:p>
    <w:p>
      <w:pPr>
        <w:pStyle w:val="ListBullet"/>
      </w:pPr>
      <w:r>
        <w:t>C 类可关注大型文化企业高管、相关协会副会长、旅游演艺机构副总导演/副总监、具有国际高端连锁品牌酒店或国内五星级饭店管理经验的人才、主要语种旅游行业高级翻译人才，以及邮轮游艇高级管理和专业人才；全国星级饭店行业技能竞赛获奖者、全国导游大赛银牌获得者也可作为参考入口。</w:t>
      </w:r>
    </w:p>
    <w:p>
      <w:pPr>
        <w:pStyle w:val="Heading1"/>
      </w:pPr>
      <w:r>
        <w:t>六、同行专家评价与适用场景</w:t>
      </w:r>
    </w:p>
    <w:p>
      <w:pPr>
        <w:pStyle w:val="ListBullet"/>
      </w:pPr>
      <w:r>
        <w:t>四大经济专项均设置同行专家评价通道，核心目的是处理‘总体水平已相当于 A/B/C 类，但难以完全匹配常规条款’的急需紧缺引进人才。</w:t>
      </w:r>
    </w:p>
    <w:p>
      <w:pPr>
        <w:pStyle w:val="ListBullet"/>
      </w:pPr>
      <w:r>
        <w:t>试行阶段，同行专家评价主要面向引进人才；后续是否推广到现有人才，以试行情况和后续政策安排为准。</w:t>
      </w:r>
    </w:p>
    <w:p>
      <w:pPr>
        <w:pStyle w:val="ListBullet"/>
      </w:pPr>
      <w:r>
        <w:t>A 类、B 类一般由认定单位会同行业主管部门组织行业专家盲审并召开评审会；C 类一般也需组织行业专家盲审后提出意见。</w:t>
      </w:r>
    </w:p>
    <w:p>
      <w:pPr>
        <w:pStyle w:val="ListBullet"/>
      </w:pPr>
      <w:r>
        <w:t>同行专家评价不是降低门槛，而是对高水平人才提供补充证明路径。</w:t>
      </w:r>
    </w:p>
    <w:p>
      <w:pPr>
        <w:pStyle w:val="Heading1"/>
      </w:pPr>
      <w:r>
        <w:t>七、与省级支持政策的衔接</w:t>
      </w:r>
    </w:p>
    <w:p>
      <w:pPr>
        <w:pStyle w:val="ListBullet"/>
      </w:pPr>
      <w:r>
        <w:t>认定成功后，可继续衔接省级高层次人才安家补助、子女教育、医疗保障、住房保障、出入境和居留便利、专项服务等支持政策。</w:t>
      </w:r>
    </w:p>
    <w:p>
      <w:pPr>
        <w:pStyle w:val="ListBullet"/>
      </w:pPr>
      <w:r>
        <w:t>职业发展支持还包括团队建设、人员编制、薪酬激励、税收优惠、职称评聘和专业技术评价等。</w:t>
      </w:r>
    </w:p>
    <w:p>
      <w:pPr>
        <w:pStyle w:val="ListBullet"/>
      </w:pPr>
      <w:r>
        <w:t>若用户进一步追问‘认定后能享受什么’，应转到《福建省高层次人才认定与支持专题（问答增强版）》继续回答。</w:t>
      </w:r>
    </w:p>
    <w:p>
      <w:pPr>
        <w:pStyle w:val="Heading1"/>
      </w:pPr>
      <w:r>
        <w:t>八、高频问答建议</w:t>
      </w:r>
    </w:p>
    <w:p>
      <w:r>
        <w:rPr>
          <w:b/>
          <w:color w:val="1F4E79"/>
        </w:rPr>
        <w:t>问：福建省四大经济专项包括哪些？</w:t>
      </w:r>
    </w:p>
    <w:p>
      <w:pPr>
        <w:ind w:left="340"/>
      </w:pPr>
      <w:r>
        <w:t>答：主要包括数字经济、海洋经济、绿色经济、文旅经济四类专项认定条件，是省级高层次人才认定体系的重要补充入口。</w:t>
      </w:r>
    </w:p>
    <w:p>
      <w:r>
        <w:rPr>
          <w:b/>
          <w:color w:val="1F4E79"/>
        </w:rPr>
        <w:t>问：数字经济专项更看重什么？</w:t>
      </w:r>
    </w:p>
    <w:p>
      <w:pPr>
        <w:ind w:left="340"/>
      </w:pPr>
      <w:r>
        <w:t>答：更看重企业体量、风投金额、国家级平台或重大项目、行业权威赛事和高水平专家/架构师实践。</w:t>
      </w:r>
    </w:p>
    <w:p>
      <w:r>
        <w:rPr>
          <w:b/>
          <w:color w:val="1F4E79"/>
        </w:rPr>
        <w:t>问：海洋经济专项是不是只看论文？</w:t>
      </w:r>
    </w:p>
    <w:p>
      <w:pPr>
        <w:ind w:left="340"/>
      </w:pPr>
      <w:r>
        <w:t>答：不是，更常见的是重大项目、风投资本、前沿平台、产业技术体系和行业奖项口径。</w:t>
      </w:r>
    </w:p>
    <w:p>
      <w:r>
        <w:rPr>
          <w:b/>
          <w:color w:val="1F4E79"/>
        </w:rPr>
        <w:t>问：绿色经济专项怎么判断层级？</w:t>
      </w:r>
    </w:p>
    <w:p>
      <w:pPr>
        <w:ind w:left="340"/>
      </w:pPr>
      <w:r>
        <w:t>答：一般可从企业营收和纳税规模、国家级项目资金额、实践年限和薪酬水平等维度判断。</w:t>
      </w:r>
    </w:p>
    <w:p>
      <w:r>
        <w:rPr>
          <w:b/>
          <w:color w:val="1F4E79"/>
        </w:rPr>
        <w:t>问：文旅经济专项有哪些特殊入口？</w:t>
      </w:r>
    </w:p>
    <w:p>
      <w:pPr>
        <w:ind w:left="340"/>
      </w:pPr>
      <w:r>
        <w:t>答：除了文旅头部企业和协会，还包括旅游演艺、景区规划运营、高端酒店管理、旅游翻译、邮轮游艇等细分方向。</w:t>
      </w:r>
    </w:p>
    <w:p>
      <w:r>
        <w:rPr>
          <w:b/>
          <w:color w:val="1F4E79"/>
        </w:rPr>
        <w:t>问：条件不完全匹配怎么办？</w:t>
      </w:r>
    </w:p>
    <w:p>
      <w:pPr>
        <w:ind w:left="340"/>
      </w:pPr>
      <w:r>
        <w:t>答：可关注同行专家评价通道，但当前主要适用于引进人才，且仍需经过专业评审。</w:t>
      </w:r>
    </w:p>
    <w:p>
      <w:pPr>
        <w:pStyle w:val="Heading1"/>
      </w:pPr>
      <w:r>
        <w:t>九、检索与路由建议</w:t>
      </w:r>
    </w:p>
    <w:p>
      <w:pPr>
        <w:pStyle w:val="ListBullet"/>
      </w:pPr>
      <w:r>
        <w:t>问‘福建省四大经济专项怎么认定’时，应优先命中本专题，不要直接回到通用 A/B/C 条件全文。</w:t>
      </w:r>
    </w:p>
    <w:p>
      <w:pPr>
        <w:pStyle w:val="ListBullet"/>
      </w:pPr>
      <w:r>
        <w:t>问‘人工智能、大数据、区块链、工业互联网人才如何认定’时，应优先命中数字经济专项，再补主干认定与支持专题。</w:t>
      </w:r>
    </w:p>
    <w:p>
      <w:pPr>
        <w:pStyle w:val="ListBullet"/>
      </w:pPr>
      <w:r>
        <w:t>问‘海洋经济企业负责人/重大项目负责人是否可认定’时，应优先命中海洋经济专项。</w:t>
      </w:r>
    </w:p>
    <w:p>
      <w:pPr>
        <w:pStyle w:val="ListBullet"/>
      </w:pPr>
      <w:r>
        <w:t>问‘节能环保、循环经济、清洁能源人才怎么认定’时，应优先命中绿色经济专项。</w:t>
      </w:r>
    </w:p>
    <w:p>
      <w:pPr>
        <w:pStyle w:val="ListBullet"/>
      </w:pPr>
      <w:r>
        <w:t>问‘酒店管理、旅游演艺、文旅规划、翻译、邮轮游艇人才怎么认定’时，应优先命中文旅经济专项。</w:t>
      </w:r>
    </w:p>
    <w:p>
      <w:pPr>
        <w:pStyle w:val="ListBullet"/>
      </w:pPr>
      <w:r>
        <w:t>当用户问题明确指向厦门市级项目清单时，本专题不能替代厦门市级文档，只能作为省级上位政策参考。</w:t>
      </w:r>
    </w:p>
    <w:p>
      <w:pPr>
        <w:jc w:val="center"/>
      </w:pPr>
      <w:r>
        <w:t>—— 结束 ——</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