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Microsoft YaHei" w:hAnsi="Microsoft YaHei" w:eastAsia="Microsoft YaHei"/>
          <w:b/>
          <w:color w:val="163D73"/>
          <w:sz w:val="48"/>
        </w:rPr>
        <w:t>专项资金专题（问答增强版）</w:t>
      </w:r>
    </w:p>
    <w:p>
      <w:pPr>
        <w:spacing w:after="280"/>
        <w:jc w:val="center"/>
      </w:pPr>
      <w:r>
        <w:rPr>
          <w:rFonts w:ascii="Microsoft YaHei" w:hAnsi="Microsoft YaHei" w:eastAsia="Microsoft YaHei"/>
          <w:color w:val="5C718B"/>
          <w:sz w:val="21"/>
        </w:rPr>
        <w:t>基于《厦门市高层次人才专项资金管理办法》（厦委组〔2024〕46号）及相关市级人才政策整理｜适合作为知识库专题补充文档</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b/>
                <w:color w:val="374151"/>
                <w:sz w:val="22"/>
              </w:rPr>
            </w:r>
            <w:r>
              <w:rPr>
                <w:rFonts w:ascii="Microsoft YaHei" w:hAnsi="Microsoft YaHei" w:eastAsia="Microsoft YaHei"/>
                <w:b/>
                <w:color w:val="374151"/>
                <w:sz w:val="22"/>
              </w:rPr>
              <w:t>专题定位：</w:t>
            </w:r>
            <w:r>
              <w:rPr>
                <w:rFonts w:ascii="Microsoft YaHei" w:hAnsi="Microsoft YaHei" w:eastAsia="Microsoft YaHei"/>
                <w:b/>
                <w:color w:val="374151"/>
                <w:sz w:val="22"/>
              </w:rPr>
              <w:t>资金规则 / 拨付口径 / 使用边界</w:t>
            </w:r>
          </w:p>
        </w:tc>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sz w:val="22"/>
              </w:rPr>
            </w:r>
            <w:r>
              <w:rPr>
                <w:rFonts w:ascii="Microsoft YaHei" w:hAnsi="Microsoft YaHei" w:eastAsia="Microsoft YaHei"/>
                <w:b/>
                <w:color w:val="1F3B63"/>
                <w:sz w:val="22"/>
              </w:rPr>
              <w:t>适用问题：</w:t>
            </w:r>
            <w:r>
              <w:rPr>
                <w:rFonts w:ascii="Microsoft YaHei" w:hAnsi="Microsoft YaHei" w:eastAsia="Microsoft YaHei"/>
                <w:color w:val="222222"/>
                <w:sz w:val="22"/>
              </w:rPr>
              <w:t>专项资金支持谁、补助多少、钱怎么拨、怎么用、哪些情况会追回</w:t>
            </w:r>
          </w:p>
        </w:tc>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sz w:val="22"/>
              </w:rPr>
            </w:r>
            <w:r>
              <w:rPr>
                <w:rFonts w:ascii="Microsoft YaHei" w:hAnsi="Microsoft YaHei" w:eastAsia="Microsoft YaHei"/>
                <w:b/>
                <w:color w:val="1F3B63"/>
                <w:sz w:val="22"/>
              </w:rPr>
              <w:t>回答边界：</w:t>
            </w:r>
            <w:r>
              <w:rPr>
                <w:rFonts w:ascii="Microsoft YaHei" w:hAnsi="Microsoft YaHei" w:eastAsia="Microsoft YaHei"/>
                <w:color w:val="222222"/>
                <w:sz w:val="22"/>
              </w:rPr>
              <w:t>年度公告、申请表单、第三方审计细则等仍应回溯正式文件</w:t>
            </w:r>
          </w:p>
        </w:tc>
      </w:tr>
      <w:tr>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b/>
                <w:color w:val="374151"/>
                <w:sz w:val="22"/>
              </w:rPr>
            </w:r>
            <w:r>
              <w:rPr>
                <w:rFonts w:ascii="Microsoft YaHei" w:hAnsi="Microsoft YaHei" w:eastAsia="Microsoft YaHei"/>
                <w:b/>
                <w:color w:val="374151"/>
                <w:sz w:val="22"/>
              </w:rPr>
              <w:t>核心关联：</w:t>
            </w:r>
            <w:r>
              <w:rPr>
                <w:rFonts w:ascii="Microsoft YaHei" w:hAnsi="Microsoft YaHei" w:eastAsia="Microsoft YaHei"/>
                <w:b/>
                <w:color w:val="374151"/>
                <w:sz w:val="22"/>
              </w:rPr>
              <w:t>与“双百计划”实施意见、特聘岗位实施方案、群鹭兴厦总纲衔接</w:t>
            </w:r>
          </w:p>
        </w:tc>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sz w:val="22"/>
              </w:rPr>
            </w:r>
            <w:r>
              <w:rPr>
                <w:rFonts w:ascii="Microsoft YaHei" w:hAnsi="Microsoft YaHei" w:eastAsia="Microsoft YaHei"/>
                <w:b/>
                <w:color w:val="1F3B63"/>
                <w:sz w:val="22"/>
              </w:rPr>
              <w:t>适用场景：</w:t>
            </w:r>
            <w:r>
              <w:rPr>
                <w:rFonts w:ascii="Microsoft YaHei" w:hAnsi="Microsoft YaHei" w:eastAsia="Microsoft YaHei"/>
                <w:color w:val="222222"/>
                <w:sz w:val="22"/>
              </w:rPr>
              <w:t>知识库专题补充、待遇型问答、流程型问答、风险型问答</w:t>
            </w:r>
          </w:p>
        </w:tc>
        <w:tc>
          <w:tcPr>
            <w:tcW w:type="dxa" w:w="306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5F9FF"/>
          </w:tcPr>
          <w:p>
            <w:pPr>
              <w:spacing w:after="0" w:before="0" w:line="324" w:lineRule="auto"/>
            </w:pPr>
            <w:r>
              <w:rPr>
                <w:rFonts w:ascii="Microsoft YaHei" w:hAnsi="Microsoft YaHei" w:eastAsia="Microsoft YaHei"/>
                <w:sz w:val="22"/>
              </w:rPr>
            </w:r>
            <w:r>
              <w:rPr>
                <w:rFonts w:ascii="Microsoft YaHei" w:hAnsi="Microsoft YaHei" w:eastAsia="Microsoft YaHei"/>
                <w:b/>
                <w:color w:val="1F3B63"/>
                <w:sz w:val="22"/>
              </w:rPr>
              <w:t>使用建议：</w:t>
            </w:r>
            <w:r>
              <w:rPr>
                <w:rFonts w:ascii="Microsoft YaHei" w:hAnsi="Microsoft YaHei" w:eastAsia="Microsoft YaHei"/>
                <w:color w:val="222222"/>
                <w:sz w:val="22"/>
              </w:rPr>
              <w:t>首答优先命中本专题；涉及项目申报时再联动对应专项政策</w:t>
            </w:r>
          </w:p>
        </w:tc>
      </w:tr>
    </w:tbl>
    <w:p>
      <w:pPr>
        <w:spacing w:after="200"/>
      </w:pPr>
      <w:r>
        <w:t>说明：本专题重点回答“专项资金支持对象、支持标准、拨付规则、用途约束、监督管理、终止资助与追回”等高频问题，便于知识库在待遇型和风险型问答中优先召回。</w:t>
      </w:r>
    </w:p>
    <w:p>
      <w:pPr>
        <w:spacing w:before="160" w:after="80"/>
      </w:pPr>
      <w:r>
        <w:rPr>
          <w:rFonts w:ascii="Microsoft YaHei" w:hAnsi="Microsoft YaHei" w:eastAsia="Microsoft YaHei"/>
          <w:b/>
          <w:color w:val="163D73"/>
          <w:sz w:val="36"/>
        </w:rPr>
        <w:t>一、政策概览</w:t>
      </w:r>
    </w:p>
    <w:tbl>
      <w:tblPr>
        <w:tblW w:type="auto" w:w="0"/>
        <w:jc w:val="center"/>
        <w:tblLayout w:type="fixed"/>
        <w:tblLook w:firstColumn="1" w:firstRow="1" w:lastColumn="0" w:lastRow="0" w:noHBand="0" w:noVBand="1" w:val="04A0"/>
      </w:tblPr>
      <w:tblGrid>
        <w:gridCol w:w="4873"/>
        <w:gridCol w:w="4873"/>
      </w:tblGrid>
      <w:tr>
        <w:tc>
          <w:tcPr>
            <w:tcW w:type="dxa" w:w="260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政策名称</w:t>
            </w:r>
          </w:p>
        </w:tc>
        <w:tc>
          <w:tcPr>
            <w:tcW w:type="dxa" w:w="669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厦门市高层次人才专项资金管理办法</w:t>
            </w:r>
          </w:p>
        </w:tc>
      </w:tr>
      <w:tr>
        <w:tc>
          <w:tcPr>
            <w:tcW w:type="dxa" w:w="260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文号</w:t>
            </w:r>
          </w:p>
        </w:tc>
        <w:tc>
          <w:tcPr>
            <w:tcW w:type="dxa" w:w="669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厦委组〔2024〕46号</w:t>
            </w:r>
          </w:p>
        </w:tc>
      </w:tr>
      <w:tr>
        <w:tc>
          <w:tcPr>
            <w:tcW w:type="dxa" w:w="260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政策定位</w:t>
            </w:r>
          </w:p>
        </w:tc>
        <w:tc>
          <w:tcPr>
            <w:tcW w:type="dxa" w:w="669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明确国家级、省级、市级人才计划配套资金和“双百计划”相关专项资金的预算、拨付、使用和监管规则。</w:t>
            </w:r>
          </w:p>
        </w:tc>
      </w:tr>
      <w:tr>
        <w:tc>
          <w:tcPr>
            <w:tcW w:type="dxa" w:w="260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适用对象</w:t>
            </w:r>
          </w:p>
        </w:tc>
        <w:tc>
          <w:tcPr>
            <w:tcW w:type="dxa" w:w="669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国家级人才计划、省级人才计划、市“双百计划”创新个人/团队/创业人才及与各级人才计划有关的费用。</w:t>
            </w:r>
          </w:p>
        </w:tc>
      </w:tr>
      <w:tr>
        <w:tc>
          <w:tcPr>
            <w:tcW w:type="dxa" w:w="260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核心结论</w:t>
            </w:r>
          </w:p>
        </w:tc>
        <w:tc>
          <w:tcPr>
            <w:tcW w:type="dxa" w:w="669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本办法既回答“钱给谁、给多少、怎么拨”，也明确“钱怎么用、哪些情况会终止资助或追回”。</w:t>
            </w:r>
          </w:p>
        </w:tc>
      </w:tr>
    </w:tbl>
    <w:p>
      <w:pPr>
        <w:spacing w:before="160" w:after="80"/>
      </w:pPr>
      <w:r>
        <w:rPr>
          <w:rFonts w:ascii="Microsoft YaHei" w:hAnsi="Microsoft YaHei" w:eastAsia="Microsoft YaHei"/>
          <w:b/>
          <w:color w:val="163D73"/>
          <w:sz w:val="36"/>
        </w:rPr>
        <w:t>一、支持对象与标准</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类别</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支持对象</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标准/口径</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备注</w:t>
            </w:r>
          </w:p>
        </w:tc>
      </w:tr>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国家级人才计划</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国家级人才计划人才配套补助</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对省级补助部分按省里全额标准给予补助；市属单位入选国家级海外引才计划可获200万元，省部属单位入选可获100万元；市属单位入选国家“万人计划”可获50万元</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配套规则与上级政策衔接</w:t>
            </w:r>
          </w:p>
        </w:tc>
      </w:tr>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福建省级人才计划</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省级人才计划人才（团队）配套补助</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省引才“百人计划”创业创新团队150万元；创业创新海外个人100万元；国内个人50万元</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按省级类别区分口径</w:t>
            </w:r>
          </w:p>
        </w:tc>
      </w:tr>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市“双百计划”创新类</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创新个人、创新团队、院士及相当层次人才</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创新个人100万元；创新团队300万元；院士等顶峰人才500万元</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创新个人一次性拨付；团队和顶峰人才分两期</w:t>
            </w:r>
          </w:p>
        </w:tc>
      </w:tr>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市“双百计划”创业类</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创业人才</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2020年后入选者在5年管理期内按起步期、成长期、成熟期累计最高500万元；2020年前按A+/A/B/C类500/400/300/100万元</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支持方式与项目阶段和绩效挂钩</w:t>
            </w:r>
          </w:p>
        </w:tc>
      </w:tr>
      <w:tr>
        <w:tc>
          <w:tcPr>
            <w:tcW w:type="dxa" w:w="1644"/>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相关费用</w:t>
            </w:r>
          </w:p>
        </w:tc>
        <w:tc>
          <w:tcPr>
            <w:tcW w:type="dxa" w:w="209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其他与国家级、省级、市级人才计划有关费用</w:t>
            </w:r>
          </w:p>
        </w:tc>
        <w:tc>
          <w:tcPr>
            <w:tcW w:type="dxa" w:w="3515"/>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可纳入专项资金支持范围</w:t>
            </w:r>
          </w:p>
        </w:tc>
        <w:tc>
          <w:tcPr>
            <w:tcW w:type="dxa" w:w="204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需与人才计划直接相关</w:t>
            </w:r>
          </w:p>
        </w:tc>
      </w:tr>
    </w:tbl>
    <w:p>
      <w:pPr>
        <w:spacing w:before="160" w:after="80"/>
      </w:pPr>
      <w:r>
        <w:rPr>
          <w:rFonts w:ascii="Microsoft YaHei" w:hAnsi="Microsoft YaHei" w:eastAsia="Microsoft YaHei"/>
          <w:b/>
          <w:color w:val="163D73"/>
          <w:sz w:val="36"/>
        </w:rPr>
        <w:t>一、拨付规则与使用边界</w:t>
      </w:r>
    </w:p>
    <w:p>
      <w:pPr>
        <w:spacing w:before="200" w:after="120"/>
      </w:pPr>
      <w:r>
        <w:rPr>
          <w:rFonts w:ascii="Microsoft YaHei" w:hAnsi="Microsoft YaHei" w:eastAsia="Microsoft YaHei"/>
          <w:b/>
          <w:color w:val="204C86"/>
          <w:sz w:val="27"/>
        </w:rPr>
        <w:t>（一）创新类资金怎么拨付</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国家级人才计划、福建省级人才计划配套补助（奖励）原则上随上级补助资金同步发放。</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市“双百计划”创新个人工作生活补助一次性拨付到用人单位。</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创新团队、院士等顶峰人才工作生活补助分两期拨付：入选后拨付第一期50%，第二年考核合格后再拨付第二期50%。</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创新类项目资金视同政府奖金，其中50%用于改善人才生活条件，由用人单位拨付至人才；50%用于支持人才开展创新项目工作，需由人才申请、单位核准后使用。</w:t>
      </w:r>
    </w:p>
    <w:p>
      <w:pPr>
        <w:spacing w:before="200" w:after="120"/>
      </w:pPr>
      <w:r>
        <w:rPr>
          <w:rFonts w:ascii="Microsoft YaHei" w:hAnsi="Microsoft YaHei" w:eastAsia="Microsoft YaHei"/>
          <w:b/>
          <w:color w:val="204C86"/>
          <w:sz w:val="27"/>
        </w:rPr>
        <w:t>（二）创业类资金怎么拨付</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创业人才创业扶持资金由人才本人及创业企业提出申请，所在区（开发区）审核，市委组织部核定后分级拨付。</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2020年之前入选的创业人才，重点复核企业运营项目、实际投入、场所人员设备及注册资金到位等情况，原则上扶持资金不高于企业项目投入。</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2020年之后入选的创业人才，符合“双百计划”起步期、成长期、成熟期条件的，可申请对应阶段认定后分级拨付。</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创业人才也可选择将按发展阶段兑现的扶持资金转为所创办企业一次性股权出资，并享受政府投资基金超额收益40%让渡或优惠回购价格。</w:t>
      </w:r>
    </w:p>
    <w:p>
      <w:pPr>
        <w:spacing w:before="200" w:after="120"/>
      </w:pPr>
      <w:r>
        <w:rPr>
          <w:rFonts w:ascii="Microsoft YaHei" w:hAnsi="Microsoft YaHei" w:eastAsia="Microsoft YaHei"/>
          <w:b/>
          <w:color w:val="204C86"/>
          <w:sz w:val="27"/>
        </w:rPr>
        <w:t>（三）资金可以用于什么</w:t>
      </w:r>
    </w:p>
    <w:tbl>
      <w:tblPr>
        <w:tblW w:type="auto" w:w="0"/>
        <w:jc w:val="center"/>
        <w:tblLayout w:type="fixed"/>
        <w:tblLook w:firstColumn="1" w:firstRow="1" w:lastColumn="0" w:lastRow="0" w:noHBand="0" w:noVBand="1" w:val="04A0"/>
      </w:tblPr>
      <w:tblGrid>
        <w:gridCol w:w="3249"/>
        <w:gridCol w:w="3249"/>
        <w:gridCol w:w="3249"/>
      </w:tblGrid>
      <w:tr>
        <w:tc>
          <w:tcPr>
            <w:tcW w:type="dxa" w:w="170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资金类型</w:t>
            </w:r>
          </w:p>
        </w:tc>
        <w:tc>
          <w:tcPr>
            <w:tcW w:type="dxa" w:w="4082"/>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允许使用方向</w:t>
            </w:r>
          </w:p>
        </w:tc>
        <w:tc>
          <w:tcPr>
            <w:tcW w:type="dxa" w:w="328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不宜混淆的点</w:t>
            </w:r>
          </w:p>
        </w:tc>
      </w:tr>
      <w:tr>
        <w:tc>
          <w:tcPr>
            <w:tcW w:type="dxa" w:w="170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创新类资金</w:t>
            </w:r>
          </w:p>
        </w:tc>
        <w:tc>
          <w:tcPr>
            <w:tcW w:type="dxa" w:w="4082"/>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50%改善人才生活；50%用于仪器设备及材料购置、学术技术交流、团队建设及与本职工作有关的合理开支</w:t>
            </w:r>
          </w:p>
        </w:tc>
        <w:tc>
          <w:tcPr>
            <w:tcW w:type="dxa" w:w="328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不得抵扣人才工资待遇，不得用于与创新项目和人才无关的支出</w:t>
            </w:r>
          </w:p>
        </w:tc>
      </w:tr>
      <w:tr>
        <w:tc>
          <w:tcPr>
            <w:tcW w:type="dxa" w:w="170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创业类资金</w:t>
            </w:r>
          </w:p>
        </w:tc>
        <w:tc>
          <w:tcPr>
            <w:tcW w:type="dxa" w:w="4082"/>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项目研发、设备购置、技术合作、项目管理提升以及与项目紧密相关的其他费用</w:t>
            </w:r>
          </w:p>
        </w:tc>
        <w:tc>
          <w:tcPr>
            <w:tcW w:type="dxa" w:w="328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不得用于罚款、捐赠、赞助、购买高档车辆、房屋构筑物以及个人消费等无关支出</w:t>
            </w:r>
          </w:p>
        </w:tc>
      </w:tr>
      <w:tr>
        <w:tc>
          <w:tcPr>
            <w:tcW w:type="dxa" w:w="170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专户管理要求</w:t>
            </w:r>
          </w:p>
        </w:tc>
        <w:tc>
          <w:tcPr>
            <w:tcW w:type="dxa" w:w="4082"/>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用人单位和创业企业均应设立专户、单独建账、专款专用</w:t>
            </w:r>
          </w:p>
        </w:tc>
        <w:tc>
          <w:tcPr>
            <w:tcW w:type="dxa" w:w="3288"/>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再次申请拨付前须核实已拨付资金使用情况</w:t>
            </w:r>
          </w:p>
        </w:tc>
      </w:tr>
    </w:tbl>
    <w:p>
      <w:pPr>
        <w:spacing w:before="160" w:after="80"/>
      </w:pPr>
      <w:r>
        <w:rPr>
          <w:rFonts w:ascii="Microsoft YaHei" w:hAnsi="Microsoft YaHei" w:eastAsia="Microsoft YaHei"/>
          <w:b/>
          <w:color w:val="163D73"/>
          <w:sz w:val="36"/>
        </w:rPr>
        <w:t>一、监督管理与风险控制</w:t>
      </w:r>
    </w:p>
    <w:tbl>
      <w:tblPr>
        <w:tblW w:type="auto" w:w="0"/>
        <w:jc w:val="center"/>
        <w:tblLayout w:type="fixed"/>
        <w:tblLook w:firstColumn="1" w:firstRow="1" w:lastColumn="0" w:lastRow="0" w:noHBand="0" w:noVBand="1" w:val="04A0"/>
      </w:tblPr>
      <w:tblGrid>
        <w:gridCol w:w="4873"/>
        <w:gridCol w:w="4873"/>
      </w:tblGrid>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主题</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EAF1FB"/>
          </w:tcPr>
          <w:p>
            <w:pPr>
              <w:spacing w:after="0" w:before="0" w:line="300" w:lineRule="auto"/>
            </w:pPr>
            <w:r>
              <w:rPr>
                <w:rFonts w:ascii="Microsoft YaHei" w:hAnsi="Microsoft YaHei" w:eastAsia="Microsoft YaHei"/>
                <w:b/>
                <w:color w:val="1F3B63"/>
                <w:sz w:val="22"/>
              </w:rPr>
              <w:t>要点</w:t>
            </w:r>
          </w:p>
        </w:tc>
      </w:tr>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监督主体</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财政部门负责预算执行、资金使用监督检查和绩效管理；市委组织部负责预算编制、执行、统筹支付与抽查；各区（开发区）负责属地全过程监督管理。</w:t>
            </w:r>
          </w:p>
        </w:tc>
      </w:tr>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用款要求</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用人单位应专户管理、单独建账、合理合规使用资金；创业扶持资金全部使用完毕后，由各区（开发区）组织第三方机构审计。</w:t>
            </w:r>
          </w:p>
        </w:tc>
      </w:tr>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自动终止资助情形</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创业人才企业注销、被吊销、迁出本市；项目不按计划进行或无故停止；创业人才离岗导致项目终止；管理期满或持股比例达不到要求；不配合审计和监督检查等。</w:t>
            </w:r>
          </w:p>
        </w:tc>
      </w:tr>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追回与惩戒</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申报材料弄虚作假、骗取资金、截留挪用或挤占专项资金、其他违法违规行为的，可终止资助、追回已拨付资金、纳入不良信用，并依法处理。</w:t>
            </w:r>
          </w:p>
        </w:tc>
      </w:tr>
      <w:tr>
        <w:tc>
          <w:tcPr>
            <w:tcW w:type="dxa" w:w="1871"/>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shd w:fill="F6F9FE"/>
          </w:tcPr>
          <w:p>
            <w:pPr>
              <w:spacing w:after="0" w:before="0" w:line="300" w:lineRule="auto"/>
            </w:pPr>
            <w:r>
              <w:rPr>
                <w:rFonts w:ascii="Microsoft YaHei" w:hAnsi="Microsoft YaHei" w:eastAsia="Microsoft YaHei"/>
                <w:b/>
                <w:color w:val="374151"/>
                <w:sz w:val="22"/>
              </w:rPr>
              <w:t>实施期限</w:t>
            </w:r>
          </w:p>
        </w:tc>
        <w:tc>
          <w:tcPr>
            <w:tcW w:type="dxa" w:w="7200"/>
            <w:tcBorders>
              <w:left w:val="single" w:sz="8" w:color="B9CBE5"/>
              <w:top w:val="single" w:sz="8" w:color="B9CBE5"/>
              <w:right w:val="single" w:sz="8" w:color="B9CBE5"/>
              <w:bottom w:val="single" w:sz="8" w:color="B9CBE5"/>
            </w:tcBorders>
            <w:tcMar>
              <w:top w:w="100" w:type="dxa"/>
              <w:start w:w="120" w:type="dxa"/>
              <w:bottom w:w="100" w:type="dxa"/>
              <w:end w:w="120" w:type="dxa"/>
            </w:tcMar>
            <w:vAlign w:val="center"/>
          </w:tcPr>
          <w:p>
            <w:pPr>
              <w:spacing w:after="0" w:before="0" w:line="300" w:lineRule="auto"/>
            </w:pPr>
            <w:r>
              <w:rPr>
                <w:rFonts w:ascii="Microsoft YaHei" w:hAnsi="Microsoft YaHei" w:eastAsia="Microsoft YaHei"/>
                <w:sz w:val="22"/>
              </w:rPr>
              <w:t>本办法自印发之日起实施，有效期5年，同时废止2018版和2020试行补充规定。</w:t>
            </w:r>
          </w:p>
        </w:tc>
      </w:tr>
    </w:tbl>
    <w:p>
      <w:pPr>
        <w:spacing w:before="160" w:after="80"/>
      </w:pPr>
      <w:r>
        <w:rPr>
          <w:rFonts w:ascii="Microsoft YaHei" w:hAnsi="Microsoft YaHei" w:eastAsia="Microsoft YaHei"/>
          <w:b/>
          <w:color w:val="163D73"/>
          <w:sz w:val="36"/>
        </w:rPr>
        <w:t>一、高频问答</w:t>
      </w:r>
    </w:p>
    <w:p>
      <w:pPr>
        <w:spacing w:after="20"/>
      </w:pPr>
      <w:r>
        <w:rPr>
          <w:rFonts w:ascii="Microsoft YaHei" w:hAnsi="Microsoft YaHei" w:eastAsia="Microsoft YaHei"/>
          <w:b/>
          <w:color w:val="163D73"/>
          <w:sz w:val="23"/>
        </w:rPr>
        <w:t>1. 专项资金主要支持谁？</w:t>
      </w:r>
    </w:p>
    <w:p>
      <w:pPr>
        <w:spacing w:after="40" w:line="300" w:lineRule="auto"/>
        <w:ind w:left="170"/>
      </w:pPr>
      <w:r>
        <w:rPr>
          <w:rFonts w:ascii="Microsoft YaHei" w:hAnsi="Microsoft YaHei" w:eastAsia="Microsoft YaHei"/>
          <w:b/>
          <w:color w:val="204C86"/>
          <w:sz w:val="22"/>
        </w:rPr>
        <w:t>答：</w:t>
      </w:r>
      <w:r>
        <w:rPr>
          <w:rFonts w:ascii="Microsoft YaHei" w:hAnsi="Microsoft YaHei" w:eastAsia="Microsoft YaHei"/>
          <w:color w:val="222222"/>
          <w:sz w:val="22"/>
        </w:rPr>
        <w:t>主要支持国家级、省级和市级人才计划相关对象，重点包括市“双百计划”创新个人、创新团队、创业人才以及与各级人才计划有关的费用。</w:t>
      </w:r>
    </w:p>
    <w:p>
      <w:pPr>
        <w:spacing w:after="20"/>
      </w:pPr>
      <w:r>
        <w:rPr>
          <w:rFonts w:ascii="Microsoft YaHei" w:hAnsi="Microsoft YaHei" w:eastAsia="Microsoft YaHei"/>
          <w:b/>
          <w:color w:val="163D73"/>
          <w:sz w:val="23"/>
        </w:rPr>
        <w:t>2. 创新个人和创新团队的钱怎么拨？</w:t>
      </w:r>
    </w:p>
    <w:p>
      <w:pPr>
        <w:spacing w:after="40" w:line="300" w:lineRule="auto"/>
        <w:ind w:left="170"/>
      </w:pPr>
      <w:r>
        <w:rPr>
          <w:rFonts w:ascii="Microsoft YaHei" w:hAnsi="Microsoft YaHei" w:eastAsia="Microsoft YaHei"/>
          <w:b/>
          <w:color w:val="204C86"/>
          <w:sz w:val="22"/>
        </w:rPr>
        <w:t>答：</w:t>
      </w:r>
      <w:r>
        <w:rPr>
          <w:rFonts w:ascii="Microsoft YaHei" w:hAnsi="Microsoft YaHei" w:eastAsia="Microsoft YaHei"/>
          <w:color w:val="222222"/>
          <w:sz w:val="22"/>
        </w:rPr>
        <w:t>创新个人工作生活补助一次性拨付；创新团队和院士等顶峰人才分两期拨付，入选后先拨50%，第二年考核合格后再拨50%。</w:t>
      </w:r>
    </w:p>
    <w:p>
      <w:pPr>
        <w:spacing w:after="20"/>
      </w:pPr>
      <w:r>
        <w:rPr>
          <w:rFonts w:ascii="Microsoft YaHei" w:hAnsi="Microsoft YaHei" w:eastAsia="Microsoft YaHei"/>
          <w:b/>
          <w:color w:val="163D73"/>
          <w:sz w:val="23"/>
        </w:rPr>
        <w:t>3. 创业人才的钱怎么拨？</w:t>
      </w:r>
    </w:p>
    <w:p>
      <w:pPr>
        <w:spacing w:after="40" w:line="300" w:lineRule="auto"/>
        <w:ind w:left="170"/>
      </w:pPr>
      <w:r>
        <w:rPr>
          <w:rFonts w:ascii="Microsoft YaHei" w:hAnsi="Microsoft YaHei" w:eastAsia="Microsoft YaHei"/>
          <w:b/>
          <w:color w:val="204C86"/>
          <w:sz w:val="22"/>
        </w:rPr>
        <w:t>答：</w:t>
      </w:r>
      <w:r>
        <w:rPr>
          <w:rFonts w:ascii="Microsoft YaHei" w:hAnsi="Microsoft YaHei" w:eastAsia="Microsoft YaHei"/>
          <w:color w:val="222222"/>
          <w:sz w:val="22"/>
        </w:rPr>
        <w:t>2020年后入选的创业人才按起步期、成长期、成熟期条件分级拨付，最高累计500万元；申请时由人才本人和企业提出申请，所在区审核后报市委组织部核定。</w:t>
      </w:r>
    </w:p>
    <w:p>
      <w:pPr>
        <w:spacing w:after="20"/>
      </w:pPr>
      <w:r>
        <w:rPr>
          <w:rFonts w:ascii="Microsoft YaHei" w:hAnsi="Microsoft YaHei" w:eastAsia="Microsoft YaHei"/>
          <w:b/>
          <w:color w:val="163D73"/>
          <w:sz w:val="23"/>
        </w:rPr>
        <w:t>4. 资金可以提现吗？</w:t>
      </w:r>
    </w:p>
    <w:p>
      <w:pPr>
        <w:spacing w:after="40" w:line="300" w:lineRule="auto"/>
        <w:ind w:left="170"/>
      </w:pPr>
      <w:r>
        <w:rPr>
          <w:rFonts w:ascii="Microsoft YaHei" w:hAnsi="Microsoft YaHei" w:eastAsia="Microsoft YaHei"/>
          <w:b/>
          <w:color w:val="204C86"/>
          <w:sz w:val="22"/>
        </w:rPr>
        <w:t>答：</w:t>
      </w:r>
      <w:r>
        <w:rPr>
          <w:rFonts w:ascii="Microsoft YaHei" w:hAnsi="Microsoft YaHei" w:eastAsia="Microsoft YaHei"/>
          <w:color w:val="222222"/>
          <w:sz w:val="22"/>
        </w:rPr>
        <w:t>资金应按照规定用途使用。创新类50%改善生活、50%支持创新工作；创业类仅限与项目直接相关的研发、设备、合作、管理等费用，不能随意挪作他用。</w:t>
      </w:r>
    </w:p>
    <w:p>
      <w:pPr>
        <w:spacing w:after="20"/>
      </w:pPr>
      <w:r>
        <w:rPr>
          <w:rFonts w:ascii="Microsoft YaHei" w:hAnsi="Microsoft YaHei" w:eastAsia="Microsoft YaHei"/>
          <w:b/>
          <w:color w:val="163D73"/>
          <w:sz w:val="23"/>
        </w:rPr>
        <w:t>5. 哪些情况会终止资助或追回？</w:t>
      </w:r>
    </w:p>
    <w:p>
      <w:pPr>
        <w:spacing w:after="40" w:line="300" w:lineRule="auto"/>
        <w:ind w:left="170"/>
      </w:pPr>
      <w:r>
        <w:rPr>
          <w:rFonts w:ascii="Microsoft YaHei" w:hAnsi="Microsoft YaHei" w:eastAsia="Microsoft YaHei"/>
          <w:b/>
          <w:color w:val="204C86"/>
          <w:sz w:val="22"/>
        </w:rPr>
        <w:t>答：</w:t>
      </w:r>
      <w:r>
        <w:rPr>
          <w:rFonts w:ascii="Microsoft YaHei" w:hAnsi="Microsoft YaHei" w:eastAsia="Microsoft YaHei"/>
          <w:color w:val="222222"/>
          <w:sz w:val="22"/>
        </w:rPr>
        <w:t>企业注销、迁出本市、项目停滞、创业人才离岗、持股比例不达标、拒不配合监督审计，或存在弄虚作假、骗取资金、挪用资金等行为，都可能导致终止资助或追回资金。</w:t>
      </w:r>
    </w:p>
    <w:p>
      <w:pPr>
        <w:spacing w:before="160" w:after="80"/>
      </w:pPr>
      <w:r>
        <w:rPr>
          <w:rFonts w:ascii="Microsoft YaHei" w:hAnsi="Microsoft YaHei" w:eastAsia="Microsoft YaHei"/>
          <w:b/>
          <w:color w:val="163D73"/>
          <w:sz w:val="36"/>
        </w:rPr>
        <w:t>一、检索建议</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问“专项资金支持谁、标准多少”时，优先命中本专题中的“支持对象与标准”。</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问“钱怎么拨、什么时候拨”时，优先命中“拨付规则与使用边界”，不要只返回政策概述。</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问“资金能不能花在某项支出上”时，优先命中“资金可以用于什么”表格，并与创新类/创业类区分回答。</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问“哪些情况会追回、终止”时，优先命中“监督管理与风险控制”。</w:t>
      </w:r>
    </w:p>
    <w:p>
      <w:pPr>
        <w:spacing w:after="20" w:line="288" w:lineRule="auto"/>
        <w:ind w:left="227"/>
      </w:pPr>
      <w:r>
        <w:rPr>
          <w:rFonts w:ascii="Microsoft YaHei" w:hAnsi="Microsoft YaHei" w:eastAsia="Microsoft YaHei"/>
          <w:b/>
          <w:color w:val="204C86"/>
          <w:sz w:val="22"/>
        </w:rPr>
        <w:t xml:space="preserve">• </w:t>
      </w:r>
      <w:r>
        <w:rPr>
          <w:rFonts w:ascii="Microsoft YaHei" w:hAnsi="Microsoft YaHei" w:eastAsia="Microsoft YaHei"/>
          <w:color w:val="222222"/>
          <w:sz w:val="22"/>
        </w:rPr>
        <w:t>若问题涉及双百计划本身的对象分类、遴选程序和管理期，可联动“双百计划专题（问答增强版）”；若涉及特聘岗位纳入创新个人及拨付方式，可联动“特聘岗位专题（问答增强版）”。</w:t>
      </w:r>
    </w:p>
    <w:sectPr w:rsidR="00FC693F" w:rsidRPr="0006063C" w:rsidSect="00034616">
      <w:pgSz w:w="12240" w:h="15840"/>
      <w:pgMar w:top="124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