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spacing w:before="0" w:after="160" w:line="300" w:lineRule="auto"/>
        <w:jc w:val="center"/>
      </w:pPr>
      <w:r>
        <w:rPr>
          <w:rFonts w:ascii="微软雅黑" w:hAnsi="微软雅黑" w:eastAsia="微软雅黑"/>
          <w:b/>
          <w:color w:val="123A62"/>
          <w:sz w:val="48"/>
        </w:rPr>
        <w:t>群鹭兴厦与各产业人才项目专题</w:t>
      </w:r>
    </w:p>
    <w:p>
      <w:pPr>
        <w:pStyle w:val="CustomSubtitle"/>
        <w:spacing w:before="0" w:after="280" w:line="300" w:lineRule="auto"/>
        <w:jc w:val="center"/>
      </w:pPr>
      <w:r>
        <w:rPr>
          <w:rFonts w:ascii="微软雅黑" w:hAnsi="微软雅黑" w:eastAsia="微软雅黑"/>
          <w:b w:val="0"/>
          <w:color w:val="5E6B7A"/>
          <w:sz w:val="22"/>
        </w:rPr>
        <w:t>问答增强版｜适合作为知识库专题补充文档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57"/>
            <w:shd w:fill="EEF4FA"/>
          </w:tcPr>
          <w:p>
            <w:pPr>
              <w:spacing w:before="40" w:after="40" w:line="324" w:lineRule="auto"/>
            </w:pPr>
            <w:r>
              <w:rPr>
                <w:rFonts w:ascii="微软雅黑" w:hAnsi="微软雅黑" w:eastAsia="微软雅黑"/>
                <w:b/>
                <w:color w:val="123A62"/>
                <w:sz w:val="22"/>
              </w:rPr>
              <w:t>文档定位：</w:t>
            </w:r>
            <w:r>
              <w:rPr>
                <w:rFonts w:ascii="微软雅黑" w:hAnsi="微软雅黑" w:eastAsia="微软雅黑"/>
                <w:b w:val="0"/>
                <w:sz w:val="21"/>
              </w:rPr>
              <w:t>本专题围绕《厦委办发〔2025〕2号》“群鹭兴厦”总纲及其配套产业人才项目实施办法，重点回答“有哪些项目、适合谁、补助多少、由谁推荐申报、怎么理解项目差异”等高频问题。适合知识库专题首答；如需具体条文、完整材料清单或逐条资格审核，仍应回溯对应原始政策。</w:t>
            </w:r>
          </w:p>
        </w:tc>
      </w:tr>
    </w:tbl>
    <w:p>
      <w:pPr>
        <w:spacing w:before="0" w:after="0" w:line="300" w:lineRule="auto"/>
      </w:pPr>
      <w:r>
        <w:rPr>
          <w:rFonts w:ascii="微软雅黑" w:hAnsi="微软雅黑" w:eastAsia="微软雅黑"/>
          <w:b/>
          <w:color w:val="123A62"/>
          <w:sz w:val="22"/>
        </w:rPr>
        <w:t>更新时间依据：</w:t>
      </w:r>
      <w:r>
        <w:rPr>
          <w:rFonts w:ascii="微软雅黑" w:hAnsi="微软雅黑" w:eastAsia="微软雅黑"/>
          <w:b w:val="0"/>
          <w:sz w:val="21"/>
        </w:rPr>
        <w:t>根据《厦门市人才政策（清洗导入版）》与《2025年厦门市人才》整理。</w:t>
      </w:r>
    </w:p>
    <w:p>
      <w:r>
        <w:br w:type="page"/>
      </w:r>
    </w:p>
    <w:p>
      <w:pPr>
        <w:pStyle w:val="CustomH1"/>
      </w:pPr>
      <w:r>
        <w:rPr>
          <w:rFonts w:ascii="微软雅黑" w:hAnsi="微软雅黑" w:eastAsia="微软雅黑"/>
          <w:b/>
          <w:color w:val="123A62"/>
          <w:sz w:val="32"/>
        </w:rPr>
        <w:t>一、群鹭兴厦总纲速览</w:t>
      </w:r>
    </w:p>
    <w:p>
      <w:r>
        <w:rPr>
          <w:rFonts w:ascii="微软雅黑" w:hAnsi="微软雅黑" w:eastAsia="微软雅黑"/>
          <w:b w:val="0"/>
          <w:sz w:val="21"/>
        </w:rPr>
        <w:t>《关于更加精准有效集聚人才加快推进高质量发展的意见》（厦委办发〔2025〕2号）是 2025 年以后厦门市人才计划体系总纲，统领“群鹭兴厦”各子项目。总纲提出，到 2030 年底引进和培养约 5000 名急需紧缺的行业领军人才和核心骨干人才；财政按实际每年安排约 2 亿元预算，除另有规定外，对新引进人才一般按补助金额的 20%给予安家补贴，并通过 i人才数智平台开展申报，评审周期一般不超过 3 个月。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项目架构：覆盖电子信息、机械装备、商贸物流、金融服务、生物医药、新能源和新材料、文旅创意、海洋经济、重点产业骨干、教育、卫生健康、社会工作、台湾特聘专家（专才）等 13 类项目。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政策逻辑：以总纲定方向、各专项实施办法定对象与条件、专题资金办法定拨付与监管。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适用方式：清单型问题优先从总纲与本专题回答；流程型问题应进一步命中对应项目实施办法。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13 类项目一览表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类别</w:t>
            </w:r>
          </w:p>
        </w:tc>
        <w:tc>
          <w:tcPr>
            <w:tcW w:type="dxa" w:w="2324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项目</w:t>
            </w:r>
          </w:p>
        </w:tc>
        <w:tc>
          <w:tcPr>
            <w:tcW w:type="dxa" w:w="1701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文号</w:t>
            </w:r>
          </w:p>
        </w:tc>
        <w:tc>
          <w:tcPr>
            <w:tcW w:type="dxa" w:w="2608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分层/对象</w:t>
            </w:r>
          </w:p>
        </w:tc>
        <w:tc>
          <w:tcPr>
            <w:tcW w:type="dxa" w:w="2154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核心支持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电子信息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2025-5号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 + 安家补贴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机械装备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2025-6号</w:t>
            </w:r>
          </w:p>
        </w:tc>
        <w:tc>
          <w:tcPr>
            <w:tcW w:type="dxa" w:w="2608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</w:t>
            </w:r>
          </w:p>
        </w:tc>
        <w:tc>
          <w:tcPr>
            <w:tcW w:type="dxa" w:w="215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 + 安家补贴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商贸物流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2025-7号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英才/优才/专才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50/30/20 万 + 安家补贴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金融服务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2025-8号</w:t>
            </w:r>
          </w:p>
        </w:tc>
        <w:tc>
          <w:tcPr>
            <w:tcW w:type="dxa" w:w="2608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领军/专家</w:t>
            </w:r>
          </w:p>
        </w:tc>
        <w:tc>
          <w:tcPr>
            <w:tcW w:type="dxa" w:w="215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B/C 类服务保障 + 证书补贴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生物医药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2025-9号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 + 外地来厦补助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新能源和新材料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2025-10号</w:t>
            </w:r>
          </w:p>
        </w:tc>
        <w:tc>
          <w:tcPr>
            <w:tcW w:type="dxa" w:w="2608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</w:t>
            </w:r>
          </w:p>
        </w:tc>
        <w:tc>
          <w:tcPr>
            <w:tcW w:type="dxa" w:w="215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 + 安家补贴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文旅创意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2025-11号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英才/优才/青才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50/30/20 万 + 安家补贴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海洋经济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2025-12号</w:t>
            </w:r>
          </w:p>
        </w:tc>
        <w:tc>
          <w:tcPr>
            <w:tcW w:type="dxa" w:w="2608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领军/优秀</w:t>
            </w:r>
          </w:p>
        </w:tc>
        <w:tc>
          <w:tcPr>
            <w:tcW w:type="dxa" w:w="215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50/30 万 + 安家补贴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产业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重点产业骨干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2025-13号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积分认定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15 万或 10 万一次性奖励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</w:t>
            </w:r>
          </w:p>
        </w:tc>
        <w:tc>
          <w:tcPr>
            <w:tcW w:type="dxa" w:w="232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教育人才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2025-14号</w:t>
            </w:r>
          </w:p>
        </w:tc>
        <w:tc>
          <w:tcPr>
            <w:tcW w:type="dxa" w:w="2608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</w:t>
            </w:r>
          </w:p>
        </w:tc>
        <w:tc>
          <w:tcPr>
            <w:tcW w:type="dxa" w:w="215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50/40/30 万 + 安家补贴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卫生健康人才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2025-15号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领军/带头/青年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150/120/75 万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</w:t>
            </w:r>
          </w:p>
        </w:tc>
        <w:tc>
          <w:tcPr>
            <w:tcW w:type="dxa" w:w="232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社会工作人才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2025-16号</w:t>
            </w:r>
          </w:p>
        </w:tc>
        <w:tc>
          <w:tcPr>
            <w:tcW w:type="dxa" w:w="2608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</w:t>
            </w:r>
          </w:p>
        </w:tc>
        <w:tc>
          <w:tcPr>
            <w:tcW w:type="dxa" w:w="2154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30/20/10 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台湾特聘专家（专才）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2025-17号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专家/专才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100/60 万，特别优秀 150 万</w:t>
            </w:r>
          </w:p>
        </w:tc>
      </w:tr>
    </w:tbl>
    <w:p>
      <w:pPr>
        <w:pStyle w:val="CustomH1"/>
      </w:pPr>
      <w:r>
        <w:rPr>
          <w:rFonts w:ascii="微软雅黑" w:hAnsi="微软雅黑" w:eastAsia="微软雅黑"/>
          <w:b/>
          <w:color w:val="123A62"/>
          <w:sz w:val="32"/>
        </w:rPr>
        <w:t>二、重点产业人才项目问答增强</w:t>
      </w:r>
    </w:p>
    <w:p>
      <w:r>
        <w:rPr>
          <w:rFonts w:ascii="微软雅黑" w:hAnsi="微软雅黑" w:eastAsia="微软雅黑"/>
          <w:b w:val="0"/>
          <w:sz w:val="21"/>
        </w:rPr>
        <w:t>本章按“项目名称 + 文号 + 申报主体 + 支持标准 + 识别提示”方式整理，适合回答“某行业有什么人才项目”“大概补助多少”“企业还是个人申报”等问题。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1. 电子信息产业人才项目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厦委人才办〔2025〕5号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市工信局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电子信息制造业人才、软件信息产业（人工智能产业）人才，分 A/B/C 三档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由人才所在企业推荐申报，主要工作地在厦门并在厦缴纳个税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万元；近三年外地来厦再给 16/10/6 万元安家补贴；集成电路紧缺专业毕业生另有 1.8/3/4.2 万元/年补助，最长 2 年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兼顾制造业与软件信息（人工智能）方向，是厦门重点产业人才项目中覆盖面最广的专项之一。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“电子信息产业人才项目怎么申报”“电子信息产业人才项目补助多少”“电子信息产业人才项目适合哪些企业/人才”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2. 机械装备产业人才项目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厦委人才办〔2025〕6号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市工信局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机械装备产业人才，分 A/B/C 三档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由人才所在企业推荐申报，企业应属于机械装备相关领域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万元；近三年外地来厦再给 16/10/6 万元安家补贴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适配电力电器、汽车、航空航天、智能制造装备、通用及专用设备等方向。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“机械装备产业人才项目怎么申报”“机械装备产业人才项目补助多少”“机械装备产业人才项目适合哪些企业/人才”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3. 商贸物流产业人才项目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厦委人才办〔2025〕7号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市商务局、市交通运输局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货物贸易、服务贸易、会展、现代物流等领域人才，分英才/优才/专才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以企业为申报主体，人才需与企业签订 3 年及以上劳动合同，并在厦缴纳医社保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50/30/20 万元；近三年外地来厦再给 10/6/4 万元安家补贴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强调商贸服务与现代物流双赛道，适合总部型、供应链型与物流平台型企业。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“商贸物流产业人才项目怎么申报”“商贸物流产业人才项目补助多少”“商贸物流产业人才项目适合哪些企业/人才”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4. 金融服务产业人才项目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厦委人才办〔2025〕8号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市委金融办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金融机构、基金管理机构、地方金融组织、金融投资集团人才，分行业领军型/高级专家型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通常由所在机构推荐申报，需具备本科及以上学历，并取得 CFA/FRM/CPA/精算/法律职业等资格证书或高级职称（或博士学位）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按市高层次人才 B 类 / C 类享受子女入学和医疗保健保障；金融资格考试费用累计补贴不超过 5 万元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不以单纯金额补助为主，更强调金融高端人才服务保障、行业影响力和专业资格。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“金融服务产业人才项目怎么申报”“金融服务产业人才项目补助多少”“金融服务产业人才项目适合哪些企业/人才”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5. 生物医药产业人才项目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厦委人才办〔2025〕9号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市科技局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创新药、改良型新药、仿制药、高性能医疗器械、生物医药服务、数字医疗等领域人才，分 A/B/C 类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由人才所在企业推荐申报，要求在厦缴纳个税、签订 3 年以上劳动合同，并在关键或重要岗位任职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万元；近三年外地来厦再给 16/10/6 万元补助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与药品注册证、医疗器械注册证、重点科技项目和产业化成果结合紧密，适合研发型企业。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“生物医药产业人才项目怎么申报”“生物医药产业人才项目补助多少”“生物医药产业人才项目适合哪些企业/人才”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6. 新能源和新材料产业人才项目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厦委人才办〔2025〕10号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市工信局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新能源和新材料企业人才，分 A/B/C 类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由人才所在企业推荐申报，企业需属于新能源或新材料领域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80/50/30 万元；近三年外地来厦再给 16/10/6 万元安家补贴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覆盖锂离子电池、储能、先进碳材料、高性能陶瓷、稀土功能材料等方向。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“新能源和新材料产业人才项目怎么申报”“新能源和新材料产业人才项目补助多少”“新能源和新材料产业人才项目适合哪些企业/人才”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7. 文旅创意产业人才项目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厦委人才办〔2025〕11号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市委宣传部、市文旅局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影视制作、音乐演艺、网络视听、创意设计、动漫游戏、旅游等领域人才，分英才/优才/青才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个人申报、单位推荐，区委宣传部或行业协会进行资格审查后报送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50/30/20 万元；近三年外地来厦再给 10/6/4 万元安家补贴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适配文旅创意产业链和新业态，强调作品、项目影响力与经济效益。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“文旅创意产业人才项目怎么申报”“文旅创意产业人才项目补助多少”“文旅创意产业人才项目适合哪些企业/人才”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8. 海洋经济人才项目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厦委人才办〔2025〕12号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市海洋发展局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海洋产业人才，包括领军人才和优秀人才，分企业经营管理者和科技创新工作者两类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由人才所在企业或涉海科研院校、机构推荐申报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50/30 万元；近三年外地来厦再给 10/6 万元安家补贴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聚焦海洋生物医药、海洋高端装备、海洋高技术服务业、海洋生物育种等方向。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“海洋经济人才项目怎么申报”“海洋经济人才项目补助多少”“海洋经济人才项目适合哪些企业/人才”</w:t>
      </w:r>
    </w:p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9. 重点产业骨干人才项目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文号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厦委人才办〔2025〕13号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主管部门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市发改委会同多部门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项目对象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重点产业发展所需核心骨干人才，强调技术创新、产业转型和管理能力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申报方式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由企业推荐申报，采用积分认定制；企业需符合重点产业目录和资质条件</w:t>
            </w:r>
          </w:p>
        </w:tc>
      </w:tr>
      <w:tr>
        <w:tc>
          <w:tcPr>
            <w:tcW w:type="dxa" w:w="1587"/>
            <w:shd w:fill="EAF2F8"/>
            <w:vAlign w:val="center"/>
          </w:tcPr>
          <w:p>
            <w:pPr>
              <w:spacing w:before="20" w:after="20" w:line="27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18"/>
              </w:rPr>
              <w:t>支持标准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7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按积分排名给予 15 万元或 10 万元一次性薪酬津贴奖励</w:t>
            </w:r>
          </w:p>
        </w:tc>
      </w:tr>
    </w:tbl>
    <w:p>
      <w:r>
        <w:rPr>
          <w:rFonts w:ascii="微软雅黑" w:hAnsi="微软雅黑" w:eastAsia="微软雅黑"/>
          <w:b/>
          <w:color w:val="123A62"/>
          <w:sz w:val="22"/>
        </w:rPr>
        <w:t>识别提示：</w:t>
      </w:r>
      <w:r>
        <w:rPr>
          <w:rFonts w:ascii="微软雅黑" w:hAnsi="微软雅黑" w:eastAsia="微软雅黑"/>
          <w:b w:val="0"/>
          <w:sz w:val="20"/>
        </w:rPr>
        <w:t>补产业底座，是领军人才的重要后备力量，重视薪酬、业绩和综合评分。</w:t>
      </w:r>
    </w:p>
    <w:p>
      <w:r>
        <w:rPr>
          <w:rFonts w:ascii="微软雅黑" w:hAnsi="微软雅黑" w:eastAsia="微软雅黑"/>
          <w:b/>
          <w:color w:val="123A62"/>
          <w:sz w:val="22"/>
        </w:rPr>
        <w:t>高频问法：</w:t>
      </w:r>
      <w:r>
        <w:rPr>
          <w:rFonts w:ascii="微软雅黑" w:hAnsi="微软雅黑" w:eastAsia="微软雅黑"/>
          <w:b w:val="0"/>
          <w:sz w:val="20"/>
        </w:rPr>
        <w:t>“重点产业骨干人才项目怎么申报”“重点产业骨干人才项目补助多少”“重点产业骨干人才项目适合哪些企业/人才”</w:t>
      </w:r>
    </w:p>
    <w:p>
      <w:pPr>
        <w:pStyle w:val="CustomH1"/>
      </w:pPr>
      <w:r>
        <w:rPr>
          <w:rFonts w:ascii="微软雅黑" w:hAnsi="微软雅黑" w:eastAsia="微软雅黑"/>
          <w:b/>
          <w:color w:val="123A62"/>
          <w:sz w:val="32"/>
        </w:rPr>
        <w:t>三、公共类与社会发展类项目</w:t>
      </w:r>
    </w:p>
    <w:p>
      <w:r>
        <w:rPr>
          <w:rFonts w:ascii="微软雅黑" w:hAnsi="微软雅黑" w:eastAsia="微软雅黑"/>
          <w:b w:val="0"/>
          <w:sz w:val="21"/>
        </w:rPr>
        <w:t>除重点产业项目外，总纲还统筹教育、卫生健康、社会工作及台湾特聘专家（专才）等项目，适合回答教育名师、医疗卫生高层次人才、基层社会工作领军人才以及台湾高层次人才等问题。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项目</w:t>
            </w:r>
          </w:p>
        </w:tc>
        <w:tc>
          <w:tcPr>
            <w:tcW w:type="dxa" w:w="1814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文号</w:t>
            </w:r>
          </w:p>
        </w:tc>
        <w:tc>
          <w:tcPr>
            <w:tcW w:type="dxa" w:w="3118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核心支持</w:t>
            </w:r>
          </w:p>
        </w:tc>
        <w:tc>
          <w:tcPr>
            <w:tcW w:type="dxa" w:w="2835"/>
            <w:shd w:fill="D9E8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23A62"/>
                <w:sz w:val="20"/>
              </w:rPr>
              <w:t>识别提示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教育人才项目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厦委人才办〔2025〕14号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 类 50/40/30 万元；引进人才安家补贴 80/60/40 万元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支持教育教学型与科研创新型名师、学科带头人、卓越教师等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卫生健康人才项目</w:t>
            </w:r>
          </w:p>
        </w:tc>
        <w:tc>
          <w:tcPr>
            <w:tcW w:type="dxa" w:w="181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厦委人才办〔2025〕15号</w:t>
            </w:r>
          </w:p>
        </w:tc>
        <w:tc>
          <w:tcPr>
            <w:tcW w:type="dxa" w:w="3118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学科领军人才/学科带头人/青年拔尖人才 150/120/75 万元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服务国家区域医疗中心建设、临床学科和青年科技人才培养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社会工作人才项目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厦委人才办〔2025〕16号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A/B/C 类 30/20/10 万元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面向基层、面向一线的实务型和研究型社会工作领军人才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台湾特聘专家（专才）项目</w:t>
            </w:r>
          </w:p>
        </w:tc>
        <w:tc>
          <w:tcPr>
            <w:tcW w:type="dxa" w:w="1814"/>
            <w:vAlign w:val="center"/>
            <w:shd w:fill="F7FAFD"/>
          </w:tcPr>
          <w:p>
            <w:pPr>
              <w:spacing w:before="20" w:after="2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厦委人才办〔2025〕17号</w:t>
            </w:r>
          </w:p>
        </w:tc>
        <w:tc>
          <w:tcPr>
            <w:tcW w:type="dxa" w:w="3118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台湾特聘专家 100 万元、台湾特聘专才 60 万元；特别优秀专家 150 万元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发挥对台区位优势，重点支持集成电路、生物医药等台湾优势产业人才来厦发展</w:t>
            </w:r>
          </w:p>
        </w:tc>
      </w:tr>
    </w:tbl>
    <w:p>
      <w:pPr>
        <w:pStyle w:val="CustomH2"/>
      </w:pPr>
      <w:r>
        <w:rPr>
          <w:rFonts w:ascii="微软雅黑" w:hAnsi="微软雅黑" w:eastAsia="微软雅黑"/>
          <w:b/>
          <w:color w:val="123A62"/>
          <w:sz w:val="25"/>
        </w:rPr>
        <w:t>专题问法路由建议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问“厦门有哪些人才政策/有哪些人才项目”：</w:t>
      </w:r>
      <w:r>
        <w:rPr>
          <w:rFonts w:ascii="微软雅黑" w:hAnsi="微软雅黑" w:eastAsia="微软雅黑"/>
          <w:b w:val="0"/>
          <w:sz w:val="20"/>
        </w:rPr>
        <w:t>优先命中总纲速览与项目一览表，再按行业或专题继续下钻。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问“电子信息/机械装备/生物医药/金融等具体行业政策”：</w:t>
      </w:r>
      <w:r>
        <w:rPr>
          <w:rFonts w:ascii="微软雅黑" w:hAnsi="微软雅黑" w:eastAsia="微软雅黑"/>
          <w:b w:val="0"/>
          <w:sz w:val="20"/>
        </w:rPr>
        <w:t>优先命中对应项目实施办法，再补总纲定位。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问“怎么申报/怎么评选/需要什么条件”：</w:t>
      </w:r>
      <w:r>
        <w:rPr>
          <w:rFonts w:ascii="微软雅黑" w:hAnsi="微软雅黑" w:eastAsia="微软雅黑"/>
          <w:b w:val="0"/>
          <w:sz w:val="20"/>
        </w:rPr>
        <w:t>应进一步命中各项目实施办法中的“申报与评选”“申报条件”部分，而不是只停留在本专题摘要。</w:t>
      </w:r>
    </w:p>
    <w:p>
      <w:pPr>
        <w:spacing w:before="0" w:after="0" w:line="300" w:lineRule="auto"/>
        <w:ind w:left="198"/>
      </w:pPr>
      <w:r>
        <w:rPr>
          <w:rFonts w:ascii="微软雅黑" w:hAnsi="微软雅黑" w:eastAsia="微软雅黑"/>
          <w:b/>
          <w:color w:val="123A62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问“住房、博士后、AI、服务保障”：</w:t>
      </w:r>
      <w:r>
        <w:rPr>
          <w:rFonts w:ascii="微软雅黑" w:hAnsi="微软雅黑" w:eastAsia="微软雅黑"/>
          <w:b w:val="0"/>
          <w:sz w:val="20"/>
        </w:rPr>
        <w:t>不宜先返回产业项目，应优先命中住房/博士后/人工智能/服务生态专题文档。</w:t>
      </w:r>
    </w:p>
    <w:p>
      <w:pPr>
        <w:pStyle w:val="CustomH1"/>
      </w:pPr>
      <w:r>
        <w:rPr>
          <w:rFonts w:ascii="微软雅黑" w:hAnsi="微软雅黑" w:eastAsia="微软雅黑"/>
          <w:b/>
          <w:color w:val="123A62"/>
          <w:sz w:val="32"/>
        </w:rPr>
        <w:t>四、高频问答示例</w:t>
      </w:r>
    </w:p>
    <w:p>
      <w:r>
        <w:rPr>
          <w:rFonts w:ascii="微软雅黑" w:hAnsi="微软雅黑" w:eastAsia="微软雅黑"/>
          <w:b/>
          <w:color w:val="123A62"/>
          <w:sz w:val="22"/>
        </w:rPr>
        <w:t>问：</w:t>
      </w:r>
      <w:r>
        <w:rPr>
          <w:rFonts w:ascii="微软雅黑" w:hAnsi="微软雅黑" w:eastAsia="微软雅黑"/>
          <w:b/>
          <w:sz w:val="22"/>
        </w:rPr>
        <w:t>厦门“群鹭兴厦”大概包含哪些项目？</w:t>
      </w:r>
    </w:p>
    <w:p>
      <w:pPr>
        <w:ind w:left="340"/>
      </w:pPr>
      <w:r>
        <w:rPr>
          <w:rFonts w:ascii="微软雅黑" w:hAnsi="微软雅黑" w:eastAsia="微软雅黑"/>
          <w:b/>
          <w:color w:val="123A62"/>
          <w:sz w:val="22"/>
        </w:rPr>
        <w:t>答：</w:t>
      </w:r>
      <w:r>
        <w:rPr>
          <w:rFonts w:ascii="微软雅黑" w:hAnsi="微软雅黑" w:eastAsia="微软雅黑"/>
          <w:b w:val="0"/>
          <w:sz w:val="20"/>
        </w:rPr>
        <w:t>目前已形成 13 类项目框架，既覆盖电子信息、机械装备、生物医药等重点产业人才，也覆盖教育、卫生健康、社会工作、台湾特聘专家等公共类专项。</w:t>
      </w:r>
    </w:p>
    <w:p>
      <w:r>
        <w:rPr>
          <w:rFonts w:ascii="微软雅黑" w:hAnsi="微软雅黑" w:eastAsia="微软雅黑"/>
          <w:b/>
          <w:color w:val="123A62"/>
          <w:sz w:val="22"/>
        </w:rPr>
        <w:t>问：</w:t>
      </w:r>
      <w:r>
        <w:rPr>
          <w:rFonts w:ascii="微软雅黑" w:hAnsi="微软雅黑" w:eastAsia="微软雅黑"/>
          <w:b/>
          <w:sz w:val="22"/>
        </w:rPr>
        <w:t>产业类项目普遍怎么申报？</w:t>
      </w:r>
    </w:p>
    <w:p>
      <w:pPr>
        <w:ind w:left="340"/>
      </w:pPr>
      <w:r>
        <w:rPr>
          <w:rFonts w:ascii="微软雅黑" w:hAnsi="微软雅黑" w:eastAsia="微软雅黑"/>
          <w:b/>
          <w:color w:val="123A62"/>
          <w:sz w:val="22"/>
        </w:rPr>
        <w:t>答：</w:t>
      </w:r>
      <w:r>
        <w:rPr>
          <w:rFonts w:ascii="微软雅黑" w:hAnsi="微软雅黑" w:eastAsia="微软雅黑"/>
          <w:b w:val="0"/>
          <w:sz w:val="20"/>
        </w:rPr>
        <w:t>多数项目以人才所在企业或单位推荐申报为主，再经过公告、材料提交、审核评审、公示确定等程序。</w:t>
      </w:r>
    </w:p>
    <w:p>
      <w:r>
        <w:rPr>
          <w:rFonts w:ascii="微软雅黑" w:hAnsi="微软雅黑" w:eastAsia="微软雅黑"/>
          <w:b/>
          <w:color w:val="123A62"/>
          <w:sz w:val="22"/>
        </w:rPr>
        <w:t>问：</w:t>
      </w:r>
      <w:r>
        <w:rPr>
          <w:rFonts w:ascii="微软雅黑" w:hAnsi="微软雅黑" w:eastAsia="微软雅黑"/>
          <w:b/>
          <w:sz w:val="22"/>
        </w:rPr>
        <w:t>补助标准是否都有安家补贴？</w:t>
      </w:r>
    </w:p>
    <w:p>
      <w:pPr>
        <w:ind w:left="340"/>
      </w:pPr>
      <w:r>
        <w:rPr>
          <w:rFonts w:ascii="微软雅黑" w:hAnsi="微软雅黑" w:eastAsia="微软雅黑"/>
          <w:b/>
          <w:color w:val="123A62"/>
          <w:sz w:val="22"/>
        </w:rPr>
        <w:t>答：</w:t>
      </w:r>
      <w:r>
        <w:rPr>
          <w:rFonts w:ascii="微软雅黑" w:hAnsi="微软雅黑" w:eastAsia="微软雅黑"/>
          <w:b w:val="0"/>
          <w:sz w:val="20"/>
        </w:rPr>
        <w:t>多数产业项目对近三年从外地来厦的人才另有安家补贴，但金融服务产业人才更侧重服务保障；具体金额以对应实施办法为准。</w:t>
      </w:r>
    </w:p>
    <w:p>
      <w:r>
        <w:rPr>
          <w:rFonts w:ascii="微软雅黑" w:hAnsi="微软雅黑" w:eastAsia="微软雅黑"/>
          <w:b/>
          <w:color w:val="123A62"/>
          <w:sz w:val="22"/>
        </w:rPr>
        <w:t>问：</w:t>
      </w:r>
      <w:r>
        <w:rPr>
          <w:rFonts w:ascii="微软雅黑" w:hAnsi="微软雅黑" w:eastAsia="微软雅黑"/>
          <w:b/>
          <w:sz w:val="22"/>
        </w:rPr>
        <w:t>重点产业骨干人才和其他项目有什么不同？</w:t>
      </w:r>
    </w:p>
    <w:p>
      <w:pPr>
        <w:ind w:left="340"/>
      </w:pPr>
      <w:r>
        <w:rPr>
          <w:rFonts w:ascii="微软雅黑" w:hAnsi="微软雅黑" w:eastAsia="微软雅黑"/>
          <w:b/>
          <w:color w:val="123A62"/>
          <w:sz w:val="22"/>
        </w:rPr>
        <w:t>答：</w:t>
      </w:r>
      <w:r>
        <w:rPr>
          <w:rFonts w:ascii="微软雅黑" w:hAnsi="微软雅黑" w:eastAsia="微软雅黑"/>
          <w:b w:val="0"/>
          <w:sz w:val="20"/>
        </w:rPr>
        <w:t>重点产业骨干人才采用积分认定制，给予 15 万元或 10 万元一次性奖励，更强调产业底座和后备梯队建设。</w:t>
      </w:r>
    </w:p>
    <w:p>
      <w:pPr>
        <w:pStyle w:val="CustomH1"/>
      </w:pPr>
      <w:r>
        <w:rPr>
          <w:rFonts w:ascii="微软雅黑" w:hAnsi="微软雅黑" w:eastAsia="微软雅黑"/>
          <w:b/>
          <w:color w:val="123A62"/>
          <w:sz w:val="32"/>
        </w:rPr>
        <w:t>五、使用边界</w:t>
      </w:r>
    </w:p>
    <w:p>
      <w:r>
        <w:rPr>
          <w:rFonts w:ascii="微软雅黑" w:hAnsi="微软雅黑" w:eastAsia="微软雅黑"/>
          <w:b w:val="0"/>
          <w:sz w:val="21"/>
        </w:rPr>
        <w:t>本专题适合回答项目总览、对象、支持标准、主管部门与常见问法，不代表逐条条文全文。若用户继续追问“具体条件、需要提交什么材料、申请流程到哪一步、资金如何分期拨付、管理期内考核怎样进行”等问题，应进一步命中对应项目实施办法原文或专题文档。</w:t>
      </w:r>
    </w:p>
    <w:sectPr w:rsidR="00FC693F" w:rsidRPr="0006063C" w:rsidSect="00034616">
      <w:pgSz w:w="12240" w:h="15840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basedOn w:val="Title"/>
    <w:rPr>
      <w:rFonts w:ascii="微软雅黑" w:hAnsi="微软雅黑" w:eastAsia="微软雅黑"/>
      <w:b/>
      <w:color w:val="123A62"/>
      <w:sz w:val="48"/>
    </w:rPr>
  </w:style>
  <w:style w:type="paragraph" w:customStyle="1" w:styleId="CustomSubtitle">
    <w:name w:val="Custom Subtitle"/>
    <w:basedOn w:val="Subtitle"/>
    <w:rPr>
      <w:rFonts w:ascii="微软雅黑" w:hAnsi="微软雅黑" w:eastAsia="微软雅黑"/>
      <w:b w:val="0"/>
      <w:color w:val="5E6B7A"/>
      <w:sz w:val="22"/>
    </w:rPr>
  </w:style>
  <w:style w:type="paragraph" w:customStyle="1" w:styleId="CustomH1">
    <w:name w:val="Custom H1"/>
    <w:basedOn w:val="Heading1"/>
    <w:rPr>
      <w:rFonts w:ascii="微软雅黑" w:hAnsi="微软雅黑" w:eastAsia="微软雅黑"/>
      <w:b/>
      <w:color w:val="123A62"/>
      <w:sz w:val="32"/>
    </w:rPr>
  </w:style>
  <w:style w:type="paragraph" w:customStyle="1" w:styleId="CustomH2">
    <w:name w:val="Custom H2"/>
    <w:basedOn w:val="Heading2"/>
    <w:rPr>
      <w:rFonts w:ascii="微软雅黑" w:hAnsi="微软雅黑" w:eastAsia="微软雅黑"/>
      <w:b/>
      <w:color w:val="123A62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