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1BA2" w14:textId="46751D82" w:rsidR="00041A86" w:rsidRDefault="00041A86" w:rsidP="00041A86">
      <w:pPr>
        <w:keepNext/>
        <w:pBdr>
          <w:bottom w:val="single" w:sz="6" w:space="1" w:color="003366"/>
        </w:pBdr>
        <w:spacing w:before="240" w:after="80"/>
        <w:jc w:val="both"/>
      </w:pPr>
      <w:r>
        <w:rPr>
          <w:rFonts w:ascii="Arial" w:hAnsi="Arial"/>
          <w:b/>
          <w:color w:val="003366"/>
          <w:sz w:val="32"/>
        </w:rPr>
        <w:t>CONFLICT OF INTEREST MANAGEMENT POLICY</w:t>
      </w:r>
    </w:p>
    <w:p w14:paraId="3BA2D23F" w14:textId="6F2A33DD" w:rsidR="00041A86" w:rsidRDefault="00041A86" w:rsidP="00041A86">
      <w:pPr>
        <w:keepNext/>
        <w:spacing w:before="240" w:after="80"/>
        <w:jc w:val="both"/>
      </w:pPr>
      <w:r>
        <w:rPr>
          <w:rFonts w:ascii="Arial" w:hAnsi="Arial"/>
          <w:b/>
          <w:color w:val="4682B4"/>
          <w:sz w:val="26"/>
        </w:rPr>
        <w:t>Policy Purpose and Scope</w:t>
      </w:r>
    </w:p>
    <w:p w14:paraId="70687DCC" w14:textId="01C4224B" w:rsidR="00041A86" w:rsidRDefault="00041A86" w:rsidP="00041A86">
      <w:pPr>
        <w:spacing w:after="120"/>
        <w:jc w:val="both"/>
      </w:pPr>
      <w:r>
        <w:rPr>
          <w:rFonts w:ascii="Arial" w:hAnsi="Arial"/>
          <w:color w:val="333333"/>
          <w:sz w:val="21"/>
        </w:rPr>
        <w:t xml:space="preserve">In terms of the General Code of Conduct for </w:t>
      </w:r>
      <w:proofErr w:type="spellStart"/>
      <w:r>
        <w:rPr>
          <w:rFonts w:ascii="Arial" w:hAnsi="Arial"/>
          <w:color w:val="333333"/>
          <w:sz w:val="21"/>
        </w:rPr>
        <w:t>Authori</w:t>
      </w:r>
      <w:r>
        <w:rPr>
          <w:rFonts w:ascii="Arial" w:hAnsi="Arial"/>
          <w:color w:val="333333"/>
          <w:sz w:val="21"/>
        </w:rPr>
        <w:t>s</w:t>
      </w:r>
      <w:r>
        <w:rPr>
          <w:rFonts w:ascii="Arial" w:hAnsi="Arial"/>
          <w:color w:val="333333"/>
          <w:sz w:val="21"/>
        </w:rPr>
        <w:t>ed</w:t>
      </w:r>
      <w:proofErr w:type="spellEnd"/>
      <w:r>
        <w:rPr>
          <w:rFonts w:ascii="Arial" w:hAnsi="Arial"/>
          <w:color w:val="333333"/>
          <w:sz w:val="21"/>
        </w:rPr>
        <w:t xml:space="preserve"> Financial Services Providers and Representatives under the FAIS Act, </w:t>
      </w:r>
      <w:r>
        <w:rPr>
          <w:rFonts w:ascii="Arial" w:hAnsi="Arial"/>
          <w:color w:val="333333"/>
          <w:sz w:val="21"/>
        </w:rPr>
        <w:t>Black Swan Insurance Brokers</w:t>
      </w:r>
      <w:r>
        <w:rPr>
          <w:rFonts w:ascii="Arial" w:hAnsi="Arial"/>
          <w:color w:val="333333"/>
          <w:sz w:val="21"/>
        </w:rPr>
        <w:t xml:space="preserve"> is legally required to implement, maintain, and ensure an effective conflict of interest management policy. The primary objective is to guarantee that financial services are rendered to clients objectively, independently, and in a manner that explicitly </w:t>
      </w:r>
      <w:proofErr w:type="spellStart"/>
      <w:r>
        <w:rPr>
          <w:rFonts w:ascii="Arial" w:hAnsi="Arial"/>
          <w:color w:val="333333"/>
          <w:sz w:val="21"/>
        </w:rPr>
        <w:t>prioriti</w:t>
      </w:r>
      <w:r>
        <w:rPr>
          <w:rFonts w:ascii="Arial" w:hAnsi="Arial"/>
          <w:color w:val="333333"/>
          <w:sz w:val="21"/>
        </w:rPr>
        <w:t>s</w:t>
      </w:r>
      <w:r>
        <w:rPr>
          <w:rFonts w:ascii="Arial" w:hAnsi="Arial"/>
          <w:color w:val="333333"/>
          <w:sz w:val="21"/>
        </w:rPr>
        <w:t>es</w:t>
      </w:r>
      <w:proofErr w:type="spellEnd"/>
      <w:r>
        <w:rPr>
          <w:rFonts w:ascii="Arial" w:hAnsi="Arial"/>
          <w:color w:val="333333"/>
          <w:sz w:val="21"/>
        </w:rPr>
        <w:t xml:space="preserve"> the client's interests above our own.</w:t>
      </w:r>
    </w:p>
    <w:p w14:paraId="73AEDCD0" w14:textId="6276BD08" w:rsidR="00041A86" w:rsidRDefault="00041A86" w:rsidP="00041A86">
      <w:pPr>
        <w:keepNext/>
        <w:spacing w:before="240" w:after="80"/>
        <w:jc w:val="both"/>
      </w:pPr>
      <w:r>
        <w:rPr>
          <w:rFonts w:ascii="Arial" w:hAnsi="Arial"/>
          <w:b/>
          <w:color w:val="4682B4"/>
          <w:sz w:val="26"/>
        </w:rPr>
        <w:t>Definition of Conflict of Interest</w:t>
      </w:r>
    </w:p>
    <w:p w14:paraId="165A125F" w14:textId="77777777" w:rsidR="00041A86" w:rsidRDefault="00041A86" w:rsidP="00041A86">
      <w:pPr>
        <w:spacing w:after="120"/>
        <w:jc w:val="both"/>
      </w:pPr>
      <w:r>
        <w:rPr>
          <w:rFonts w:ascii="Arial" w:hAnsi="Arial"/>
          <w:color w:val="333333"/>
          <w:sz w:val="21"/>
        </w:rPr>
        <w:t>A conflict of interest arises when an actual or potential situation exists where an FSP or a representative has an actual or financial interest that may influence the objectivity of their service to a client, thereby preventing them from rendering unbiased and fair financial advice.</w:t>
      </w:r>
    </w:p>
    <w:p w14:paraId="187F9544" w14:textId="0E6CFDBB" w:rsidR="00041A86" w:rsidRDefault="00041A86" w:rsidP="00041A86">
      <w:pPr>
        <w:keepNext/>
        <w:spacing w:before="240" w:after="80"/>
        <w:jc w:val="both"/>
      </w:pPr>
      <w:r>
        <w:rPr>
          <w:rFonts w:ascii="Arial" w:hAnsi="Arial"/>
          <w:b/>
          <w:color w:val="4682B4"/>
          <w:sz w:val="26"/>
        </w:rPr>
        <w:t>Financial Interest Limitations and Prohibitions</w:t>
      </w:r>
    </w:p>
    <w:p w14:paraId="718E0181" w14:textId="72792E5C" w:rsidR="00041A86" w:rsidRDefault="00041A86" w:rsidP="00041A86">
      <w:pPr>
        <w:spacing w:after="120"/>
        <w:jc w:val="both"/>
      </w:pPr>
      <w:r>
        <w:rPr>
          <w:rFonts w:ascii="Arial" w:hAnsi="Arial"/>
          <w:color w:val="333333"/>
          <w:sz w:val="21"/>
        </w:rPr>
        <w:t>Black Swan Insurance Brokers</w:t>
      </w:r>
      <w:r>
        <w:rPr>
          <w:rFonts w:ascii="Arial" w:hAnsi="Arial"/>
          <w:color w:val="333333"/>
          <w:sz w:val="21"/>
        </w:rPr>
        <w:t xml:space="preserve"> and its representatives are strictly permitted to receive or offer only the following financial interests from or to third parties:</w:t>
      </w:r>
    </w:p>
    <w:p w14:paraId="6FDCADB8" w14:textId="688283C3" w:rsidR="00041A86" w:rsidRDefault="00041A86" w:rsidP="00041A86">
      <w:pPr>
        <w:pStyle w:val="ListBullet"/>
        <w:tabs>
          <w:tab w:val="num" w:pos="360"/>
        </w:tabs>
        <w:spacing w:after="60"/>
        <w:ind w:left="360" w:hanging="360"/>
        <w:jc w:val="both"/>
      </w:pPr>
      <w:r>
        <w:rPr>
          <w:rFonts w:ascii="Arial" w:hAnsi="Arial"/>
          <w:color w:val="333333"/>
          <w:sz w:val="21"/>
        </w:rPr>
        <w:t xml:space="preserve">Statutory commission </w:t>
      </w:r>
      <w:proofErr w:type="spellStart"/>
      <w:r>
        <w:rPr>
          <w:rFonts w:ascii="Arial" w:hAnsi="Arial"/>
          <w:color w:val="333333"/>
          <w:sz w:val="21"/>
        </w:rPr>
        <w:t>authori</w:t>
      </w:r>
      <w:r>
        <w:rPr>
          <w:rFonts w:ascii="Arial" w:hAnsi="Arial"/>
          <w:color w:val="333333"/>
          <w:sz w:val="21"/>
        </w:rPr>
        <w:t>s</w:t>
      </w:r>
      <w:r>
        <w:rPr>
          <w:rFonts w:ascii="Arial" w:hAnsi="Arial"/>
          <w:color w:val="333333"/>
          <w:sz w:val="21"/>
        </w:rPr>
        <w:t>ed</w:t>
      </w:r>
      <w:proofErr w:type="spellEnd"/>
      <w:r>
        <w:rPr>
          <w:rFonts w:ascii="Arial" w:hAnsi="Arial"/>
          <w:color w:val="333333"/>
          <w:sz w:val="21"/>
        </w:rPr>
        <w:t xml:space="preserve"> under the Short-term or Long-term Insurance Acts.</w:t>
      </w:r>
    </w:p>
    <w:p w14:paraId="00014F6D" w14:textId="6372AE85" w:rsidR="00041A86" w:rsidRDefault="00041A86" w:rsidP="00041A86">
      <w:pPr>
        <w:pStyle w:val="ListBullet"/>
        <w:tabs>
          <w:tab w:val="num" w:pos="360"/>
        </w:tabs>
        <w:spacing w:after="60"/>
        <w:ind w:left="360" w:hanging="360"/>
        <w:jc w:val="both"/>
      </w:pPr>
      <w:r>
        <w:rPr>
          <w:rFonts w:ascii="Arial" w:hAnsi="Arial"/>
          <w:color w:val="333333"/>
          <w:sz w:val="21"/>
        </w:rPr>
        <w:t xml:space="preserve">Fees </w:t>
      </w:r>
      <w:proofErr w:type="spellStart"/>
      <w:r>
        <w:rPr>
          <w:rFonts w:ascii="Arial" w:hAnsi="Arial"/>
          <w:color w:val="333333"/>
          <w:sz w:val="21"/>
        </w:rPr>
        <w:t>authori</w:t>
      </w:r>
      <w:r>
        <w:rPr>
          <w:rFonts w:ascii="Arial" w:hAnsi="Arial"/>
          <w:color w:val="333333"/>
          <w:sz w:val="21"/>
        </w:rPr>
        <w:t>s</w:t>
      </w:r>
      <w:r>
        <w:rPr>
          <w:rFonts w:ascii="Arial" w:hAnsi="Arial"/>
          <w:color w:val="333333"/>
          <w:sz w:val="21"/>
        </w:rPr>
        <w:t>ed</w:t>
      </w:r>
      <w:proofErr w:type="spellEnd"/>
      <w:r>
        <w:rPr>
          <w:rFonts w:ascii="Arial" w:hAnsi="Arial"/>
          <w:color w:val="333333"/>
          <w:sz w:val="21"/>
        </w:rPr>
        <w:t xml:space="preserve"> under the Short-term or Long-term Insurance Acts, provided they are reasonably commensurate with the service rendered.</w:t>
      </w:r>
    </w:p>
    <w:p w14:paraId="4D50CB82" w14:textId="77777777" w:rsidR="00041A86" w:rsidRDefault="00041A86" w:rsidP="00041A86">
      <w:pPr>
        <w:pStyle w:val="ListBullet"/>
        <w:tabs>
          <w:tab w:val="num" w:pos="360"/>
        </w:tabs>
        <w:spacing w:after="60"/>
        <w:ind w:left="360" w:hanging="360"/>
        <w:jc w:val="both"/>
      </w:pPr>
      <w:r>
        <w:rPr>
          <w:rFonts w:ascii="Arial" w:hAnsi="Arial"/>
          <w:color w:val="333333"/>
          <w:sz w:val="21"/>
        </w:rPr>
        <w:t>Fees for rendering a financial service for which commission or fees are not provided for, provided the client has explicitly agreed to it in writing and can stop it at any time.</w:t>
      </w:r>
    </w:p>
    <w:p w14:paraId="2F9C1BF0" w14:textId="77777777" w:rsidR="00041A86" w:rsidRDefault="00041A86" w:rsidP="00041A86">
      <w:pPr>
        <w:pStyle w:val="ListBullet"/>
        <w:tabs>
          <w:tab w:val="num" w:pos="360"/>
        </w:tabs>
        <w:spacing w:after="60"/>
        <w:ind w:left="360" w:hanging="360"/>
        <w:jc w:val="both"/>
      </w:pPr>
      <w:r>
        <w:rPr>
          <w:rFonts w:ascii="Arial" w:hAnsi="Arial"/>
          <w:color w:val="333333"/>
          <w:sz w:val="21"/>
        </w:rPr>
        <w:t>An immaterial financial interest, defined as any financial interest with a third party that does not exceed an aggregate value of R1 000 in any single calendar year from that same provider.</w:t>
      </w:r>
    </w:p>
    <w:p w14:paraId="12E88222" w14:textId="7FBC2802" w:rsidR="00041A86" w:rsidRDefault="00041A86" w:rsidP="00041A86">
      <w:pPr>
        <w:keepNext/>
        <w:spacing w:before="240" w:after="80"/>
        <w:jc w:val="both"/>
      </w:pPr>
      <w:r>
        <w:rPr>
          <w:rFonts w:ascii="Arial" w:hAnsi="Arial"/>
          <w:b/>
          <w:color w:val="4682B4"/>
          <w:sz w:val="26"/>
        </w:rPr>
        <w:t>Identification, Mitigation, and Disclosure Mechanisms</w:t>
      </w:r>
    </w:p>
    <w:p w14:paraId="7CD511D0" w14:textId="77777777" w:rsidR="00041A86" w:rsidRDefault="00041A86" w:rsidP="00041A86">
      <w:pPr>
        <w:spacing w:after="120"/>
        <w:jc w:val="both"/>
      </w:pPr>
      <w:r>
        <w:rPr>
          <w:rFonts w:ascii="Arial" w:hAnsi="Arial"/>
          <w:color w:val="333333"/>
          <w:sz w:val="21"/>
        </w:rPr>
        <w:t>We proactively manage potential conflicts through the following control mechanisms:</w:t>
      </w:r>
    </w:p>
    <w:p w14:paraId="15195300" w14:textId="646E05E1" w:rsidR="00041A86" w:rsidRDefault="00041A86" w:rsidP="00041A86">
      <w:pPr>
        <w:pStyle w:val="ListBullet"/>
        <w:tabs>
          <w:tab w:val="num" w:pos="360"/>
        </w:tabs>
        <w:spacing w:after="60"/>
        <w:ind w:left="360" w:hanging="360"/>
        <w:jc w:val="both"/>
      </w:pPr>
      <w:r>
        <w:rPr>
          <w:rFonts w:ascii="Arial" w:hAnsi="Arial"/>
          <w:b/>
          <w:sz w:val="21"/>
        </w:rPr>
        <w:t xml:space="preserve">Identification: </w:t>
      </w:r>
      <w:r>
        <w:rPr>
          <w:rFonts w:ascii="Arial" w:hAnsi="Arial"/>
          <w:color w:val="333333"/>
          <w:sz w:val="21"/>
        </w:rPr>
        <w:t xml:space="preserve">Our internal </w:t>
      </w:r>
      <w:r>
        <w:rPr>
          <w:rFonts w:ascii="Arial" w:hAnsi="Arial"/>
          <w:color w:val="333333"/>
          <w:sz w:val="21"/>
        </w:rPr>
        <w:t>c</w:t>
      </w:r>
      <w:r>
        <w:rPr>
          <w:rFonts w:ascii="Arial" w:hAnsi="Arial"/>
          <w:color w:val="333333"/>
          <w:sz w:val="21"/>
        </w:rPr>
        <w:t xml:space="preserve">ompliance </w:t>
      </w:r>
      <w:r>
        <w:rPr>
          <w:rFonts w:ascii="Arial" w:hAnsi="Arial"/>
          <w:color w:val="333333"/>
          <w:sz w:val="21"/>
        </w:rPr>
        <w:t>o</w:t>
      </w:r>
      <w:r>
        <w:rPr>
          <w:rFonts w:ascii="Arial" w:hAnsi="Arial"/>
          <w:color w:val="333333"/>
          <w:sz w:val="21"/>
        </w:rPr>
        <w:t>fficer reviews all intermediary relationships and product provider agreements regularly to identify structural conflicts.</w:t>
      </w:r>
    </w:p>
    <w:p w14:paraId="0791D2FD" w14:textId="3801E743" w:rsidR="00041A86" w:rsidRDefault="00041A86" w:rsidP="00041A86">
      <w:pPr>
        <w:pStyle w:val="ListBullet"/>
        <w:tabs>
          <w:tab w:val="num" w:pos="360"/>
        </w:tabs>
        <w:spacing w:after="60"/>
        <w:ind w:left="360" w:hanging="360"/>
        <w:jc w:val="both"/>
      </w:pPr>
      <w:r>
        <w:rPr>
          <w:rFonts w:ascii="Arial" w:hAnsi="Arial"/>
          <w:b/>
          <w:sz w:val="21"/>
        </w:rPr>
        <w:t xml:space="preserve">Mitigation: </w:t>
      </w:r>
      <w:r>
        <w:rPr>
          <w:rFonts w:ascii="Arial" w:hAnsi="Arial"/>
          <w:color w:val="333333"/>
          <w:sz w:val="21"/>
        </w:rPr>
        <w:t xml:space="preserve">Representatives are strictly trained to avoid any relationship that compromises professional objectivity. If an unavoidable conflict is identified, it must immediately be logged in our </w:t>
      </w:r>
      <w:r>
        <w:rPr>
          <w:rFonts w:ascii="Arial" w:hAnsi="Arial"/>
          <w:color w:val="333333"/>
          <w:sz w:val="21"/>
        </w:rPr>
        <w:t>Conflict-of-Interest</w:t>
      </w:r>
      <w:r>
        <w:rPr>
          <w:rFonts w:ascii="Arial" w:hAnsi="Arial"/>
          <w:color w:val="333333"/>
          <w:sz w:val="21"/>
        </w:rPr>
        <w:t xml:space="preserve"> Register.</w:t>
      </w:r>
    </w:p>
    <w:p w14:paraId="0057D8EE" w14:textId="77777777" w:rsidR="00041A86" w:rsidRDefault="00041A86" w:rsidP="00041A86">
      <w:pPr>
        <w:pStyle w:val="ListBullet"/>
        <w:tabs>
          <w:tab w:val="num" w:pos="360"/>
        </w:tabs>
        <w:spacing w:after="60"/>
        <w:ind w:left="360" w:hanging="360"/>
        <w:jc w:val="both"/>
      </w:pPr>
      <w:r>
        <w:rPr>
          <w:rFonts w:ascii="Arial" w:hAnsi="Arial"/>
          <w:b/>
          <w:sz w:val="21"/>
        </w:rPr>
        <w:t xml:space="preserve">Disclosure: </w:t>
      </w:r>
      <w:r>
        <w:rPr>
          <w:rFonts w:ascii="Arial" w:hAnsi="Arial"/>
          <w:color w:val="333333"/>
          <w:sz w:val="21"/>
        </w:rPr>
        <w:t>We will provide complete written disclosures to the client regarding any potential conflict of interest associated with a specific recommended product, including exact commission structures or ownership relationships.</w:t>
      </w:r>
    </w:p>
    <w:p w14:paraId="5983B54C" w14:textId="77777777" w:rsidR="00CB0287" w:rsidRDefault="00CB0287" w:rsidP="00041A86">
      <w:pPr>
        <w:jc w:val="both"/>
      </w:pPr>
    </w:p>
    <w:sectPr w:rsidR="00CB0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5EA47C"/>
    <w:lvl w:ilvl="0">
      <w:start w:val="1"/>
      <w:numFmt w:val="bullet"/>
      <w:pStyle w:val="ListBullet"/>
      <w:lvlText w:val=""/>
      <w:lvlJc w:val="left"/>
      <w:pPr>
        <w:tabs>
          <w:tab w:val="num" w:pos="360"/>
        </w:tabs>
        <w:ind w:left="360" w:hanging="360"/>
      </w:pPr>
      <w:rPr>
        <w:rFonts w:ascii="Symbol" w:hAnsi="Symbol" w:hint="default"/>
      </w:rPr>
    </w:lvl>
  </w:abstractNum>
  <w:num w:numId="1" w16cid:durableId="1522933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A86"/>
    <w:rsid w:val="00041A86"/>
    <w:rsid w:val="001B4EAB"/>
    <w:rsid w:val="00813F0C"/>
    <w:rsid w:val="00CB0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6D06E"/>
  <w15:chartTrackingRefBased/>
  <w15:docId w15:val="{BE5B4F82-7532-42AE-8B01-3BA8B716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A86"/>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41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A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A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A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A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A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A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A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A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A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A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A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A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A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A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A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A86"/>
    <w:rPr>
      <w:rFonts w:eastAsiaTheme="majorEastAsia" w:cstheme="majorBidi"/>
      <w:color w:val="272727" w:themeColor="text1" w:themeTint="D8"/>
    </w:rPr>
  </w:style>
  <w:style w:type="paragraph" w:styleId="Title">
    <w:name w:val="Title"/>
    <w:basedOn w:val="Normal"/>
    <w:next w:val="Normal"/>
    <w:link w:val="TitleChar"/>
    <w:uiPriority w:val="10"/>
    <w:qFormat/>
    <w:rsid w:val="00041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A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A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A86"/>
    <w:pPr>
      <w:spacing w:before="160"/>
      <w:jc w:val="center"/>
    </w:pPr>
    <w:rPr>
      <w:i/>
      <w:iCs/>
      <w:color w:val="404040" w:themeColor="text1" w:themeTint="BF"/>
    </w:rPr>
  </w:style>
  <w:style w:type="character" w:customStyle="1" w:styleId="QuoteChar">
    <w:name w:val="Quote Char"/>
    <w:basedOn w:val="DefaultParagraphFont"/>
    <w:link w:val="Quote"/>
    <w:uiPriority w:val="29"/>
    <w:rsid w:val="00041A86"/>
    <w:rPr>
      <w:i/>
      <w:iCs/>
      <w:color w:val="404040" w:themeColor="text1" w:themeTint="BF"/>
    </w:rPr>
  </w:style>
  <w:style w:type="paragraph" w:styleId="ListParagraph">
    <w:name w:val="List Paragraph"/>
    <w:basedOn w:val="Normal"/>
    <w:uiPriority w:val="34"/>
    <w:qFormat/>
    <w:rsid w:val="00041A86"/>
    <w:pPr>
      <w:ind w:left="720"/>
      <w:contextualSpacing/>
    </w:pPr>
  </w:style>
  <w:style w:type="character" w:styleId="IntenseEmphasis">
    <w:name w:val="Intense Emphasis"/>
    <w:basedOn w:val="DefaultParagraphFont"/>
    <w:uiPriority w:val="21"/>
    <w:qFormat/>
    <w:rsid w:val="00041A86"/>
    <w:rPr>
      <w:i/>
      <w:iCs/>
      <w:color w:val="0F4761" w:themeColor="accent1" w:themeShade="BF"/>
    </w:rPr>
  </w:style>
  <w:style w:type="paragraph" w:styleId="IntenseQuote">
    <w:name w:val="Intense Quote"/>
    <w:basedOn w:val="Normal"/>
    <w:next w:val="Normal"/>
    <w:link w:val="IntenseQuoteChar"/>
    <w:uiPriority w:val="30"/>
    <w:qFormat/>
    <w:rsid w:val="00041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A86"/>
    <w:rPr>
      <w:i/>
      <w:iCs/>
      <w:color w:val="0F4761" w:themeColor="accent1" w:themeShade="BF"/>
    </w:rPr>
  </w:style>
  <w:style w:type="character" w:styleId="IntenseReference">
    <w:name w:val="Intense Reference"/>
    <w:basedOn w:val="DefaultParagraphFont"/>
    <w:uiPriority w:val="32"/>
    <w:qFormat/>
    <w:rsid w:val="00041A86"/>
    <w:rPr>
      <w:b/>
      <w:bCs/>
      <w:smallCaps/>
      <w:color w:val="0F4761" w:themeColor="accent1" w:themeShade="BF"/>
      <w:spacing w:val="5"/>
    </w:rPr>
  </w:style>
  <w:style w:type="paragraph" w:styleId="ListBullet">
    <w:name w:val="List Bullet"/>
    <w:basedOn w:val="Normal"/>
    <w:uiPriority w:val="99"/>
    <w:unhideWhenUsed/>
    <w:rsid w:val="00041A86"/>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357</Words>
  <Characters>2037</Characters>
  <Application>Microsoft Office Word</Application>
  <DocSecurity>0</DocSecurity>
  <Lines>16</Lines>
  <Paragraphs>4</Paragraphs>
  <ScaleCrop>false</ScaleCrop>
  <Company/>
  <LinksUpToDate>false</LinksUpToDate>
  <CharactersWithSpaces>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Wade Butlion</dc:creator>
  <cp:keywords/>
  <dc:description/>
  <cp:lastModifiedBy>Wade Butlion</cp:lastModifiedBy>
  <cp:revision>1</cp:revision>
  <dcterms:created xsi:type="dcterms:W3CDTF">2026-08-25T11:39:00Z</dcterms:created>
  <dcterms:modified xsi:type="dcterms:W3CDTF">2026-08-25T11:42:00Z</dcterms:modified>
</cp:coreProperties>
</file>