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868BFE" w14:textId="409A41CA" w:rsidR="00C5009B" w:rsidRDefault="00C5009B" w:rsidP="00C5009B">
      <w:pPr>
        <w:keepNext/>
        <w:pBdr>
          <w:bottom w:val="single" w:sz="6" w:space="1" w:color="003366"/>
        </w:pBdr>
        <w:spacing w:before="240" w:after="80"/>
        <w:jc w:val="both"/>
      </w:pPr>
      <w:r>
        <w:rPr>
          <w:rFonts w:ascii="Arial" w:hAnsi="Arial"/>
          <w:b/>
          <w:color w:val="003366"/>
          <w:sz w:val="32"/>
        </w:rPr>
        <w:t>PAIA MANUAL</w:t>
      </w:r>
    </w:p>
    <w:p w14:paraId="34B568F7" w14:textId="77777777" w:rsidR="00C5009B" w:rsidRDefault="00C5009B" w:rsidP="00C5009B">
      <w:pPr>
        <w:spacing w:after="120"/>
        <w:jc w:val="both"/>
      </w:pPr>
      <w:r>
        <w:rPr>
          <w:rFonts w:ascii="Arial" w:hAnsi="Arial"/>
          <w:color w:val="333333"/>
          <w:sz w:val="21"/>
        </w:rPr>
        <w:t>Prepared in terms of Section 51 of the Promotion of Access to Information Act, No. 2 of 2000 ('PAIA') and incorporating the requirements of the Protection of Personal Information Act, No. 4 of 2013 ('POPIA') for [Insert Brokerage / Business Name].</w:t>
      </w:r>
    </w:p>
    <w:p w14:paraId="2E888F78" w14:textId="4422668A" w:rsidR="00C5009B" w:rsidRDefault="00C5009B" w:rsidP="00C5009B">
      <w:pPr>
        <w:keepNext/>
        <w:spacing w:before="240" w:after="80"/>
        <w:jc w:val="both"/>
      </w:pPr>
      <w:r>
        <w:rPr>
          <w:rFonts w:ascii="Arial" w:hAnsi="Arial"/>
          <w:b/>
          <w:color w:val="4682B4"/>
          <w:sz w:val="26"/>
        </w:rPr>
        <w:t>Introduction and Purpose</w:t>
      </w:r>
    </w:p>
    <w:p w14:paraId="47F4A9DD" w14:textId="6F5EAB89" w:rsidR="00C5009B" w:rsidRDefault="00C5009B" w:rsidP="00C5009B">
      <w:pPr>
        <w:spacing w:after="120"/>
        <w:jc w:val="both"/>
      </w:pPr>
      <w:r>
        <w:rPr>
          <w:rFonts w:ascii="Arial" w:hAnsi="Arial"/>
          <w:color w:val="333333"/>
          <w:sz w:val="21"/>
        </w:rPr>
        <w:t>This manual exists to ensure that</w:t>
      </w:r>
      <w:r>
        <w:rPr>
          <w:rFonts w:ascii="Arial" w:hAnsi="Arial"/>
          <w:color w:val="333333"/>
          <w:sz w:val="21"/>
        </w:rPr>
        <w:t xml:space="preserve"> Black Swan Insurance Brokers</w:t>
      </w:r>
      <w:r>
        <w:rPr>
          <w:rFonts w:ascii="Arial" w:hAnsi="Arial"/>
          <w:color w:val="333333"/>
          <w:sz w:val="21"/>
        </w:rPr>
        <w:t xml:space="preserve"> complies with the South African Constitution's right to access to information held by private bodies, where such information is required for the exercise or protection of any rights. It outlines the types of records held by the FSP and the procedure required for data subjects to request access to these records.</w:t>
      </w:r>
    </w:p>
    <w:p w14:paraId="102550C4" w14:textId="5147C612" w:rsidR="00C5009B" w:rsidRDefault="00C5009B" w:rsidP="00C5009B">
      <w:pPr>
        <w:keepNext/>
        <w:spacing w:before="240" w:after="80"/>
        <w:jc w:val="both"/>
      </w:pPr>
      <w:r>
        <w:rPr>
          <w:rFonts w:ascii="Arial" w:hAnsi="Arial"/>
          <w:b/>
          <w:color w:val="4682B4"/>
          <w:sz w:val="26"/>
        </w:rPr>
        <w:t>Company and Contact Details</w:t>
      </w:r>
    </w:p>
    <w:p w14:paraId="02981BA4" w14:textId="2E9A7E5A" w:rsidR="00C5009B" w:rsidRDefault="00C5009B" w:rsidP="00C5009B">
      <w:pPr>
        <w:spacing w:after="120"/>
        <w:jc w:val="both"/>
      </w:pPr>
      <w:r>
        <w:rPr>
          <w:rFonts w:ascii="Arial" w:hAnsi="Arial"/>
          <w:b/>
          <w:color w:val="333333"/>
          <w:sz w:val="21"/>
        </w:rPr>
        <w:t xml:space="preserve">Registered Name: </w:t>
      </w:r>
      <w:r>
        <w:rPr>
          <w:rFonts w:ascii="Arial" w:hAnsi="Arial"/>
          <w:color w:val="333333"/>
          <w:sz w:val="21"/>
        </w:rPr>
        <w:t>The Dennis Butlion Organisation CC trading as Black Swan Insurance Brokers</w:t>
      </w:r>
    </w:p>
    <w:p w14:paraId="20690B0B" w14:textId="4DCA14AB" w:rsidR="00C5009B" w:rsidRDefault="00C5009B" w:rsidP="00C5009B">
      <w:pPr>
        <w:spacing w:after="120"/>
        <w:jc w:val="both"/>
      </w:pPr>
      <w:r>
        <w:rPr>
          <w:rFonts w:ascii="Arial" w:hAnsi="Arial"/>
          <w:b/>
          <w:color w:val="333333"/>
          <w:sz w:val="21"/>
        </w:rPr>
        <w:t xml:space="preserve">FSP Registration Number: </w:t>
      </w:r>
      <w:r>
        <w:rPr>
          <w:rFonts w:ascii="Arial" w:hAnsi="Arial"/>
          <w:color w:val="333333"/>
          <w:sz w:val="21"/>
        </w:rPr>
        <w:t>8231</w:t>
      </w:r>
    </w:p>
    <w:p w14:paraId="45A27CF1" w14:textId="58C2D292" w:rsidR="00C5009B" w:rsidRDefault="00C5009B" w:rsidP="00C5009B">
      <w:pPr>
        <w:spacing w:after="120"/>
        <w:jc w:val="both"/>
      </w:pPr>
      <w:r>
        <w:rPr>
          <w:rFonts w:ascii="Arial" w:hAnsi="Arial"/>
          <w:b/>
          <w:color w:val="333333"/>
          <w:sz w:val="21"/>
        </w:rPr>
        <w:t xml:space="preserve">Physical Address: </w:t>
      </w:r>
      <w:r w:rsidRPr="00C5009B">
        <w:rPr>
          <w:rFonts w:ascii="Arial" w:hAnsi="Arial"/>
          <w:bCs/>
          <w:color w:val="333333"/>
          <w:sz w:val="21"/>
        </w:rPr>
        <w:t>Unit F1, Westlake Square, Westlake Drive, Westlake, 7945</w:t>
      </w:r>
    </w:p>
    <w:p w14:paraId="05A00471" w14:textId="1566E5D3" w:rsidR="00C5009B" w:rsidRDefault="00C5009B" w:rsidP="00C5009B">
      <w:pPr>
        <w:spacing w:after="120"/>
        <w:jc w:val="both"/>
      </w:pPr>
      <w:r>
        <w:rPr>
          <w:rFonts w:ascii="Arial" w:hAnsi="Arial"/>
          <w:b/>
          <w:color w:val="333333"/>
          <w:sz w:val="21"/>
        </w:rPr>
        <w:t xml:space="preserve">Postal Address: </w:t>
      </w:r>
      <w:r>
        <w:rPr>
          <w:rFonts w:ascii="Arial" w:hAnsi="Arial"/>
          <w:color w:val="333333"/>
          <w:sz w:val="21"/>
        </w:rPr>
        <w:t>PO Box 570, Constantia, 7848</w:t>
      </w:r>
    </w:p>
    <w:p w14:paraId="66D72330" w14:textId="03ECC997" w:rsidR="00C5009B" w:rsidRDefault="00C5009B" w:rsidP="00C5009B">
      <w:pPr>
        <w:spacing w:after="120"/>
        <w:jc w:val="both"/>
      </w:pPr>
      <w:r>
        <w:rPr>
          <w:rFonts w:ascii="Arial" w:hAnsi="Arial"/>
          <w:b/>
          <w:color w:val="333333"/>
          <w:sz w:val="21"/>
        </w:rPr>
        <w:t xml:space="preserve">Head of Business / Information Officer: </w:t>
      </w:r>
      <w:r>
        <w:rPr>
          <w:rFonts w:ascii="Arial" w:hAnsi="Arial"/>
          <w:color w:val="333333"/>
          <w:sz w:val="21"/>
        </w:rPr>
        <w:t>Dennis Butlion</w:t>
      </w:r>
    </w:p>
    <w:p w14:paraId="666DD4DB" w14:textId="770B3492" w:rsidR="00C5009B" w:rsidRDefault="00C5009B" w:rsidP="00C5009B">
      <w:pPr>
        <w:spacing w:after="120"/>
        <w:jc w:val="both"/>
      </w:pPr>
      <w:r>
        <w:rPr>
          <w:rFonts w:ascii="Arial" w:hAnsi="Arial"/>
          <w:b/>
          <w:color w:val="333333"/>
          <w:sz w:val="21"/>
        </w:rPr>
        <w:t xml:space="preserve">Information Officer Email: </w:t>
      </w:r>
      <w:r>
        <w:rPr>
          <w:rFonts w:ascii="Arial" w:hAnsi="Arial"/>
          <w:color w:val="333333"/>
          <w:sz w:val="21"/>
        </w:rPr>
        <w:t>Dennis Butlion</w:t>
      </w:r>
    </w:p>
    <w:p w14:paraId="1E8BCF65" w14:textId="19507F3C" w:rsidR="00C5009B" w:rsidRDefault="00C5009B" w:rsidP="00C5009B">
      <w:pPr>
        <w:spacing w:after="120"/>
        <w:jc w:val="both"/>
      </w:pPr>
      <w:r>
        <w:rPr>
          <w:rFonts w:ascii="Arial" w:hAnsi="Arial"/>
          <w:b/>
          <w:color w:val="333333"/>
          <w:sz w:val="21"/>
        </w:rPr>
        <w:t xml:space="preserve">Contact Number: </w:t>
      </w:r>
      <w:r>
        <w:rPr>
          <w:rFonts w:ascii="Arial" w:hAnsi="Arial"/>
          <w:color w:val="333333"/>
          <w:sz w:val="21"/>
        </w:rPr>
        <w:t>021 701 9989</w:t>
      </w:r>
    </w:p>
    <w:p w14:paraId="74A01680" w14:textId="543B6A7C" w:rsidR="00C5009B" w:rsidRDefault="00C5009B" w:rsidP="00C5009B">
      <w:pPr>
        <w:spacing w:after="120"/>
        <w:jc w:val="both"/>
      </w:pPr>
      <w:r>
        <w:rPr>
          <w:rFonts w:ascii="Arial" w:hAnsi="Arial"/>
          <w:b/>
          <w:color w:val="333333"/>
          <w:sz w:val="21"/>
        </w:rPr>
        <w:t xml:space="preserve">Website: </w:t>
      </w:r>
      <w:r w:rsidRPr="00C5009B">
        <w:rPr>
          <w:rFonts w:ascii="Arial" w:hAnsi="Arial"/>
          <w:color w:val="333333"/>
          <w:sz w:val="21"/>
        </w:rPr>
        <w:t xml:space="preserve"> </w:t>
      </w:r>
      <w:hyperlink r:id="rId5" w:history="1">
        <w:r w:rsidRPr="00FD4243">
          <w:rPr>
            <w:rStyle w:val="Hyperlink"/>
            <w:rFonts w:ascii="Arial" w:hAnsi="Arial"/>
            <w:sz w:val="21"/>
          </w:rPr>
          <w:t>https://</w:t>
        </w:r>
        <w:r w:rsidRPr="00FD4243">
          <w:rPr>
            <w:rStyle w:val="Hyperlink"/>
            <w:rFonts w:ascii="Arial" w:hAnsi="Arial"/>
            <w:sz w:val="21"/>
          </w:rPr>
          <w:t>blackswaninsurance.co.za</w:t>
        </w:r>
      </w:hyperlink>
      <w:r>
        <w:rPr>
          <w:rFonts w:ascii="Arial" w:hAnsi="Arial"/>
          <w:color w:val="333333"/>
          <w:sz w:val="21"/>
        </w:rPr>
        <w:t xml:space="preserve">  </w:t>
      </w:r>
    </w:p>
    <w:p w14:paraId="3C8C3146" w14:textId="2D47F557" w:rsidR="00C5009B" w:rsidRDefault="00C5009B" w:rsidP="00C5009B">
      <w:pPr>
        <w:keepNext/>
        <w:spacing w:before="240" w:after="80"/>
        <w:jc w:val="both"/>
      </w:pPr>
      <w:r>
        <w:rPr>
          <w:rFonts w:ascii="Arial" w:hAnsi="Arial"/>
          <w:b/>
          <w:color w:val="4682B4"/>
          <w:sz w:val="26"/>
        </w:rPr>
        <w:t>Guide on How to Use PAIA</w:t>
      </w:r>
    </w:p>
    <w:p w14:paraId="694B1F2C" w14:textId="77777777" w:rsidR="00C5009B" w:rsidRDefault="00C5009B" w:rsidP="00C5009B">
      <w:pPr>
        <w:spacing w:after="120"/>
        <w:jc w:val="both"/>
      </w:pPr>
      <w:r>
        <w:rPr>
          <w:rFonts w:ascii="Arial" w:hAnsi="Arial"/>
          <w:color w:val="333333"/>
          <w:sz w:val="21"/>
        </w:rPr>
        <w:t>The Information Regulator has compiled a guide in each official language on how to exercise your rights under PAIA. This guide is available on the Information Regulator's official website (https://inforegulator.org.za/). Any queries regarding this guide should be directed straight to the Information Regulator.</w:t>
      </w:r>
    </w:p>
    <w:p w14:paraId="01F7C589" w14:textId="0C357C1E" w:rsidR="00C5009B" w:rsidRDefault="00C5009B" w:rsidP="00C5009B">
      <w:pPr>
        <w:keepNext/>
        <w:spacing w:before="240" w:after="80"/>
        <w:jc w:val="both"/>
      </w:pPr>
      <w:r>
        <w:rPr>
          <w:rFonts w:ascii="Arial" w:hAnsi="Arial"/>
          <w:b/>
          <w:color w:val="4682B4"/>
          <w:sz w:val="26"/>
        </w:rPr>
        <w:t>Records Available in Terms of Other Legislation</w:t>
      </w:r>
    </w:p>
    <w:p w14:paraId="1961D77D" w14:textId="77777777" w:rsidR="00C5009B" w:rsidRDefault="00C5009B" w:rsidP="00C5009B">
      <w:pPr>
        <w:spacing w:after="120"/>
        <w:jc w:val="both"/>
      </w:pPr>
      <w:r>
        <w:rPr>
          <w:rFonts w:ascii="Arial" w:hAnsi="Arial"/>
          <w:color w:val="333333"/>
          <w:sz w:val="21"/>
        </w:rPr>
        <w:t>Where applicable, [Insert Brokerage Name] holds records in accordance with the following South African legislation:</w:t>
      </w:r>
    </w:p>
    <w:p w14:paraId="59948B29" w14:textId="77777777" w:rsidR="00C5009B" w:rsidRDefault="00C5009B" w:rsidP="00C5009B">
      <w:pPr>
        <w:pStyle w:val="ListBullet"/>
        <w:tabs>
          <w:tab w:val="num" w:pos="360"/>
        </w:tabs>
        <w:spacing w:after="60"/>
        <w:ind w:left="360" w:hanging="360"/>
        <w:jc w:val="both"/>
      </w:pPr>
      <w:r>
        <w:rPr>
          <w:rFonts w:ascii="Arial" w:hAnsi="Arial"/>
          <w:color w:val="333333"/>
          <w:sz w:val="21"/>
        </w:rPr>
        <w:t>Financial Advisory and Intermediary Services Act, No. 37 of 2002 ('FAIS')</w:t>
      </w:r>
    </w:p>
    <w:p w14:paraId="32AB8FF1" w14:textId="77777777" w:rsidR="00C5009B" w:rsidRDefault="00C5009B" w:rsidP="00C5009B">
      <w:pPr>
        <w:pStyle w:val="ListBullet"/>
        <w:tabs>
          <w:tab w:val="num" w:pos="360"/>
        </w:tabs>
        <w:spacing w:after="60"/>
        <w:ind w:left="360" w:hanging="360"/>
        <w:jc w:val="both"/>
      </w:pPr>
      <w:r>
        <w:rPr>
          <w:rFonts w:ascii="Arial" w:hAnsi="Arial"/>
          <w:color w:val="333333"/>
          <w:sz w:val="21"/>
        </w:rPr>
        <w:t>Financial Sector Regulation Act, No. 9 of 2017</w:t>
      </w:r>
    </w:p>
    <w:p w14:paraId="7ABDE78A" w14:textId="77777777" w:rsidR="00C5009B" w:rsidRDefault="00C5009B" w:rsidP="00C5009B">
      <w:pPr>
        <w:pStyle w:val="ListBullet"/>
        <w:tabs>
          <w:tab w:val="num" w:pos="360"/>
        </w:tabs>
        <w:spacing w:after="60"/>
        <w:ind w:left="360" w:hanging="360"/>
        <w:jc w:val="both"/>
      </w:pPr>
      <w:r>
        <w:rPr>
          <w:rFonts w:ascii="Arial" w:hAnsi="Arial"/>
          <w:color w:val="333333"/>
          <w:sz w:val="21"/>
        </w:rPr>
        <w:t>Short-term Insurance Act, No. 53 of 1998 / Long-term Insurance Act, No. 52 of 1998</w:t>
      </w:r>
    </w:p>
    <w:p w14:paraId="626894EA" w14:textId="77777777" w:rsidR="00C5009B" w:rsidRDefault="00C5009B" w:rsidP="00C5009B">
      <w:pPr>
        <w:pStyle w:val="ListBullet"/>
        <w:tabs>
          <w:tab w:val="num" w:pos="360"/>
        </w:tabs>
        <w:spacing w:after="60"/>
        <w:ind w:left="360" w:hanging="360"/>
        <w:jc w:val="both"/>
      </w:pPr>
      <w:r>
        <w:rPr>
          <w:rFonts w:ascii="Arial" w:hAnsi="Arial"/>
          <w:color w:val="333333"/>
          <w:sz w:val="21"/>
        </w:rPr>
        <w:t>Financial Intelligence Centre Act, No. 38 of 2001 ('FICA')</w:t>
      </w:r>
    </w:p>
    <w:p w14:paraId="6125B18B" w14:textId="77777777" w:rsidR="00C5009B" w:rsidRDefault="00C5009B" w:rsidP="00C5009B">
      <w:pPr>
        <w:pStyle w:val="ListBullet"/>
        <w:tabs>
          <w:tab w:val="num" w:pos="360"/>
        </w:tabs>
        <w:spacing w:after="60"/>
        <w:ind w:left="360" w:hanging="360"/>
        <w:jc w:val="both"/>
      </w:pPr>
      <w:r>
        <w:rPr>
          <w:rFonts w:ascii="Arial" w:hAnsi="Arial"/>
          <w:color w:val="333333"/>
          <w:sz w:val="21"/>
        </w:rPr>
        <w:t>Companies Act, No. 71 of 2008</w:t>
      </w:r>
    </w:p>
    <w:p w14:paraId="7E1907D8" w14:textId="77777777" w:rsidR="00C5009B" w:rsidRDefault="00C5009B" w:rsidP="00C5009B">
      <w:pPr>
        <w:pStyle w:val="ListBullet"/>
        <w:tabs>
          <w:tab w:val="num" w:pos="360"/>
        </w:tabs>
        <w:spacing w:after="60"/>
        <w:ind w:left="360" w:hanging="360"/>
        <w:jc w:val="both"/>
      </w:pPr>
      <w:r>
        <w:rPr>
          <w:rFonts w:ascii="Arial" w:hAnsi="Arial"/>
          <w:color w:val="333333"/>
          <w:sz w:val="21"/>
        </w:rPr>
        <w:t>Income Tax Act, No. 58 of 1962 and Value Added Tax Act, No. 89 of 1991</w:t>
      </w:r>
    </w:p>
    <w:p w14:paraId="214EEE52" w14:textId="77777777" w:rsidR="00C5009B" w:rsidRDefault="00C5009B" w:rsidP="00C5009B">
      <w:pPr>
        <w:pStyle w:val="ListBullet"/>
        <w:tabs>
          <w:tab w:val="num" w:pos="360"/>
        </w:tabs>
        <w:spacing w:after="60"/>
        <w:ind w:left="360" w:hanging="360"/>
        <w:jc w:val="both"/>
      </w:pPr>
      <w:r>
        <w:rPr>
          <w:rFonts w:ascii="Arial" w:hAnsi="Arial"/>
          <w:color w:val="333333"/>
          <w:sz w:val="21"/>
        </w:rPr>
        <w:t>Basic Conditions of Employment Act, No. 75 of 1997 and Labour Relations Act, No. 66 of 1995</w:t>
      </w:r>
    </w:p>
    <w:p w14:paraId="6C197536" w14:textId="5FD5750F" w:rsidR="00C5009B" w:rsidRDefault="00C5009B" w:rsidP="00C5009B">
      <w:pPr>
        <w:keepNext/>
        <w:spacing w:before="240" w:after="80"/>
        <w:jc w:val="both"/>
      </w:pPr>
      <w:r>
        <w:rPr>
          <w:rFonts w:ascii="Arial" w:hAnsi="Arial"/>
          <w:b/>
          <w:color w:val="4682B4"/>
          <w:sz w:val="26"/>
        </w:rPr>
        <w:lastRenderedPageBreak/>
        <w:t>Schedule of Records Held by the Brokerage</w:t>
      </w:r>
    </w:p>
    <w:p w14:paraId="27B28604" w14:textId="08AED67E" w:rsidR="00C5009B" w:rsidRDefault="00C5009B" w:rsidP="00C5009B">
      <w:pPr>
        <w:spacing w:after="120"/>
        <w:jc w:val="both"/>
      </w:pPr>
      <w:r>
        <w:rPr>
          <w:rFonts w:ascii="Arial" w:hAnsi="Arial"/>
          <w:color w:val="333333"/>
          <w:sz w:val="21"/>
        </w:rPr>
        <w:t>The following categories of records are held by</w:t>
      </w:r>
      <w:r>
        <w:rPr>
          <w:rFonts w:ascii="Arial" w:hAnsi="Arial"/>
          <w:color w:val="333333"/>
          <w:sz w:val="21"/>
        </w:rPr>
        <w:t xml:space="preserve"> Black Swan Insurance Brokers</w:t>
      </w:r>
      <w:r>
        <w:rPr>
          <w:rFonts w:ascii="Arial" w:hAnsi="Arial"/>
          <w:color w:val="333333"/>
          <w:sz w:val="21"/>
        </w:rPr>
        <w:t>, though access to them is subject to the formal request process detailed below:</w:t>
      </w:r>
    </w:p>
    <w:p w14:paraId="06CC026D" w14:textId="77777777" w:rsidR="00C5009B" w:rsidRDefault="00C5009B" w:rsidP="00C5009B">
      <w:pPr>
        <w:pStyle w:val="ListBullet"/>
        <w:tabs>
          <w:tab w:val="num" w:pos="360"/>
        </w:tabs>
        <w:spacing w:after="60"/>
        <w:ind w:left="360" w:hanging="360"/>
        <w:jc w:val="both"/>
      </w:pPr>
      <w:r>
        <w:rPr>
          <w:rFonts w:ascii="Arial" w:hAnsi="Arial"/>
          <w:b/>
          <w:sz w:val="21"/>
        </w:rPr>
        <w:t xml:space="preserve">Operational &amp; FAIS Records: </w:t>
      </w:r>
      <w:r>
        <w:rPr>
          <w:rFonts w:ascii="Arial" w:hAnsi="Arial"/>
          <w:color w:val="333333"/>
          <w:sz w:val="21"/>
        </w:rPr>
        <w:t>FSP licensing documents, regulatory returns, and FAIS compliance officer reports.</w:t>
      </w:r>
    </w:p>
    <w:p w14:paraId="5B85C133" w14:textId="77777777" w:rsidR="00C5009B" w:rsidRDefault="00C5009B" w:rsidP="00C5009B">
      <w:pPr>
        <w:pStyle w:val="ListBullet"/>
        <w:tabs>
          <w:tab w:val="num" w:pos="360"/>
        </w:tabs>
        <w:spacing w:after="60"/>
        <w:ind w:left="360" w:hanging="360"/>
        <w:jc w:val="both"/>
      </w:pPr>
      <w:r>
        <w:rPr>
          <w:rFonts w:ascii="Arial" w:hAnsi="Arial"/>
          <w:b/>
          <w:sz w:val="21"/>
        </w:rPr>
        <w:t xml:space="preserve">Client Records: </w:t>
      </w:r>
      <w:r>
        <w:rPr>
          <w:rFonts w:ascii="Arial" w:hAnsi="Arial"/>
          <w:color w:val="333333"/>
          <w:sz w:val="21"/>
        </w:rPr>
        <w:t>Client application forms, specific policy schedules, mandates, financial needs analyses, record of advice files, and premium payment histories.</w:t>
      </w:r>
    </w:p>
    <w:p w14:paraId="3551A4CF" w14:textId="77777777" w:rsidR="00C5009B" w:rsidRDefault="00C5009B" w:rsidP="00C5009B">
      <w:pPr>
        <w:pStyle w:val="ListBullet"/>
        <w:tabs>
          <w:tab w:val="num" w:pos="360"/>
        </w:tabs>
        <w:spacing w:after="60"/>
        <w:ind w:left="360" w:hanging="360"/>
        <w:jc w:val="both"/>
      </w:pPr>
      <w:r>
        <w:rPr>
          <w:rFonts w:ascii="Arial" w:hAnsi="Arial"/>
          <w:b/>
          <w:sz w:val="21"/>
        </w:rPr>
        <w:t xml:space="preserve">Human Resources: </w:t>
      </w:r>
      <w:r>
        <w:rPr>
          <w:rFonts w:ascii="Arial" w:hAnsi="Arial"/>
          <w:color w:val="333333"/>
          <w:sz w:val="21"/>
        </w:rPr>
        <w:t>Employment contracts, payroll files, training certificates, Key Individual (KI) and Representative registers, and internal HR policies.</w:t>
      </w:r>
    </w:p>
    <w:p w14:paraId="182C6687" w14:textId="77777777" w:rsidR="00C5009B" w:rsidRDefault="00C5009B" w:rsidP="00C5009B">
      <w:pPr>
        <w:pStyle w:val="ListBullet"/>
        <w:tabs>
          <w:tab w:val="num" w:pos="360"/>
        </w:tabs>
        <w:spacing w:after="60"/>
        <w:ind w:left="360" w:hanging="360"/>
        <w:jc w:val="both"/>
      </w:pPr>
      <w:r>
        <w:rPr>
          <w:rFonts w:ascii="Arial" w:hAnsi="Arial"/>
          <w:b/>
          <w:sz w:val="21"/>
        </w:rPr>
        <w:t xml:space="preserve">Financial &amp; Accounting Records: </w:t>
      </w:r>
      <w:r>
        <w:rPr>
          <w:rFonts w:ascii="Arial" w:hAnsi="Arial"/>
          <w:color w:val="333333"/>
          <w:sz w:val="21"/>
        </w:rPr>
        <w:t>Audited financial statements, management accounts, tax returns, and VAT records.</w:t>
      </w:r>
    </w:p>
    <w:p w14:paraId="7A660DE6" w14:textId="77777777" w:rsidR="00C5009B" w:rsidRDefault="00C5009B" w:rsidP="00C5009B">
      <w:pPr>
        <w:pStyle w:val="ListBullet"/>
        <w:tabs>
          <w:tab w:val="num" w:pos="360"/>
        </w:tabs>
        <w:spacing w:after="60"/>
        <w:ind w:left="360" w:hanging="360"/>
        <w:jc w:val="both"/>
      </w:pPr>
      <w:r>
        <w:rPr>
          <w:rFonts w:ascii="Arial" w:hAnsi="Arial"/>
          <w:b/>
          <w:sz w:val="21"/>
        </w:rPr>
        <w:t xml:space="preserve">Third-Party Agreements: </w:t>
      </w:r>
      <w:r>
        <w:rPr>
          <w:rFonts w:ascii="Arial" w:hAnsi="Arial"/>
          <w:color w:val="333333"/>
          <w:sz w:val="21"/>
        </w:rPr>
        <w:t>Service level agreements (SLAs) with product suppliers (Insurers), binder agreements, and general vendor contracts.</w:t>
      </w:r>
    </w:p>
    <w:p w14:paraId="38302DFC" w14:textId="5FF898D0" w:rsidR="00C5009B" w:rsidRDefault="00C5009B" w:rsidP="00C5009B">
      <w:pPr>
        <w:keepNext/>
        <w:spacing w:before="240" w:after="80"/>
        <w:jc w:val="both"/>
      </w:pPr>
      <w:r>
        <w:rPr>
          <w:rFonts w:ascii="Arial" w:hAnsi="Arial"/>
          <w:b/>
          <w:color w:val="4682B4"/>
          <w:sz w:val="26"/>
        </w:rPr>
        <w:t>Procedure to Request Access to Records</w:t>
      </w:r>
    </w:p>
    <w:p w14:paraId="2B60F916" w14:textId="1FC35BEC" w:rsidR="00C5009B" w:rsidRDefault="00C5009B" w:rsidP="00C5009B">
      <w:pPr>
        <w:spacing w:after="120"/>
        <w:jc w:val="both"/>
      </w:pPr>
      <w:r>
        <w:rPr>
          <w:rFonts w:ascii="Arial" w:hAnsi="Arial"/>
          <w:color w:val="333333"/>
          <w:sz w:val="21"/>
        </w:rPr>
        <w:t xml:space="preserve">To request access to a record held by </w:t>
      </w:r>
      <w:r>
        <w:rPr>
          <w:rFonts w:ascii="Arial" w:hAnsi="Arial"/>
          <w:color w:val="333333"/>
          <w:sz w:val="21"/>
        </w:rPr>
        <w:t>Black Swan Insurance Brokers</w:t>
      </w:r>
      <w:r>
        <w:rPr>
          <w:rFonts w:ascii="Arial" w:hAnsi="Arial"/>
          <w:color w:val="333333"/>
          <w:sz w:val="21"/>
        </w:rPr>
        <w:t>, the requester must complete Form 2 (Request for Access to Record) as prescribed by the Information Regulator. This form must be submitted to our Information Officer at the email address provided in Section 1.2.</w:t>
      </w:r>
    </w:p>
    <w:p w14:paraId="424080FB" w14:textId="7CAD9005" w:rsidR="00C5009B" w:rsidRDefault="00C5009B" w:rsidP="00C5009B">
      <w:pPr>
        <w:spacing w:after="120"/>
        <w:jc w:val="both"/>
      </w:pPr>
      <w:r>
        <w:rPr>
          <w:rFonts w:ascii="Arial" w:hAnsi="Arial"/>
          <w:color w:val="333333"/>
          <w:sz w:val="21"/>
        </w:rPr>
        <w:t xml:space="preserve">The requester must provide sufficient detail on the form to enable the Information Officer to identify the record and the identity of the requester. The requester must also clearly indicate the </w:t>
      </w:r>
      <w:r>
        <w:rPr>
          <w:rFonts w:ascii="Arial" w:hAnsi="Arial"/>
          <w:color w:val="333333"/>
          <w:sz w:val="21"/>
        </w:rPr>
        <w:t>rights</w:t>
      </w:r>
      <w:r>
        <w:rPr>
          <w:rFonts w:ascii="Arial" w:hAnsi="Arial"/>
          <w:color w:val="333333"/>
          <w:sz w:val="21"/>
        </w:rPr>
        <w:t xml:space="preserve"> they seek to protect or exercise and provide an explanation of why the requested record is required for that purpose.</w:t>
      </w:r>
    </w:p>
    <w:p w14:paraId="22BEF2EB" w14:textId="4A426F05" w:rsidR="00CB0287" w:rsidRDefault="00C5009B" w:rsidP="00C5009B">
      <w:pPr>
        <w:spacing w:after="120"/>
        <w:jc w:val="both"/>
      </w:pPr>
      <w:r>
        <w:rPr>
          <w:rFonts w:ascii="Arial" w:hAnsi="Arial"/>
          <w:color w:val="333333"/>
          <w:sz w:val="21"/>
        </w:rPr>
        <w:t>Black Swan Insurance Brokers</w:t>
      </w:r>
      <w:r>
        <w:rPr>
          <w:rFonts w:ascii="Arial" w:hAnsi="Arial"/>
          <w:color w:val="333333"/>
          <w:sz w:val="21"/>
        </w:rPr>
        <w:t xml:space="preserve"> will process the request within 30 days of receipt and notify the requester of the decision, including any applicable statutory fees that must be paid before access is granted.</w:t>
      </w:r>
    </w:p>
    <w:sectPr w:rsidR="00CB028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EDC7E32"/>
    <w:lvl w:ilvl="0">
      <w:start w:val="1"/>
      <w:numFmt w:val="bullet"/>
      <w:pStyle w:val="ListBullet"/>
      <w:lvlText w:val=""/>
      <w:lvlJc w:val="left"/>
      <w:pPr>
        <w:tabs>
          <w:tab w:val="num" w:pos="360"/>
        </w:tabs>
        <w:ind w:left="360" w:hanging="360"/>
      </w:pPr>
      <w:rPr>
        <w:rFonts w:ascii="Symbol" w:hAnsi="Symbol" w:hint="default"/>
      </w:rPr>
    </w:lvl>
  </w:abstractNum>
  <w:num w:numId="1" w16cid:durableId="15229332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009B"/>
    <w:rsid w:val="000B4F85"/>
    <w:rsid w:val="001B4EAB"/>
    <w:rsid w:val="00813F0C"/>
    <w:rsid w:val="00C5009B"/>
    <w:rsid w:val="00CB02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B46255"/>
  <w15:chartTrackingRefBased/>
  <w15:docId w15:val="{FFDE5CA3-6A9B-4219-B3B6-84BAF5BBAB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5009B"/>
    <w:pPr>
      <w:spacing w:after="200" w:line="276" w:lineRule="auto"/>
    </w:pPr>
    <w:rPr>
      <w:rFonts w:eastAsiaTheme="minorEastAsia"/>
      <w:kern w:val="0"/>
      <w:sz w:val="22"/>
      <w:szCs w:val="22"/>
      <w14:ligatures w14:val="none"/>
    </w:rPr>
  </w:style>
  <w:style w:type="paragraph" w:styleId="Heading1">
    <w:name w:val="heading 1"/>
    <w:basedOn w:val="Normal"/>
    <w:next w:val="Normal"/>
    <w:link w:val="Heading1Char"/>
    <w:uiPriority w:val="9"/>
    <w:qFormat/>
    <w:rsid w:val="00C5009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5009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5009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5009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5009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5009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5009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5009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5009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009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5009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5009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5009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5009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5009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5009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5009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5009B"/>
    <w:rPr>
      <w:rFonts w:eastAsiaTheme="majorEastAsia" w:cstheme="majorBidi"/>
      <w:color w:val="272727" w:themeColor="text1" w:themeTint="D8"/>
    </w:rPr>
  </w:style>
  <w:style w:type="paragraph" w:styleId="Title">
    <w:name w:val="Title"/>
    <w:basedOn w:val="Normal"/>
    <w:next w:val="Normal"/>
    <w:link w:val="TitleChar"/>
    <w:uiPriority w:val="10"/>
    <w:qFormat/>
    <w:rsid w:val="00C5009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5009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5009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5009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5009B"/>
    <w:pPr>
      <w:spacing w:before="160"/>
      <w:jc w:val="center"/>
    </w:pPr>
    <w:rPr>
      <w:i/>
      <w:iCs/>
      <w:color w:val="404040" w:themeColor="text1" w:themeTint="BF"/>
    </w:rPr>
  </w:style>
  <w:style w:type="character" w:customStyle="1" w:styleId="QuoteChar">
    <w:name w:val="Quote Char"/>
    <w:basedOn w:val="DefaultParagraphFont"/>
    <w:link w:val="Quote"/>
    <w:uiPriority w:val="29"/>
    <w:rsid w:val="00C5009B"/>
    <w:rPr>
      <w:i/>
      <w:iCs/>
      <w:color w:val="404040" w:themeColor="text1" w:themeTint="BF"/>
    </w:rPr>
  </w:style>
  <w:style w:type="paragraph" w:styleId="ListParagraph">
    <w:name w:val="List Paragraph"/>
    <w:basedOn w:val="Normal"/>
    <w:uiPriority w:val="34"/>
    <w:qFormat/>
    <w:rsid w:val="00C5009B"/>
    <w:pPr>
      <w:ind w:left="720"/>
      <w:contextualSpacing/>
    </w:pPr>
  </w:style>
  <w:style w:type="character" w:styleId="IntenseEmphasis">
    <w:name w:val="Intense Emphasis"/>
    <w:basedOn w:val="DefaultParagraphFont"/>
    <w:uiPriority w:val="21"/>
    <w:qFormat/>
    <w:rsid w:val="00C5009B"/>
    <w:rPr>
      <w:i/>
      <w:iCs/>
      <w:color w:val="0F4761" w:themeColor="accent1" w:themeShade="BF"/>
    </w:rPr>
  </w:style>
  <w:style w:type="paragraph" w:styleId="IntenseQuote">
    <w:name w:val="Intense Quote"/>
    <w:basedOn w:val="Normal"/>
    <w:next w:val="Normal"/>
    <w:link w:val="IntenseQuoteChar"/>
    <w:uiPriority w:val="30"/>
    <w:qFormat/>
    <w:rsid w:val="00C5009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5009B"/>
    <w:rPr>
      <w:i/>
      <w:iCs/>
      <w:color w:val="0F4761" w:themeColor="accent1" w:themeShade="BF"/>
    </w:rPr>
  </w:style>
  <w:style w:type="character" w:styleId="IntenseReference">
    <w:name w:val="Intense Reference"/>
    <w:basedOn w:val="DefaultParagraphFont"/>
    <w:uiPriority w:val="32"/>
    <w:qFormat/>
    <w:rsid w:val="00C5009B"/>
    <w:rPr>
      <w:b/>
      <w:bCs/>
      <w:smallCaps/>
      <w:color w:val="0F4761" w:themeColor="accent1" w:themeShade="BF"/>
      <w:spacing w:val="5"/>
    </w:rPr>
  </w:style>
  <w:style w:type="paragraph" w:styleId="ListBullet">
    <w:name w:val="List Bullet"/>
    <w:basedOn w:val="Normal"/>
    <w:uiPriority w:val="99"/>
    <w:unhideWhenUsed/>
    <w:rsid w:val="00C5009B"/>
    <w:pPr>
      <w:numPr>
        <w:numId w:val="1"/>
      </w:numPr>
      <w:tabs>
        <w:tab w:val="clear" w:pos="360"/>
      </w:tabs>
      <w:ind w:left="0" w:firstLine="0"/>
      <w:contextualSpacing/>
    </w:pPr>
  </w:style>
  <w:style w:type="character" w:styleId="Hyperlink">
    <w:name w:val="Hyperlink"/>
    <w:basedOn w:val="DefaultParagraphFont"/>
    <w:uiPriority w:val="99"/>
    <w:unhideWhenUsed/>
    <w:rsid w:val="00C5009B"/>
    <w:rPr>
      <w:color w:val="467886" w:themeColor="hyperlink"/>
      <w:u w:val="single"/>
    </w:rPr>
  </w:style>
  <w:style w:type="character" w:styleId="UnresolvedMention">
    <w:name w:val="Unresolved Mention"/>
    <w:basedOn w:val="DefaultParagraphFont"/>
    <w:uiPriority w:val="99"/>
    <w:semiHidden/>
    <w:unhideWhenUsed/>
    <w:rsid w:val="00C5009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blackswaninsurance.co.za"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2</Pages>
  <Words>570</Words>
  <Characters>3254</Characters>
  <Application>Microsoft Office Word</Application>
  <DocSecurity>0</DocSecurity>
  <Lines>27</Lines>
  <Paragraphs>7</Paragraphs>
  <ScaleCrop>false</ScaleCrop>
  <Company/>
  <LinksUpToDate>false</LinksUpToDate>
  <CharactersWithSpaces>3817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Wade Butlion</dc:creator>
  <cp:keywords/>
  <dc:description/>
  <cp:lastModifiedBy>Wade Butlion</cp:lastModifiedBy>
  <cp:revision>2</cp:revision>
  <dcterms:created xsi:type="dcterms:W3CDTF">2026-08-25T11:27:00Z</dcterms:created>
  <dcterms:modified xsi:type="dcterms:W3CDTF">2026-08-25T11:36:00Z</dcterms:modified>
</cp:coreProperties>
</file>