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WashiMMKG Data Use Agreement</w:t>
      </w:r>
    </w:p>
    <w:p>
      <w:pPr>
        <w:spacing w:after="120"/>
      </w:pPr>
      <w:r>
        <w:rPr>
          <w:b/>
        </w:rPr>
        <w:t>Dataset:</w:t>
      </w:r>
      <w:r>
        <w:t xml:space="preserve"> WashiMMKG and the Washi QA benchmark, as described in </w:t>
      </w:r>
      <w:r>
        <w:rPr>
          <w:i/>
        </w:rPr>
        <w:t>Enhancing Washi Reasoning in MLLMs via Multimodal Knowledge Graphs and Agentic Retrieval-Augmented Generation</w:t>
      </w:r>
      <w:r>
        <w:t xml:space="preserve"> (npj Heritage Science).</w:t>
      </w:r>
    </w:p>
    <w:p>
      <w:pPr>
        <w:spacing w:after="120"/>
      </w:pPr>
      <w:r>
        <w:rPr>
          <w:b/>
        </w:rPr>
        <w:t>Provider:</w:t>
      </w:r>
      <w:r>
        <w:t xml:space="preserve"> Bowen Wang, SANKEN, The University of Osaka, on behalf of the authors ("the Provider").</w:t>
      </w:r>
    </w:p>
    <w:p>
      <w:pPr>
        <w:spacing w:after="120"/>
      </w:pPr>
      <w:r>
        <w:rPr>
          <w:b/>
        </w:rPr>
        <w:t>Recipient:</w:t>
      </w:r>
      <w:r>
        <w:t xml:space="preserve"> the individual named in Section 9 ("the Recipient"), acting on behalf of the institution named there.</w:t>
      </w:r>
    </w:p>
    <w:p>
      <w:pPr>
        <w:pStyle w:val="Heading1"/>
      </w:pPr>
      <w:r>
        <w:t>1. What the dataset contains</w:t>
      </w:r>
    </w:p>
    <w:p>
      <w:pPr>
        <w:spacing w:after="120"/>
      </w:pPr>
      <w:r>
        <w:t>1.1 The knowledge graph WashiMMKG: 2,683 entities, 5,276 relations and 41 relation types, with textual attributes and 610 image references.</w:t>
      </w:r>
    </w:p>
    <w:p>
      <w:pPr>
        <w:spacing w:after="120"/>
      </w:pPr>
      <w:r>
        <w:t>1.2 The Washi QA benchmark: 2,092 question–answer items with their reference answers, supporting graph evidence and the development/test split.</w:t>
      </w:r>
    </w:p>
    <w:p>
      <w:pPr>
        <w:spacing w:after="120"/>
      </w:pPr>
      <w:r>
        <w:t>1.3 Image files for 255 of the 610 images: 213 recorded by the authors or provided by their collaborators in Echizen, and 42 from Wikimedia Commons, each under its own licence as listed in the image manifest.</w:t>
      </w:r>
    </w:p>
    <w:p>
      <w:pPr>
        <w:spacing w:after="120"/>
      </w:pPr>
      <w:r>
        <w:t xml:space="preserve">1.4 An image manifest listing, for each of the remaining 355 images, the website or publication it was collected from. These files are </w:t>
      </w:r>
      <w:r>
        <w:rPr>
          <w:b/>
        </w:rPr>
        <w:t>not</w:t>
      </w:r>
      <w:r>
        <w:t xml:space="preserve"> included: they belong to third parties, and the Recipient obtains them, if at all, from those sources under those sources' terms.</w:t>
      </w:r>
    </w:p>
    <w:p>
      <w:pPr>
        <w:pStyle w:val="Heading1"/>
      </w:pPr>
      <w:r>
        <w:t>2. Permitted use</w:t>
      </w:r>
    </w:p>
    <w:p>
      <w:pPr>
        <w:spacing w:after="120"/>
      </w:pPr>
      <w:r>
        <w:t>2.1 The Recipient may use the dataset only for non-commercial academic research and teaching, including reproducing the results of the paper and evaluating other methods on the benchmark.</w:t>
      </w:r>
    </w:p>
    <w:p>
      <w:pPr>
        <w:spacing w:after="120"/>
      </w:pPr>
      <w:r>
        <w:t>2.2 The Recipient may publish results, statistics, models and analyses derived from the dataset, and may quote individual items (questions, answers, graph facts) as examples in publications, with the citation required in Section 5.</w:t>
      </w:r>
    </w:p>
    <w:p>
      <w:pPr>
        <w:pStyle w:val="Heading1"/>
      </w:pPr>
      <w:r>
        <w:t>3. Restrictions</w:t>
      </w:r>
    </w:p>
    <w:p>
      <w:pPr>
        <w:spacing w:after="120"/>
      </w:pPr>
      <w:r>
        <w:t>3.1 The Recipient shall not redistribute the dataset or any substantial part of it, publish it, deposit it in a repository, or make it available to anyone outside the Recipient's research group. Each group that wishes to use the dataset must sign its own copy of this agreement.</w:t>
      </w:r>
    </w:p>
    <w:p>
      <w:pPr>
        <w:spacing w:after="120"/>
      </w:pPr>
      <w:r>
        <w:t>3.2 The Recipient shall not use the dataset, or models trained on it, for commercial purposes, and shall not use it to develop products or services offered for sale.</w:t>
      </w:r>
    </w:p>
    <w:p>
      <w:pPr>
        <w:spacing w:after="120"/>
      </w:pPr>
      <w:r>
        <w:t>3.3 Some of the 213 authors' and collaborators' images show identifiable people. The Recipient shall not publish, display or redistribute these images, shall not attempt to identify the people shown, and shall handle them in accordance with the personal-data law applicable to the Recipient and to Japan.</w:t>
      </w:r>
    </w:p>
    <w:p>
      <w:pPr>
        <w:spacing w:after="120"/>
      </w:pPr>
      <w:r>
        <w:t>3.4 The 42 Wikimedia Commons images may be reused only under their respective licences, which are recorded in the image manifest together with each author's name.</w:t>
      </w:r>
    </w:p>
    <w:p>
      <w:pPr>
        <w:spacing w:after="120"/>
      </w:pPr>
      <w:r>
        <w:t>3.5 The Recipient shall not remove or alter the source records that accompany the graph, the benchmark or the images.</w:t>
      </w:r>
    </w:p>
    <w:p>
      <w:pPr>
        <w:pStyle w:val="Heading1"/>
      </w:pPr>
      <w:r>
        <w:t>4. Storage and deletion</w:t>
      </w:r>
    </w:p>
    <w:p>
      <w:pPr>
        <w:spacing w:after="120"/>
      </w:pPr>
      <w:r>
        <w:t>4.1 The Recipient shall store the dataset on systems under the Recipient's institution's control with access limited to members of the research group who need it.</w:t>
      </w:r>
    </w:p>
    <w:p>
      <w:pPr>
        <w:spacing w:after="120"/>
      </w:pPr>
      <w:r>
        <w:t>4.2 The Recipient shall delete all copies of the dataset, including the images, at the end of the research project named in Section 9, on termination of this agreement, or within 30 days of a written request from the Provider, and shall confirm the deletion on request.</w:t>
      </w:r>
    </w:p>
    <w:p>
      <w:pPr>
        <w:pStyle w:val="Heading1"/>
      </w:pPr>
      <w:r>
        <w:t>5. Attribution</w:t>
      </w:r>
    </w:p>
    <w:p>
      <w:pPr>
        <w:spacing w:after="120"/>
      </w:pPr>
      <w:r>
        <w:t>Any publication, presentation or software that uses the dataset shall cite the paper named above. Where the dataset is acknowledged, it should be referred to as "WashiMMKG and the Washi QA benchmark, provided by the authors".</w:t>
      </w:r>
    </w:p>
    <w:p>
      <w:pPr>
        <w:pStyle w:val="Heading1"/>
      </w:pPr>
      <w:r>
        <w:t>6. No warranty</w:t>
      </w:r>
    </w:p>
    <w:p>
      <w:pPr>
        <w:spacing w:after="120"/>
      </w:pPr>
      <w:r>
        <w:t>The dataset is provided as is. The graph and the benchmark were built with the assistance of large language models and, although they were reviewed, may contain errors in extraction, entity alignment, translation or captioning. The Provider makes no warranty as to accuracy, completeness or fitness for any purpose, and accepts no liability for any use of the dataset.</w:t>
      </w:r>
    </w:p>
    <w:p>
      <w:pPr>
        <w:pStyle w:val="Heading1"/>
      </w:pPr>
      <w:r>
        <w:t>7. Term and termination</w:t>
      </w:r>
    </w:p>
    <w:p>
      <w:pPr>
        <w:spacing w:after="120"/>
      </w:pPr>
      <w:r>
        <w:t>7.1 This agreement takes effect when the Provider countersigns it and lasts for three years, or until the end of the research project named in Section 9 if that comes first. It may be renewed on request.</w:t>
      </w:r>
    </w:p>
    <w:p>
      <w:pPr>
        <w:spacing w:after="120"/>
      </w:pPr>
      <w:r>
        <w:t>7.2 The Provider may terminate the agreement immediately by written notice if the Recipient breaches it. Sections 3, 4, 5 and 6 survive termination.</w:t>
      </w:r>
    </w:p>
    <w:p>
      <w:pPr>
        <w:pStyle w:val="Heading1"/>
      </w:pPr>
      <w:r>
        <w:t>8. General</w:t>
      </w:r>
    </w:p>
    <w:p>
      <w:pPr>
        <w:spacing w:after="120"/>
      </w:pPr>
      <w:r>
        <w:t>8.1 This agreement is governed by the laws of Japan.</w:t>
      </w:r>
    </w:p>
    <w:p>
      <w:pPr>
        <w:spacing w:after="120"/>
      </w:pPr>
      <w:r>
        <w:t>8.2 Changes to this agreement are valid only in writing and signed by both parties.</w:t>
      </w:r>
    </w:p>
    <w:p>
      <w:pPr>
        <w:pStyle w:val="Heading1"/>
      </w:pPr>
      <w:r>
        <w:t>9. Recipient and project</w:t>
      </w:r>
    </w:p>
    <w:tbl>
      <w:tblPr>
        <w:tblStyle w:val="TableGrid"/>
        <w:tblW w:type="auto" w:w="0"/>
        <w:tblLook w:firstColumn="1" w:firstRow="1" w:lastColumn="0" w:lastRow="0" w:noHBand="0" w:noVBand="1" w:val="04A0"/>
      </w:tblPr>
      <w:tblGrid>
        <w:gridCol w:w="4873"/>
        <w:gridCol w:w="4873"/>
      </w:tblGrid>
      <w:tr>
        <w:tc>
          <w:tcPr>
            <w:tcW w:type="dxa" w:w="3685"/>
          </w:tcPr>
          <w:p>
            <w:r>
              <w:t>Recipient (full name)</w:t>
            </w:r>
          </w:p>
        </w:tc>
        <w:tc>
          <w:tcPr>
            <w:tcW w:type="dxa" w:w="5669"/>
          </w:tcPr>
          <w:p>
            <w:pPr>
              <w:spacing w:after="360"/>
            </w:pPr>
            <w:r/>
          </w:p>
        </w:tc>
      </w:tr>
      <w:tr>
        <w:tc>
          <w:tcPr>
            <w:tcW w:type="dxa" w:w="3685"/>
          </w:tcPr>
          <w:p>
            <w:r>
              <w:t>Position</w:t>
            </w:r>
          </w:p>
        </w:tc>
        <w:tc>
          <w:tcPr>
            <w:tcW w:type="dxa" w:w="5669"/>
          </w:tcPr>
          <w:p>
            <w:pPr>
              <w:spacing w:after="360"/>
            </w:pPr>
            <w:r/>
          </w:p>
        </w:tc>
      </w:tr>
      <w:tr>
        <w:tc>
          <w:tcPr>
            <w:tcW w:type="dxa" w:w="3685"/>
          </w:tcPr>
          <w:p>
            <w:r>
              <w:t>Institution and department</w:t>
            </w:r>
          </w:p>
        </w:tc>
        <w:tc>
          <w:tcPr>
            <w:tcW w:type="dxa" w:w="5669"/>
          </w:tcPr>
          <w:p>
            <w:pPr>
              <w:spacing w:after="360"/>
            </w:pPr>
            <w:r/>
          </w:p>
        </w:tc>
      </w:tr>
      <w:tr>
        <w:tc>
          <w:tcPr>
            <w:tcW w:type="dxa" w:w="3685"/>
          </w:tcPr>
          <w:p>
            <w:r>
              <w:t>Institutional e-mail</w:t>
            </w:r>
          </w:p>
        </w:tc>
        <w:tc>
          <w:tcPr>
            <w:tcW w:type="dxa" w:w="5669"/>
          </w:tcPr>
          <w:p>
            <w:pPr>
              <w:spacing w:after="360"/>
            </w:pPr>
            <w:r/>
          </w:p>
        </w:tc>
      </w:tr>
      <w:tr>
        <w:tc>
          <w:tcPr>
            <w:tcW w:type="dxa" w:w="3685"/>
          </w:tcPr>
          <w:p>
            <w:r>
              <w:t>Research project (title and expected end date)</w:t>
            </w:r>
          </w:p>
        </w:tc>
        <w:tc>
          <w:tcPr>
            <w:tcW w:type="dxa" w:w="5669"/>
          </w:tcPr>
          <w:p>
            <w:pPr>
              <w:spacing w:after="360"/>
            </w:pPr>
            <w:r/>
          </w:p>
        </w:tc>
      </w:tr>
      <w:tr>
        <w:tc>
          <w:tcPr>
            <w:tcW w:type="dxa" w:w="3685"/>
          </w:tcPr>
          <w:p>
            <w:r>
              <w:t>Members of the research group who will access the data</w:t>
            </w:r>
          </w:p>
        </w:tc>
        <w:tc>
          <w:tcPr>
            <w:tcW w:type="dxa" w:w="5669"/>
          </w:tcPr>
          <w:p>
            <w:pPr>
              <w:spacing w:after="360"/>
            </w:pPr>
            <w:r/>
          </w:p>
        </w:tc>
      </w:tr>
      <w:tr>
        <w:tc>
          <w:tcPr>
            <w:tcW w:type="dxa" w:w="3685"/>
          </w:tcPr>
          <w:p>
            <w:r>
              <w:t>Intended use (2–3 sentences)</w:t>
            </w:r>
          </w:p>
        </w:tc>
        <w:tc>
          <w:tcPr>
            <w:tcW w:type="dxa" w:w="5669"/>
          </w:tcPr>
          <w:p>
            <w:pPr>
              <w:spacing w:after="360"/>
            </w:pPr>
            <w:r/>
          </w:p>
        </w:tc>
      </w:tr>
    </w:tbl>
    <w:p>
      <w:pPr>
        <w:pStyle w:val="Heading1"/>
      </w:pPr>
      <w:r>
        <w:t>10. Signatures</w:t>
      </w:r>
    </w:p>
    <w:p>
      <w:pPr>
        <w:spacing w:after="120"/>
      </w:pPr>
      <w:r>
        <w:rPr>
          <w:b/>
        </w:rPr>
        <w:t>Recipient</w:t>
      </w:r>
    </w:p>
    <w:p>
      <w:pPr>
        <w:spacing w:after="120"/>
      </w:pPr>
      <w:r>
        <w:t>Signature: ______________________________   Date: ______________</w:t>
      </w:r>
    </w:p>
    <w:p>
      <w:pPr>
        <w:spacing w:after="120"/>
      </w:pPr>
      <w:r>
        <w:rPr>
          <w:b/>
        </w:rPr>
        <w:t>Provider</w:t>
      </w:r>
    </w:p>
    <w:p>
      <w:pPr>
        <w:spacing w:after="120"/>
      </w:pPr>
      <w:r>
        <w:t>Signature: ______________________________   Date: ______________</w:t>
      </w:r>
    </w:p>
    <w:p>
      <w:pPr>
        <w:spacing w:after="120"/>
      </w:pPr>
      <w:r>
        <w:t>Bowen Wang, SANKEN, The University of Osaka, 8-1 Mihogaoka, Ibaraki, Osaka 567-0047, Japan</w:t>
      </w:r>
    </w:p>
    <w:p>
      <w:r>
        <w:t>____________________________________________________________</w:t>
      </w:r>
    </w:p>
    <w:p>
      <w:pPr>
        <w:spacing w:after="120"/>
      </w:pPr>
      <w:r>
        <w:rPr>
          <w:i/>
        </w:rPr>
        <w:t>How to request the dataset:</w:t>
      </w:r>
      <w:r>
        <w:t xml:space="preserve"> complete Sections 9 and 10, sign, and send the agreement as a PDF from your institutional e-mail address to wang@im.sanken.osaka-u.ac.jp. On countersignature the Provider will send a download link valid for 14 days.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