
<file path=[Content_Types].xml><?xml version="1.0" encoding="utf-8"?>
<Types xmlns="http://schemas.openxmlformats.org/package/2006/content-types">
  <Default Extension="bmp" ContentType="image/bmp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lang w:val="zh-CN" w:eastAsia="zh-CN"/>
        </w:rPr>
      </w:pPr>
      <w:r>
        <w:rPr>
          <w:lang w:val="zh-CN" w:eastAsia="zh-CN"/>
        </w:rPr>
        <w:object w:dxaOrig="1188" w:dyaOrig="1164">
          <v:shapetype id="_x0000_tole_rId2" coordsize="21600,21600" o:spt="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position:absolute;margin-left:5.4pt;margin-top:7.95pt;width:89.1pt;height:88.35pt;mso-wrap-distance-left:9.05pt;mso-wrap-distance-right:9.05pt;mso-position-horizontal-relative:text;mso-position-vertical-relative:text" filled="f" o:ole="">
            <v:imagedata r:id="rId3" o:title=""/>
            <w10:wrap type="square" side="largest"/>
          </v:shape>
          <o:OLEObject Type="Embed" ProgID="" ShapeID="ole_rId2" DrawAspect="Content" ObjectID="_847336004" r:id="rId2"/>
        </w:object>
      </w:r>
    </w:p>
    <w:tbl>
      <w:tblPr>
        <w:tblW w:w="3675" w:type="dxa"/>
        <w:jc w:val="start"/>
        <w:tblInd w:w="273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70"/>
        <w:gridCol w:w="2205"/>
      </w:tblGrid>
      <w:tr>
        <w:trPr/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学    院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编    号</w:t>
            </w:r>
          </w:p>
        </w:tc>
        <w:tc>
          <w:tcPr>
            <w:tcW w:w="2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</w:r>
          </w:p>
        </w:tc>
      </w:tr>
    </w:tbl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ind w:firstLineChars="1000" w:startChars="0" w:start="0" w:endChars="0" w:end="0"/>
        <w:rPr/>
      </w:pPr>
      <w:r>
        <w:rPr/>
        <w:drawing>
          <wp:inline distT="0" distB="0" distL="0" distR="0">
            <wp:extent cx="2741295" cy="723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9" t="-31" r="-9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29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120" w:after="120"/>
        <w:jc w:val="center"/>
        <w:rPr>
          <w:rFonts w:ascii="宋体" w:hAnsi="宋体" w:eastAsia="宋体" w:hint="eastAsia"/>
          <w:b/>
          <w:spacing w:val="40"/>
          <w:sz w:val="72"/>
        </w:rPr>
      </w:pPr>
      <w:r>
        <w:rPr>
          <w:rFonts w:ascii="宋体" w:hAnsi="宋体" w:hint="eastAsia" w:eastAsia="宋体"/>
          <w:b/>
          <w:spacing w:val="40"/>
          <w:sz w:val="72"/>
        </w:rPr>
        <w:t>硕士研究生</w:t>
      </w:r>
    </w:p>
    <w:p>
      <w:pPr>
        <w:pStyle w:val="Normal"/>
        <w:spacing w:before="120" w:after="120"/>
        <w:jc w:val="center"/>
        <w:rPr>
          <w:rFonts w:ascii="宋体" w:hAnsi="宋体" w:eastAsia="宋体" w:hint="eastAsia"/>
          <w:b/>
          <w:spacing w:val="40"/>
          <w:sz w:val="72"/>
        </w:rPr>
      </w:pPr>
      <w:r>
        <w:rPr>
          <w:rFonts w:ascii="宋体" w:hAnsi="宋体" w:hint="eastAsia" w:eastAsia="宋体"/>
          <w:b/>
          <w:spacing w:val="40"/>
          <w:sz w:val="72"/>
        </w:rPr>
        <w:t>中期进展报告</w:t>
      </w:r>
    </w:p>
    <w:p>
      <w:pPr>
        <w:pStyle w:val="Normal"/>
        <w:jc w:val="center"/>
        <w:rPr>
          <w:rFonts w:ascii="宋体" w:hAnsi="宋体" w:eastAsia="宋体" w:hint="eastAsia"/>
          <w:b/>
          <w:spacing w:val="40"/>
          <w:sz w:val="72"/>
        </w:rPr>
      </w:pPr>
      <w:r>
        <w:rPr>
          <w:rFonts w:eastAsia="宋体" w:hint="eastAsia" w:ascii="宋体" w:hAnsi="宋体"/>
          <w:b/>
          <w:spacing w:val="40"/>
          <w:sz w:val="72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tbl>
      <w:tblPr>
        <w:tblW w:w="6405" w:type="dxa"/>
        <w:jc w:val="start"/>
        <w:tblInd w:w="1211" w:type="dxa"/>
        <w:tblLayout w:type="fixed"/>
        <w:tblCellMar>
          <w:top w:w="0" w:type="dxa"/>
          <w:start w:w="56" w:type="dxa"/>
          <w:bottom w:w="0" w:type="dxa"/>
          <w:end w:w="56" w:type="dxa"/>
        </w:tblCellMar>
      </w:tblPr>
      <w:tblGrid>
        <w:gridCol w:w="1785"/>
        <w:gridCol w:w="4620"/>
      </w:tblGrid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jc w:val="center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学    号：</w:t>
            </w:r>
          </w:p>
        </w:tc>
        <w:tc>
          <w:tcPr>
            <w:tcW w:w="4620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</w:r>
          </w:p>
        </w:tc>
      </w:tr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jc w:val="center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研 究 生：</w:t>
            </w:r>
          </w:p>
        </w:tc>
        <w:tc>
          <w:tcPr>
            <w:tcW w:w="462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</w:r>
          </w:p>
        </w:tc>
      </w:tr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jc w:val="center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导   师：</w:t>
            </w:r>
          </w:p>
        </w:tc>
        <w:tc>
          <w:tcPr>
            <w:tcW w:w="462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</w:r>
          </w:p>
        </w:tc>
      </w:tr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jc w:val="center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论文题目：</w:t>
            </w:r>
          </w:p>
        </w:tc>
        <w:tc>
          <w:tcPr>
            <w:tcW w:w="462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</w:r>
          </w:p>
        </w:tc>
      </w:tr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jc w:val="center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学    科：</w:t>
            </w:r>
          </w:p>
        </w:tc>
        <w:tc>
          <w:tcPr>
            <w:tcW w:w="462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</w:r>
          </w:p>
        </w:tc>
      </w:tr>
      <w:tr>
        <w:trPr/>
        <w:tc>
          <w:tcPr>
            <w:tcW w:w="1785" w:type="dxa"/>
            <w:tcBorders/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b/>
                <w:sz w:val="30"/>
              </w:rPr>
            </w:pPr>
            <w:r>
              <w:rPr>
                <w:rFonts w:hint="eastAsia"/>
                <w:b/>
                <w:sz w:val="30"/>
              </w:rPr>
              <w:t>填写时间：</w:t>
            </w:r>
          </w:p>
        </w:tc>
        <w:tc>
          <w:tcPr>
            <w:tcW w:w="462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hint="eastAsia"/>
                <w:sz w:val="30"/>
              </w:rPr>
            </w:pPr>
            <w:r>
              <w:rPr>
                <w:rFonts w:hint="eastAsia" w:eastAsia="仿宋_GB2312;仿宋"/>
                <w:sz w:val="30"/>
              </w:rPr>
              <w:t xml:space="preserve">        </w:t>
            </w:r>
            <w:r>
              <w:rPr>
                <w:rFonts w:hint="eastAsia" w:eastAsia="仿宋_GB2312;仿宋"/>
                <w:sz w:val="30"/>
              </w:rPr>
              <w:t>年    月    日</w:t>
            </w:r>
          </w:p>
        </w:tc>
      </w:tr>
    </w:tbl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Normal"/>
        <w:jc w:val="center"/>
        <w:rPr>
          <w:rFonts w:eastAsia="黑体"/>
          <w:sz w:val="30"/>
        </w:rPr>
      </w:pPr>
      <w:r>
        <w:rPr>
          <w:rFonts w:hint="eastAsia" w:eastAsia="黑体"/>
          <w:sz w:val="30"/>
        </w:rPr>
        <w:t>填</w:t>
      </w:r>
      <w:r>
        <w:rPr>
          <w:rFonts w:eastAsia="黑体"/>
          <w:sz w:val="30"/>
        </w:rPr>
        <w:t xml:space="preserve"> </w:t>
      </w:r>
      <w:r>
        <w:rPr>
          <w:rFonts w:hint="eastAsia" w:eastAsia="黑体"/>
          <w:sz w:val="30"/>
        </w:rPr>
        <w:t xml:space="preserve"> 写 </w:t>
      </w:r>
      <w:r>
        <w:rPr>
          <w:rFonts w:eastAsia="黑体"/>
          <w:sz w:val="30"/>
        </w:rPr>
        <w:t xml:space="preserve"> </w:t>
      </w:r>
      <w:r>
        <w:rPr>
          <w:rFonts w:hint="eastAsia" w:eastAsia="黑体"/>
          <w:sz w:val="30"/>
        </w:rPr>
        <w:t xml:space="preserve">说 </w:t>
      </w:r>
      <w:r>
        <w:rPr>
          <w:rFonts w:eastAsia="黑体"/>
          <w:sz w:val="30"/>
        </w:rPr>
        <w:t xml:space="preserve"> </w:t>
      </w:r>
      <w:r>
        <w:rPr>
          <w:rFonts w:hint="eastAsia" w:eastAsia="黑体"/>
          <w:sz w:val="30"/>
        </w:rPr>
        <w:t>明</w:t>
      </w:r>
    </w:p>
    <w:p>
      <w:pPr>
        <w:pStyle w:val="Normal"/>
        <w:rPr>
          <w:rFonts w:eastAsia="黑体"/>
          <w:sz w:val="30"/>
        </w:rPr>
      </w:pPr>
      <w:r>
        <w:rPr>
          <w:rFonts w:eastAsia="黑体"/>
          <w:sz w:val="30"/>
        </w:rPr>
      </w:r>
    </w:p>
    <w:p>
      <w:pPr>
        <w:pStyle w:val="Normal"/>
        <w:jc w:val="start"/>
        <w:rPr/>
      </w:pPr>
      <w:r>
        <w:rPr/>
      </w:r>
    </w:p>
    <w:p>
      <w:pPr>
        <w:pStyle w:val="Normal"/>
        <w:snapToGrid w:val="true"/>
        <w:ind w:firstLine="555" w:start="600" w:end="625"/>
        <w:rPr>
          <w:rFonts w:ascii="仿宋_GB2312;仿宋" w:hAnsi="仿宋_GB2312;仿宋" w:eastAsia="仿宋_GB2312;仿宋" w:hint="eastAsia"/>
          <w:sz w:val="28"/>
        </w:rPr>
      </w:pPr>
      <w:r>
        <w:rPr>
          <w:rFonts w:ascii="仿宋_GB2312;仿宋" w:hAnsi="仿宋_GB2312;仿宋" w:hint="eastAsia" w:eastAsia="仿宋_GB2312;仿宋"/>
          <w:sz w:val="28"/>
        </w:rPr>
        <w:t>一、硕士研究生中期进展报告必须采用</w:t>
      </w:r>
      <w:r>
        <w:rPr>
          <w:rFonts w:eastAsia="仿宋_GB2312;仿宋" w:ascii="仿宋_GB2312;仿宋" w:hAnsi="仿宋_GB2312;仿宋"/>
          <w:sz w:val="28"/>
        </w:rPr>
        <w:t>A4</w:t>
      </w:r>
      <w:r>
        <w:rPr>
          <w:rFonts w:ascii="仿宋_GB2312;仿宋" w:hAnsi="仿宋_GB2312;仿宋" w:hint="eastAsia" w:eastAsia="仿宋_GB2312;仿宋"/>
          <w:sz w:val="28"/>
        </w:rPr>
        <w:t>纸双面打印，左侧装订成册，各栏空格不够时，请自行加页。</w:t>
      </w:r>
    </w:p>
    <w:p>
      <w:pPr>
        <w:pStyle w:val="Normal"/>
        <w:snapToGrid w:val="true"/>
        <w:ind w:firstLine="555" w:start="600" w:end="625"/>
        <w:rPr>
          <w:rFonts w:ascii="仿宋_GB2312;仿宋" w:hAnsi="仿宋_GB2312;仿宋" w:eastAsia="仿宋_GB2312;仿宋" w:hint="eastAsia"/>
          <w:sz w:val="28"/>
        </w:rPr>
      </w:pPr>
      <w:r>
        <w:rPr>
          <w:rFonts w:ascii="仿宋_GB2312;仿宋" w:hAnsi="仿宋_GB2312;仿宋" w:hint="eastAsia" w:eastAsia="仿宋_GB2312;仿宋"/>
          <w:sz w:val="28"/>
        </w:rPr>
        <w:t>二、中期进展报告正文部分字数为</w:t>
      </w:r>
      <w:r>
        <w:rPr>
          <w:rFonts w:eastAsia="仿宋_GB2312;仿宋" w:hint="eastAsia" w:ascii="仿宋_GB2312;仿宋" w:hAnsi="仿宋_GB2312;仿宋"/>
          <w:sz w:val="28"/>
        </w:rPr>
        <w:t>4000-5000</w:t>
      </w:r>
      <w:r>
        <w:rPr>
          <w:rFonts w:ascii="仿宋_GB2312;仿宋" w:hAnsi="仿宋_GB2312;仿宋" w:hint="eastAsia" w:eastAsia="仿宋_GB2312;仿宋"/>
          <w:sz w:val="28"/>
        </w:rPr>
        <w:t>字。</w:t>
      </w:r>
    </w:p>
    <w:p>
      <w:pPr>
        <w:pStyle w:val="Normal"/>
        <w:snapToGrid w:val="true"/>
        <w:ind w:firstLine="555" w:start="600" w:end="625"/>
        <w:rPr>
          <w:rFonts w:ascii="仿宋_GB2312;仿宋" w:hAnsi="仿宋_GB2312;仿宋" w:eastAsia="仿宋_GB2312;仿宋" w:hint="eastAsia"/>
          <w:sz w:val="28"/>
        </w:rPr>
      </w:pPr>
      <w:r>
        <w:rPr>
          <w:rFonts w:ascii="仿宋_GB2312;仿宋" w:hAnsi="仿宋_GB2312;仿宋" w:hint="eastAsia" w:eastAsia="仿宋_GB2312;仿宋"/>
          <w:sz w:val="28"/>
        </w:rPr>
        <w:t>三、硕士研究生中期进展报告通过后，本报告由各系存档。</w:t>
      </w:r>
    </w:p>
    <w:p>
      <w:pPr>
        <w:pStyle w:val="Normal"/>
        <w:snapToGrid w:val="true"/>
        <w:ind w:end="625"/>
        <w:rPr>
          <w:rFonts w:ascii="仿宋_GB2312;仿宋" w:hAnsi="仿宋_GB2312;仿宋" w:eastAsia="仿宋_GB2312;仿宋" w:hint="eastAsia"/>
          <w:sz w:val="28"/>
        </w:rPr>
      </w:pPr>
      <w:r>
        <w:rPr>
          <w:rFonts w:eastAsia="仿宋_GB2312;仿宋" w:hint="eastAsia" w:ascii="仿宋_GB2312;仿宋" w:hAnsi="仿宋_GB2312;仿宋"/>
          <w:sz w:val="28"/>
        </w:rPr>
      </w:r>
    </w:p>
    <w:p>
      <w:pPr>
        <w:pStyle w:val="Normal"/>
        <w:snapToGrid w:val="true"/>
        <w:ind w:end="625"/>
        <w:rPr>
          <w:rFonts w:ascii="仿宋_GB2312;仿宋" w:hAnsi="仿宋_GB2312;仿宋" w:eastAsia="仿宋_GB2312;仿宋" w:hint="eastAsia"/>
          <w:sz w:val="28"/>
        </w:rPr>
      </w:pPr>
      <w:r>
        <w:rPr>
          <w:rFonts w:eastAsia="仿宋_GB2312;仿宋" w:hint="eastAsia" w:ascii="仿宋_GB2312;仿宋" w:hAnsi="仿宋_GB2312;仿宋"/>
          <w:sz w:val="28"/>
        </w:rPr>
      </w:r>
    </w:p>
    <w:p>
      <w:pPr>
        <w:pStyle w:val="Normal"/>
        <w:ind w:end="645"/>
        <w:jc w:val="start"/>
        <w:rPr>
          <w:rFonts w:ascii="仿宋_GB2312;仿宋" w:hAnsi="仿宋_GB2312;仿宋" w:eastAsia="仿宋_GB2312;仿宋" w:hint="eastAsia"/>
          <w:sz w:val="28"/>
        </w:rPr>
        <w:sectPr>
          <w:footerReference w:type="default" r:id="rId5"/>
          <w:type w:val="nextPage"/>
          <w:pgSz w:w="11906" w:h="16838"/>
          <w:pgMar w:left="1588" w:right="1588" w:gutter="0" w:header="0" w:top="1418" w:footer="851" w:bottom="1418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eastAsia="仿宋_GB2312;仿宋" w:hint="eastAsia" w:ascii="仿宋_GB2312;仿宋" w:hAnsi="仿宋_GB2312;仿宋"/>
          <w:sz w:val="28"/>
        </w:rPr>
      </w:r>
    </w:p>
    <w:p>
      <w:pPr>
        <w:pStyle w:val="Normal"/>
        <w:rPr>
          <w:rFonts w:hint="eastAsia"/>
          <w:sz w:val="10"/>
        </w:rPr>
      </w:pPr>
      <w:r>
        <w:rPr>
          <w:rFonts w:hint="eastAsia"/>
          <w:sz w:val="10"/>
        </w:rPr>
      </w:r>
    </w:p>
    <w:tbl>
      <w:tblPr>
        <w:tblW w:w="894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83"/>
        <w:gridCol w:w="7263"/>
      </w:tblGrid>
      <w:tr>
        <w:trPr>
          <w:trHeight w:val="521" w:hRule="atLeast"/>
        </w:trPr>
        <w:tc>
          <w:tcPr>
            <w:tcW w:w="16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240" w:after="240"/>
              <w:jc w:val="center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ascii="仿宋_GB2312;仿宋" w:hAnsi="仿宋_GB2312;仿宋" w:hint="eastAsia" w:eastAsia="仿宋_GB2312;仿宋"/>
                <w:b/>
              </w:rPr>
              <w:t>研究题目</w:t>
            </w:r>
          </w:p>
        </w:tc>
        <w:tc>
          <w:tcPr>
            <w:tcW w:w="7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120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eastAsia="仿宋_GB2312;仿宋" w:hint="eastAsia" w:ascii="仿宋_GB2312;仿宋" w:hAnsi="仿宋_GB2312;仿宋"/>
                <w:b/>
              </w:rPr>
            </w:r>
          </w:p>
        </w:tc>
      </w:tr>
      <w:tr>
        <w:trPr>
          <w:trHeight w:val="4966" w:hRule="atLeast"/>
        </w:trPr>
        <w:tc>
          <w:tcPr>
            <w:tcW w:w="89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 w:line="336" w:lineRule="auto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ascii="宋体" w:hAnsi="宋体" w:eastAsia="宋体"/>
                <w:sz w:val="24"/>
              </w:rPr>
              <w:t>一、研究内容简介（300～500字）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本课题面向无人机（UAV）能耗建模与能量感知路径规划，研究一类以真实飞行数据为锚定、以大语言模型（LLM）智能体为驱动的自动化科研框架。大模型自动科研（AI4S）近年快速发展，但其产出在缺乏标准答案的真实工程场景中存在可靠性风险（过拟合、把已发表成果误判为新发现、选择性报告正结果）。本课题以真实 DJI Matrice 100 无人机 209 次飞行的机载功率测量数据（电压×电流）为基准，构建“防作弊、会诚实报告负结果”的自动科研闭环，实现三个目标：① 自动拟合出准确的无人机能耗预测模型；② 将能耗模型作为规划代价接入路径规划，使无人机飞出更省电的路径；③ 全程以可信方法完成，并诚实刻画该框架在不同任务上的能力边界。课题意义不在于提出新算法（该领域已较成熟），而在于提供一套可信的、真实数据锚定的自动科研方法学，并系统刻画当前大模型自动科研在真实含噪工程域中的能力边界，为可靠的人机协同科研提供参考。</w:t>
            </w:r>
          </w:p>
        </w:tc>
      </w:tr>
      <w:tr>
        <w:trPr>
          <w:trHeight w:val="6502" w:hRule="atLeast"/>
        </w:trPr>
        <w:tc>
          <w:tcPr>
            <w:tcW w:w="89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="336" w:lineRule="auto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ascii="宋体" w:hAnsi="宋体" w:eastAsia="宋体"/>
                <w:sz w:val="24"/>
              </w:rPr>
              <w:t>二、研究工作进展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（一）真实数据锚定的能耗模型构建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以 209 次真实 DJI M100 飞行的机载功率（P=V·|I|）为真值，建立冻结评测器（按航班划分训练/留出集，以每趟飞行总能量的绝对相对误差 ARE 为指标，评测器全程不可编辑以防作弊）。LLM 智能体以“提出假设→改写能耗公式（featurize）→冻结评测→保留或回滚”的闭环自动迭代 10 轮，将能耗预测的留出 ARE 由教科书稳态 BEMT 模型的 6.88% 降至 1.86%（相对提升约 73%）。所得模型为若干物理特征项（动量诱导功率、前飞诱导、型面与寄生阻力、爬升/下降不对称、载荷）的加权组合，在 55 趟未参与训练的飞行上泛化良好，可作为后续规划的可信能耗代价。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（二）能耗模型接入能量感知路径规划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将上述真机验证的能耗模型封装为规划器的边权代价函数，接入采样式 A* 规划器。在高墙等障碍场景中，与“最短距离”“教科书 BEMT”两种代价对比：前两者选择翻越障碍（爬升），真机代价选择绕行以避开爬升能耗，相对省能 5–13%，且在全速度范围 4–12 m/s 内结论稳定（省能 4–22%）。机制经三重验证：① 留出真实数据上爬升功率增量预测误差小于 5%（实测 +114W vs 预测 +108W）；② 因果消融——挖除模型爬升项后规划决策退回翻越，证明爬升标定是分叉的唯一原因；③ 交叉模型验证暴露评测循环性。并在“城市走廊”场景中实现逐障碍混合决策（翻越矮楼、绕行高楼）。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（三）动力学与真飞控固件栈闭环验证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为验证结论是否经受真实飞行动力学，构建两级闭环：① RotorPy 四旋翼刚体动力学（按 M100 尺度配参 2.65kg）+ SE3 几何控制器，规划路径经 MinSnap 平滑后真飞，绕行省能 6.1%（折线预测 10.7%），并发现“规划安全裕度需给轨迹平滑留余量”的工程规律；② PX4 SITL + Gazebo Harmonic 真飞控固件在环（EKF 状态估计 + 位置环 + 混控），以同一固件栈、同一脚本 A/B 对比，绕行相对翻越省能 14.3%。证据链从折线预测、动力学仿真到真飞控固件栈逐层加固，结论成立。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（四）可信自动科研方法学与能力边界刻画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课题核心贡献在方法学。构建“冻结评测器 + 保留/回滚 + 强制查新门 + 因果消融 + 交叉模型 + 诚实报负结果”的安全机制，并通过累加消融逐一证明其承重性：去掉强制查新门，则把配送顺序、可达集等“发现”误报为新结果（实际为 Michel 2024、Nguyen 2017 等已发表成果，本课题主动引用而不声称首创）；去掉留出评测，则过拟合探针可刷高分。同时诚实刻画能力边界：① 能耗预测的留出误差在 6 个特征项处即触底约 1.9%，增至 52 项仍不降（四种独立方法殊途同归），表明该上界由真实功率中的非运动学噪声决定，而非模型容量不足；② 统计检验（随机搜索 40 次分布）表明结构搜索在小空间任务上与随机搜索相当（z=−0.35），而在需要编写代码结构的规划器域显著优于随机（z=−2.38，无一例随机更优），揭示“自动科研的价值取决于任务是否具备改进空间”的规律（与 Bergstra &amp; Bengio、NAS 等文献一致）。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（五）主要成果与阶段性成绩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1. 建立了冻结的、真实数据锚定的能耗评测与自动科研框架；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2. 获得留出 ARE 1.86% 的真机验证能耗模型，并接入规划实现省能 4–22%（PX4 真飞控栈省 14.3%）；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3. 形成可信自动科研方法学的安全机制与累加消融证据，以及“数据封顶”与“跨域显著性”两条能力边界量化结论；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4. 产出可复现实验代码 20+ 个、实验结果 JSON 30+ 项、图表与飞行动画若干，全部纳入版本管理可溯源。</w:t>
            </w:r>
          </w:p>
        </w:tc>
      </w:tr>
      <w:tr>
        <w:trPr>
          <w:trHeight w:val="13870" w:hRule="atLeast"/>
        </w:trPr>
        <w:tc>
          <w:tcPr>
            <w:tcW w:w="89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eastAsia="仿宋_GB2312;仿宋" w:hint="eastAsia" w:ascii="仿宋_GB2312;仿宋" w:hAnsi="仿宋_GB2312;仿宋"/>
                <w:b/>
              </w:rPr>
            </w:r>
          </w:p>
        </w:tc>
      </w:tr>
    </w:tbl>
    <w:p>
      <w:pPr>
        <w:pStyle w:val="Normal"/>
        <w:rPr>
          <w:rFonts w:ascii="仿宋_GB2312;仿宋" w:hAnsi="仿宋_GB2312;仿宋" w:eastAsia="仿宋_GB2312;仿宋"/>
          <w:sz w:val="10"/>
        </w:rPr>
      </w:pPr>
      <w:r>
        <w:rPr>
          <w:rFonts w:eastAsia="仿宋_GB2312;仿宋" w:ascii="仿宋_GB2312;仿宋" w:hAnsi="仿宋_GB2312;仿宋"/>
          <w:sz w:val="10"/>
        </w:rPr>
      </w:r>
    </w:p>
    <w:tbl>
      <w:tblPr>
        <w:tblW w:w="894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28"/>
        <w:gridCol w:w="18"/>
      </w:tblGrid>
      <w:tr>
        <w:trPr>
          <w:trHeight w:val="13708" w:hRule="atLeast"/>
        </w:trPr>
        <w:tc>
          <w:tcPr>
            <w:tcW w:w="8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 w:line="336" w:lineRule="auto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ascii="宋体" w:hAnsi="宋体" w:eastAsia="宋体"/>
                <w:sz w:val="24"/>
              </w:rPr>
              <w:t>三、下一步的工作计划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1. 完善论文写作：将现有方法、实验与能力边界整理为学位论文初稿（方法章、实验章、讨论章）。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2. 功率残差归因（拟进一步研究）：真机功率中运动学仅能解释约 40%，其余约 60% 的来源（风场、电压跌落、控制器修正等）尚未定量归因，拟通过引入风场通道、分离电压项、分析时间对齐与传感器噪声等手段进一步刻画。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3. 感知闭环扩展：将当前“已知地图 + 全局规划”升级为“深度相机在线建图 + 能量感知滚动重规划”，并推进 PX4 深度相机（gz_x500_depth）的感知—规划—飞控全闭环验证。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4. 在更大搜索空间验证框架价值：当前能耗任务搜索空间较小（结构搜索与随机相当），拟在更复杂的规划器/程序级模型空间进一步验证自动科研框架的引导优势。</w:t>
            </w:r>
          </w:p>
          <w:p>
            <w:pPr>
              <w:spacing w:line="336" w:lineRule="auto"/>
            </w:pPr>
            <w:r>
              <w:rPr>
                <w:rFonts w:ascii="宋体" w:hAnsi="宋体" w:eastAsia="宋体"/>
                <w:sz w:val="24"/>
              </w:rPr>
              <w:t>5. 视情况补充真实无人机外场飞行实验，验证仿真所得省能结论在实机上的有效性。</w:t>
            </w:r>
          </w:p>
        </w:tc>
      </w:tr>
      <w:tr>
        <w:trPr>
          <w:trHeight w:val="527" w:hRule="atLeast"/>
          <w:cantSplit/>
        </w:trPr>
        <w:tc>
          <w:tcPr>
            <w:tcW w:w="8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6" w:type="dxa"/>
              <w:end w:w="56" w:type="dxa"/>
            </w:tcMar>
            <w:vAlign w:val="center"/>
          </w:tcPr>
          <w:p>
            <w:pPr>
              <w:pStyle w:val="Normal"/>
              <w:spacing w:before="60" w:after="60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ascii="仿宋_GB2312;仿宋" w:hAnsi="仿宋_GB2312;仿宋" w:hint="eastAsia" w:eastAsia="仿宋_GB2312;仿宋"/>
                <w:b/>
              </w:rPr>
              <w:t>四、导师评语</w:t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rPr>
                <w:rFonts w:ascii="仿宋_GB2312;仿宋" w:hAnsi="仿宋_GB2312;仿宋" w:eastAsia="仿宋_GB2312;仿宋" w:hint="eastAsia"/>
              </w:rPr>
            </w:pPr>
            <w:r>
              <w:rPr>
                <w:rFonts w:eastAsia="仿宋_GB2312;仿宋" w:hint="eastAsia" w:ascii="仿宋_GB2312;仿宋" w:hAnsi="仿宋_GB2312;仿宋"/>
              </w:rPr>
            </w:r>
          </w:p>
          <w:p>
            <w:pPr>
              <w:pStyle w:val="Normal"/>
              <w:tabs>
                <w:tab w:val="clear" w:pos="420"/>
                <w:tab w:val="left" w:pos="1729" w:leader="none"/>
                <w:tab w:val="left" w:pos="4564" w:leader="none"/>
              </w:tabs>
              <w:spacing w:before="60" w:after="120"/>
              <w:rPr>
                <w:rFonts w:ascii="仿宋_GB2312;仿宋" w:hAnsi="仿宋_GB2312;仿宋" w:eastAsia="仿宋_GB2312;仿宋" w:hint="eastAsia"/>
                <w:b/>
              </w:rPr>
            </w:pPr>
            <w:r>
              <w:rPr>
                <w:rFonts w:eastAsia="仿宋_GB2312;仿宋" w:ascii="仿宋_GB2312;仿宋" w:hAnsi="仿宋_GB2312;仿宋"/>
                <w:b/>
              </w:rPr>
              <w:tab/>
            </w:r>
            <w:r>
              <w:rPr>
                <w:rFonts w:ascii="仿宋_GB2312;仿宋" w:hAnsi="仿宋_GB2312;仿宋" w:hint="eastAsia" w:eastAsia="仿宋_GB2312;仿宋"/>
                <w:b/>
              </w:rPr>
              <w:t>签名：</w:t>
            </w:r>
            <w:r>
              <w:rPr>
                <w:rFonts w:eastAsia="仿宋_GB2312;仿宋" w:ascii="仿宋_GB2312;仿宋" w:hAnsi="仿宋_GB2312;仿宋"/>
                <w:b/>
              </w:rPr>
              <w:tab/>
            </w:r>
            <w:r>
              <w:rPr>
                <w:rFonts w:ascii="仿宋_GB2312;仿宋" w:hAnsi="仿宋_GB2312;仿宋" w:hint="eastAsia" w:eastAsia="仿宋_GB2312;仿宋"/>
                <w:b/>
              </w:rPr>
              <w:t>日期：      年   月   日</w:t>
            </w:r>
          </w:p>
        </w:tc>
      </w:tr>
    </w:tbl>
    <w:p>
      <w:pPr>
        <w:pStyle w:val="Normal"/>
        <w:rPr>
          <w:rFonts w:ascii="仿宋_GB2312;仿宋" w:hAnsi="仿宋_GB2312;仿宋" w:eastAsia="仿宋_GB2312;仿宋"/>
          <w:sz w:val="10"/>
        </w:rPr>
      </w:pPr>
      <w:r>
        <w:rPr>
          <w:rFonts w:eastAsia="仿宋_GB2312;仿宋" w:ascii="仿宋_GB2312;仿宋" w:hAnsi="仿宋_GB2312;仿宋"/>
          <w:sz w:val="10"/>
        </w:rPr>
      </w:r>
    </w:p>
    <w:sectPr>
      <w:footerReference w:type="default" r:id="rId6"/>
      <w:footerReference w:type="first" r:id="rId7"/>
      <w:type w:val="nextPage"/>
      <w:pgSz w:w="11906" w:h="16838"/>
      <w:pgMar w:left="1588" w:right="1588" w:gutter="0" w:header="0" w:top="1418" w:footer="851" w:bottom="1418"/>
      <w:pgNumType w:start="1" w:fmt="decimal"/>
      <w:formProt w:val="false"/>
      <w:titlePg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楷体_GB2312">
    <w:altName w:val="楷体"/>
    <w:charset w:val="86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altName w:val="仿宋"/>
    <w:charset w:val="86"/>
    <w:family w:val="modern"/>
    <w:pitch w:val="default"/>
  </w:font>
  <w:font w:name="Times New Roman">
    <w:charset w:val="00" w:characterSet="windows-1252"/>
    <w:family w:val="roman"/>
    <w:pitch w:val="default"/>
  </w:font>
  <w:font w:name="宋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hint="eastAsia"/>
      </w:rPr>
    </w:pPr>
    <w:r>
      <w:rPr>
        <w:rFonts w:hint="eastAsia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Style w:val="PageNumber"/>
        <w:rFonts w:hint="eastAsia"/>
      </w:rPr>
      <w:t xml:space="preserve">—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  <w:r>
      <w:rPr>
        <w:rStyle w:val="PageNumber"/>
        <w:rFonts w:hint="eastAsia"/>
      </w:rPr>
      <w:t xml:space="preserve"> —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  <w:sz w:val="20"/>
      </w:rPr>
      <w:softHyphen/>
      <w:t xml:space="preserve"> </w:t>
    </w:r>
    <w:r>
      <w:rPr>
        <w:kern w:val="0"/>
        <w:sz w:val="20"/>
      </w:rPr>
      <w:fldChar w:fldCharType="begin"/>
    </w:r>
    <w:r>
      <w:rPr>
        <w:kern w:val="0"/>
        <w:sz w:val="20"/>
      </w:rPr>
      <w:instrText xml:space="preserve"> PAGE </w:instrText>
    </w:r>
    <w:r>
      <w:rPr>
        <w:kern w:val="0"/>
        <w:sz w:val="20"/>
      </w:rPr>
      <w:fldChar w:fldCharType="separate"/>
    </w:r>
    <w:r>
      <w:rPr>
        <w:kern w:val="0"/>
        <w:sz w:val="20"/>
      </w:rPr>
      <w:t>1</w:t>
    </w:r>
    <w:r>
      <w:rPr>
        <w:kern w:val="0"/>
        <w:sz w:val="20"/>
      </w:rPr>
      <w:fldChar w:fldCharType="end"/>
    </w:r>
    <w:r>
      <w:rPr>
        <w:kern w:val="0"/>
        <w:sz w:val="20"/>
      </w:rPr>
      <w:t xml:space="preserve"> </w:t>
      <w:softHyphen/>
    </w:r>
  </w:p>
</w:ftr>
</file>

<file path=word/settings.xml><?xml version="1.0" encoding="utf-8"?>
<w:settings xmlns:w="http://schemas.openxmlformats.org/wordprocessingml/2006/main">
  <w:zoom w:percent="9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napToGrid w:val="false"/>
      <w:jc w:val="both"/>
    </w:pPr>
    <w:rPr>
      <w:rFonts w:ascii="楷体_GB2312;楷体" w:hAnsi="楷体_GB2312;楷体" w:eastAsia="楷体_GB2312;楷体" w:cs="Times New Roman"/>
      <w:color w:val="auto"/>
      <w:kern w:val="2"/>
      <w:sz w:val="24"/>
      <w:szCs w:val="20"/>
      <w:lang w:bidi="ar-SA" w:val="en-US" w:eastAsia="zh-CN"/>
    </w:rPr>
  </w:style>
  <w:style w:type="character" w:styleId="Style14">
    <w:name w:val="默认段落字体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">
    <w:name w:val="Body Text Indent"/>
    <w:basedOn w:val="Normal"/>
    <w:pPr>
      <w:spacing w:before="120" w:after="120"/>
      <w:ind w:hanging="525" w:start="525" w:end="0"/>
    </w:pPr>
    <w:rPr>
      <w:rFonts w:ascii="仿宋_GB2312;仿宋" w:hAnsi="仿宋_GB2312;仿宋" w:eastAsia="仿宋_GB2312;仿宋"/>
      <w:b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jc w:val="start"/>
    </w:pPr>
    <w:rPr>
      <w:rFonts w:ascii="Times New Roman" w:hAnsi="Times New Roman" w:eastAsia="宋体"/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bmp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2007-06-01T11:13:00Z</dcterms:created>
  <dc:creator>zhaozhen</dc:creator>
  <dc:description/>
  <dc:language>zh-CN</dc:language>
  <cp:lastModifiedBy>张雅玲</cp:lastModifiedBy>
  <dcterms:modified xsi:type="dcterms:W3CDTF">2026-06-03T08:21:43Z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0DAA7C3984854C42854501020FD61A06_13</vt:lpwstr>
  </property>
  <property fmtid="{D5CDD505-2E9C-101B-9397-08002B2CF9AE}" pid="3" name="KSOProductBuildVer">
    <vt:lpwstr>2052-12.1.0.26375</vt:lpwstr>
  </property>
</Properties>
</file>