
<file path=[Content_Types].xml><?xml version="1.0" encoding="utf-8"?>
<Types xmlns="http://schemas.openxmlformats.org/package/2006/content-types">
  <Default Extension="xml" ContentType="application/xml"/>
  <Default Extension="bin" ContentType="application/vnd.openxmlformats-officedocument.oleObject"/>
  <Default Extension="bmp" ContentType="image/bmp"/>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7A1FF">
      <w:pPr>
        <w:jc w:val="left"/>
        <w:rPr>
          <w:lang w:val="zh-CN" w:eastAsia="zh-CN"/>
        </w:rPr>
      </w:pPr>
      <w:r>
        <w:rPr>
          <w:lang w:val="zh-CN" w:eastAsia="zh-CN"/>
        </w:rPr>
        <w:pict>
          <v:shape id="ole_rId2" o:spid="_x0000_s1026" o:spt="75" type="#_x0000_t75" style="position:absolute;left:0pt;margin-left:5.4pt;margin-top:7.95pt;height:88.35pt;width:89.1pt;mso-wrap-distance-bottom:0pt;mso-wrap-distance-left:9.05pt;mso-wrap-distance-right:9.05pt;mso-wrap-distance-top:0pt;z-index:251659264;mso-width-relative:page;mso-height-relative:page;" o:ole="t" filled="f" o:preferrelative="t" stroked="f" coordsize="21600,21600">
            <v:path/>
            <v:fill on="f" focussize="0,0"/>
            <v:stroke on="f" joinstyle="miter"/>
            <v:imagedata r:id="rId8" o:title=""/>
            <o:lock v:ext="edit"/>
            <w10:wrap type="square" side="largest"/>
          </v:shape>
          <o:OLEObject Type="Embed" ProgID="" ShapeID="ole_rId2" DrawAspect="Content" ObjectID="_1468075725" r:id="rId7">
            <o:LockedField>false</o:LockedField>
          </o:OLEObject>
        </w:pict>
      </w:r>
    </w:p>
    <w:tbl>
      <w:tblPr>
        <w:tblStyle w:val="8"/>
        <w:tblW w:w="3675" w:type="dxa"/>
        <w:tblInd w:w="2733" w:type="dxa"/>
        <w:tblLayout w:type="fixed"/>
        <w:tblCellMar>
          <w:top w:w="0" w:type="dxa"/>
          <w:left w:w="108" w:type="dxa"/>
          <w:bottom w:w="0" w:type="dxa"/>
          <w:right w:w="108" w:type="dxa"/>
        </w:tblCellMar>
      </w:tblPr>
      <w:tblGrid>
        <w:gridCol w:w="1470"/>
        <w:gridCol w:w="2205"/>
      </w:tblGrid>
      <w:tr w14:paraId="1541F139">
        <w:tc>
          <w:tcPr>
            <w:tcW w:w="1470" w:type="dxa"/>
            <w:tcBorders>
              <w:top w:val="single" w:color="000000" w:sz="4" w:space="0"/>
              <w:left w:val="single" w:color="000000" w:sz="4" w:space="0"/>
              <w:bottom w:val="single" w:color="000000" w:sz="4" w:space="0"/>
              <w:right w:val="single" w:color="000000" w:sz="4" w:space="0"/>
            </w:tcBorders>
            <w:vAlign w:val="center"/>
          </w:tcPr>
          <w:p w14:paraId="674BFCA1">
            <w:pPr>
              <w:spacing w:before="60" w:after="60"/>
              <w:jc w:val="center"/>
              <w:rPr>
                <w:rFonts w:hint="eastAsia"/>
                <w:b/>
              </w:rPr>
            </w:pPr>
            <w:r>
              <w:rPr>
                <w:rFonts w:hint="eastAsia"/>
                <w:b/>
              </w:rPr>
              <w:t>学    院</w:t>
            </w:r>
          </w:p>
        </w:tc>
        <w:tc>
          <w:tcPr>
            <w:tcW w:w="2205" w:type="dxa"/>
            <w:tcBorders>
              <w:top w:val="single" w:color="000000" w:sz="4" w:space="0"/>
              <w:left w:val="single" w:color="000000" w:sz="4" w:space="0"/>
              <w:bottom w:val="single" w:color="000000" w:sz="4" w:space="0"/>
              <w:right w:val="single" w:color="000000" w:sz="4" w:space="0"/>
            </w:tcBorders>
            <w:vAlign w:val="center"/>
          </w:tcPr>
          <w:p w14:paraId="65137897">
            <w:pPr>
              <w:spacing w:before="60" w:after="60"/>
              <w:jc w:val="center"/>
              <w:rPr>
                <w:rFonts w:hint="eastAsia"/>
                <w:b/>
              </w:rPr>
            </w:pPr>
          </w:p>
        </w:tc>
      </w:tr>
      <w:tr w14:paraId="153A57D2">
        <w:tc>
          <w:tcPr>
            <w:tcW w:w="1470" w:type="dxa"/>
            <w:tcBorders>
              <w:top w:val="single" w:color="000000" w:sz="4" w:space="0"/>
              <w:left w:val="single" w:color="000000" w:sz="4" w:space="0"/>
              <w:bottom w:val="single" w:color="000000" w:sz="4" w:space="0"/>
              <w:right w:val="single" w:color="000000" w:sz="4" w:space="0"/>
            </w:tcBorders>
            <w:vAlign w:val="center"/>
          </w:tcPr>
          <w:p w14:paraId="38C2D3B0">
            <w:pPr>
              <w:spacing w:before="60" w:after="60"/>
              <w:jc w:val="center"/>
              <w:rPr>
                <w:rFonts w:hint="eastAsia"/>
                <w:b/>
              </w:rPr>
            </w:pPr>
            <w:r>
              <w:rPr>
                <w:rFonts w:hint="eastAsia"/>
                <w:b/>
              </w:rPr>
              <w:t>编    号</w:t>
            </w:r>
          </w:p>
        </w:tc>
        <w:tc>
          <w:tcPr>
            <w:tcW w:w="2205" w:type="dxa"/>
            <w:tcBorders>
              <w:top w:val="single" w:color="000000" w:sz="4" w:space="0"/>
              <w:left w:val="single" w:color="000000" w:sz="4" w:space="0"/>
              <w:bottom w:val="single" w:color="000000" w:sz="4" w:space="0"/>
              <w:right w:val="single" w:color="000000" w:sz="4" w:space="0"/>
            </w:tcBorders>
            <w:vAlign w:val="center"/>
          </w:tcPr>
          <w:p w14:paraId="1F5605D7">
            <w:pPr>
              <w:spacing w:before="60" w:after="60"/>
              <w:jc w:val="center"/>
              <w:rPr>
                <w:rFonts w:hint="eastAsia"/>
                <w:b/>
              </w:rPr>
            </w:pPr>
          </w:p>
        </w:tc>
      </w:tr>
    </w:tbl>
    <w:p w14:paraId="3F28715A">
      <w:pPr>
        <w:rPr>
          <w:rFonts w:hint="eastAsia"/>
        </w:rPr>
      </w:pPr>
    </w:p>
    <w:p w14:paraId="3A648787">
      <w:pPr>
        <w:rPr>
          <w:rFonts w:hint="eastAsia"/>
        </w:rPr>
      </w:pPr>
    </w:p>
    <w:p w14:paraId="23A9BE3B">
      <w:pPr>
        <w:rPr>
          <w:rFonts w:hint="eastAsia"/>
        </w:rPr>
      </w:pPr>
    </w:p>
    <w:p w14:paraId="3AC580E2">
      <w:pPr>
        <w:jc w:val="center"/>
        <w:rPr>
          <w:rFonts w:hint="eastAsia"/>
        </w:rPr>
      </w:pPr>
    </w:p>
    <w:p w14:paraId="69162073">
      <w:pPr>
        <w:ind w:left="0" w:leftChars="0" w:right="0" w:rightChars="0" w:firstLineChars="1000"/>
      </w:pPr>
      <w:r>
        <w:drawing>
          <wp:inline distT="0" distB="0" distL="0" distR="0">
            <wp:extent cx="2741295" cy="723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l="-9" t="-31" r="-9" b="-31"/>
                    <a:stretch>
                      <a:fillRect/>
                    </a:stretch>
                  </pic:blipFill>
                  <pic:spPr>
                    <a:xfrm>
                      <a:off x="0" y="0"/>
                      <a:ext cx="2741295" cy="723900"/>
                    </a:xfrm>
                    <a:prstGeom prst="rect">
                      <a:avLst/>
                    </a:prstGeom>
                    <a:noFill/>
                  </pic:spPr>
                </pic:pic>
              </a:graphicData>
            </a:graphic>
          </wp:inline>
        </w:drawing>
      </w:r>
    </w:p>
    <w:p w14:paraId="6AB6E947">
      <w:pPr>
        <w:spacing w:before="120" w:after="120"/>
        <w:jc w:val="center"/>
        <w:rPr>
          <w:rFonts w:hint="eastAsia" w:ascii="宋体" w:hAnsi="宋体" w:eastAsia="宋体"/>
          <w:b/>
          <w:spacing w:val="40"/>
          <w:sz w:val="72"/>
        </w:rPr>
      </w:pPr>
      <w:r>
        <w:rPr>
          <w:rFonts w:hint="eastAsia" w:ascii="宋体" w:hAnsi="宋体" w:eastAsia="宋体"/>
          <w:b/>
          <w:spacing w:val="40"/>
          <w:sz w:val="72"/>
        </w:rPr>
        <w:t>硕士研究生</w:t>
      </w:r>
    </w:p>
    <w:p w14:paraId="1507214A">
      <w:pPr>
        <w:spacing w:before="120" w:after="120"/>
        <w:jc w:val="center"/>
        <w:rPr>
          <w:rFonts w:hint="eastAsia" w:ascii="宋体" w:hAnsi="宋体" w:eastAsia="宋体"/>
          <w:b/>
          <w:spacing w:val="40"/>
          <w:sz w:val="72"/>
        </w:rPr>
      </w:pPr>
      <w:r>
        <w:rPr>
          <w:rFonts w:hint="eastAsia" w:ascii="宋体" w:hAnsi="宋体" w:eastAsia="宋体"/>
          <w:b/>
          <w:spacing w:val="40"/>
          <w:sz w:val="72"/>
        </w:rPr>
        <w:t>中期进展报告</w:t>
      </w:r>
    </w:p>
    <w:p w14:paraId="11907C88">
      <w:pPr>
        <w:jc w:val="center"/>
        <w:rPr>
          <w:rFonts w:hint="eastAsia" w:ascii="宋体" w:hAnsi="宋体" w:eastAsia="宋体"/>
          <w:b/>
          <w:spacing w:val="40"/>
          <w:sz w:val="72"/>
        </w:rPr>
      </w:pPr>
    </w:p>
    <w:p w14:paraId="50610055">
      <w:pPr>
        <w:jc w:val="center"/>
        <w:rPr>
          <w:rFonts w:hint="eastAsia"/>
        </w:rPr>
      </w:pPr>
    </w:p>
    <w:p w14:paraId="5F48DF2A">
      <w:pPr>
        <w:jc w:val="center"/>
        <w:rPr>
          <w:rFonts w:hint="eastAsia"/>
        </w:rPr>
      </w:pPr>
    </w:p>
    <w:p w14:paraId="1ED9B51A">
      <w:pPr>
        <w:jc w:val="center"/>
        <w:rPr>
          <w:rFonts w:hint="eastAsia"/>
        </w:rPr>
      </w:pPr>
    </w:p>
    <w:p w14:paraId="5C8359CA">
      <w:pPr>
        <w:jc w:val="center"/>
        <w:rPr>
          <w:rFonts w:hint="eastAsia"/>
          <w:sz w:val="30"/>
        </w:rPr>
      </w:pPr>
    </w:p>
    <w:tbl>
      <w:tblPr>
        <w:tblStyle w:val="8"/>
        <w:tblW w:w="6405" w:type="dxa"/>
        <w:tblInd w:w="1211" w:type="dxa"/>
        <w:tblLayout w:type="fixed"/>
        <w:tblCellMar>
          <w:top w:w="0" w:type="dxa"/>
          <w:left w:w="56" w:type="dxa"/>
          <w:bottom w:w="0" w:type="dxa"/>
          <w:right w:w="56" w:type="dxa"/>
        </w:tblCellMar>
      </w:tblPr>
      <w:tblGrid>
        <w:gridCol w:w="1785"/>
        <w:gridCol w:w="4620"/>
      </w:tblGrid>
      <w:tr w14:paraId="3F81F2BA">
        <w:tc>
          <w:tcPr>
            <w:tcW w:w="1785" w:type="dxa"/>
            <w:vAlign w:val="center"/>
          </w:tcPr>
          <w:p w14:paraId="1004E3A7">
            <w:pPr>
              <w:spacing w:before="120" w:after="120"/>
              <w:jc w:val="center"/>
              <w:rPr>
                <w:rFonts w:hint="eastAsia"/>
                <w:b/>
                <w:sz w:val="30"/>
              </w:rPr>
            </w:pPr>
            <w:r>
              <w:rPr>
                <w:rFonts w:hint="eastAsia"/>
                <w:b/>
                <w:sz w:val="30"/>
              </w:rPr>
              <w:t>学    号：</w:t>
            </w:r>
          </w:p>
        </w:tc>
        <w:tc>
          <w:tcPr>
            <w:tcW w:w="4620" w:type="dxa"/>
            <w:tcBorders>
              <w:bottom w:val="single" w:color="000000" w:sz="4" w:space="0"/>
            </w:tcBorders>
            <w:vAlign w:val="center"/>
          </w:tcPr>
          <w:p w14:paraId="5F3B82D7">
            <w:pPr>
              <w:spacing w:before="120" w:after="120"/>
              <w:rPr>
                <w:rFonts w:hint="default"/>
                <w:b/>
                <w:sz w:val="30"/>
                <w:lang w:val="en-US"/>
              </w:rPr>
            </w:pPr>
            <w:r>
              <w:rPr>
                <w:rFonts w:hint="default"/>
                <w:b/>
                <w:sz w:val="30"/>
                <w:lang w:val="en-US"/>
              </w:rPr>
              <w:t>3124354082</w:t>
            </w:r>
          </w:p>
        </w:tc>
      </w:tr>
      <w:tr w14:paraId="0AB2EF9D">
        <w:tc>
          <w:tcPr>
            <w:tcW w:w="1785" w:type="dxa"/>
            <w:vAlign w:val="center"/>
          </w:tcPr>
          <w:p w14:paraId="71D3C79C">
            <w:pPr>
              <w:spacing w:before="120" w:after="120"/>
              <w:jc w:val="center"/>
              <w:rPr>
                <w:rFonts w:hint="eastAsia"/>
                <w:b/>
                <w:sz w:val="30"/>
              </w:rPr>
            </w:pPr>
            <w:r>
              <w:rPr>
                <w:rFonts w:hint="eastAsia"/>
                <w:b/>
                <w:sz w:val="30"/>
              </w:rPr>
              <w:t>研 究 生：</w:t>
            </w:r>
          </w:p>
        </w:tc>
        <w:tc>
          <w:tcPr>
            <w:tcW w:w="4620" w:type="dxa"/>
            <w:tcBorders>
              <w:top w:val="single" w:color="000000" w:sz="4" w:space="0"/>
              <w:bottom w:val="single" w:color="000000" w:sz="4" w:space="0"/>
            </w:tcBorders>
            <w:vAlign w:val="center"/>
          </w:tcPr>
          <w:p w14:paraId="5E44FE63">
            <w:pPr>
              <w:spacing w:before="120" w:after="120"/>
              <w:rPr>
                <w:rFonts w:hint="default" w:eastAsia="楷体_GB2312;楷体"/>
                <w:b/>
                <w:sz w:val="30"/>
                <w:lang w:val="en-US" w:eastAsia="zh-CN"/>
              </w:rPr>
            </w:pPr>
            <w:r>
              <w:rPr>
                <w:rFonts w:hint="eastAsia"/>
                <w:b/>
                <w:sz w:val="30"/>
                <w:lang w:val="en-US" w:eastAsia="zh-CN"/>
              </w:rPr>
              <w:t>王彬竹</w:t>
            </w:r>
          </w:p>
        </w:tc>
      </w:tr>
      <w:tr w14:paraId="32018F34">
        <w:tc>
          <w:tcPr>
            <w:tcW w:w="1785" w:type="dxa"/>
            <w:vAlign w:val="center"/>
          </w:tcPr>
          <w:p w14:paraId="39B6A838">
            <w:pPr>
              <w:spacing w:before="120" w:after="120"/>
              <w:jc w:val="center"/>
              <w:rPr>
                <w:rFonts w:hint="eastAsia"/>
                <w:b/>
                <w:sz w:val="30"/>
              </w:rPr>
            </w:pPr>
            <w:r>
              <w:rPr>
                <w:rFonts w:hint="eastAsia"/>
                <w:b/>
                <w:sz w:val="30"/>
              </w:rPr>
              <w:t>导   师：</w:t>
            </w:r>
          </w:p>
        </w:tc>
        <w:tc>
          <w:tcPr>
            <w:tcW w:w="4620" w:type="dxa"/>
            <w:tcBorders>
              <w:top w:val="single" w:color="000000" w:sz="4" w:space="0"/>
              <w:bottom w:val="single" w:color="000000" w:sz="4" w:space="0"/>
            </w:tcBorders>
            <w:vAlign w:val="center"/>
          </w:tcPr>
          <w:p w14:paraId="7BD5DDE1">
            <w:pPr>
              <w:spacing w:before="120" w:after="120"/>
              <w:rPr>
                <w:rFonts w:hint="default" w:eastAsia="楷体_GB2312;楷体"/>
                <w:b/>
                <w:sz w:val="30"/>
                <w:lang w:val="en-US" w:eastAsia="zh-CN"/>
              </w:rPr>
            </w:pPr>
            <w:r>
              <w:rPr>
                <w:rFonts w:hint="eastAsia"/>
                <w:b/>
                <w:sz w:val="30"/>
                <w:lang w:val="en-US" w:eastAsia="zh-CN"/>
              </w:rPr>
              <w:t>张乐</w:t>
            </w:r>
          </w:p>
        </w:tc>
      </w:tr>
      <w:tr w14:paraId="46013CE5">
        <w:tc>
          <w:tcPr>
            <w:tcW w:w="1785" w:type="dxa"/>
            <w:vAlign w:val="center"/>
          </w:tcPr>
          <w:p w14:paraId="22D42C9D">
            <w:pPr>
              <w:spacing w:before="120" w:after="120"/>
              <w:jc w:val="center"/>
              <w:rPr>
                <w:rFonts w:hint="eastAsia"/>
                <w:b/>
                <w:sz w:val="30"/>
              </w:rPr>
            </w:pPr>
            <w:r>
              <w:rPr>
                <w:rFonts w:hint="eastAsia"/>
                <w:b/>
                <w:sz w:val="30"/>
              </w:rPr>
              <w:t>论文题目：</w:t>
            </w:r>
          </w:p>
        </w:tc>
        <w:tc>
          <w:tcPr>
            <w:tcW w:w="4620" w:type="dxa"/>
            <w:tcBorders>
              <w:top w:val="single" w:color="000000" w:sz="4" w:space="0"/>
              <w:bottom w:val="single" w:color="000000" w:sz="4" w:space="0"/>
            </w:tcBorders>
            <w:vAlign w:val="center"/>
          </w:tcPr>
          <w:p w14:paraId="5CBE1387">
            <w:pPr>
              <w:pStyle w:val="7"/>
              <w:keepNext w:val="0"/>
              <w:keepLines w:val="0"/>
              <w:widowControl/>
              <w:suppressLineNumbers w:val="0"/>
              <w:rPr>
                <w:rFonts w:hint="eastAsia"/>
                <w:b/>
                <w:sz w:val="30"/>
              </w:rPr>
            </w:pPr>
            <w:r>
              <w:t>面向无人机能耗建模与能量感知路径规划的可信大模型自动化科研框架</w:t>
            </w:r>
          </w:p>
        </w:tc>
      </w:tr>
      <w:tr w14:paraId="76AC06F3">
        <w:tc>
          <w:tcPr>
            <w:tcW w:w="1785" w:type="dxa"/>
            <w:vAlign w:val="center"/>
          </w:tcPr>
          <w:p w14:paraId="28C4AC4B">
            <w:pPr>
              <w:spacing w:before="120" w:after="120"/>
              <w:jc w:val="center"/>
              <w:rPr>
                <w:rFonts w:hint="eastAsia"/>
                <w:b/>
                <w:sz w:val="30"/>
              </w:rPr>
            </w:pPr>
            <w:r>
              <w:rPr>
                <w:rFonts w:hint="eastAsia"/>
                <w:b/>
                <w:sz w:val="30"/>
              </w:rPr>
              <w:t>学    科：</w:t>
            </w:r>
          </w:p>
        </w:tc>
        <w:tc>
          <w:tcPr>
            <w:tcW w:w="4620" w:type="dxa"/>
            <w:tcBorders>
              <w:top w:val="single" w:color="000000" w:sz="4" w:space="0"/>
              <w:bottom w:val="single" w:color="000000" w:sz="4" w:space="0"/>
            </w:tcBorders>
            <w:vAlign w:val="center"/>
          </w:tcPr>
          <w:p w14:paraId="2976FE81">
            <w:pPr>
              <w:spacing w:before="120" w:after="120"/>
              <w:rPr>
                <w:rFonts w:hint="default" w:eastAsia="楷体_GB2312;楷体"/>
                <w:b/>
                <w:sz w:val="30"/>
                <w:lang w:val="en-US" w:eastAsia="zh-CN"/>
              </w:rPr>
            </w:pPr>
            <w:r>
              <w:rPr>
                <w:rFonts w:hint="eastAsia"/>
                <w:b/>
                <w:sz w:val="30"/>
                <w:lang w:val="en-US" w:eastAsia="zh-CN"/>
              </w:rPr>
              <w:t>控制工程</w:t>
            </w:r>
          </w:p>
        </w:tc>
      </w:tr>
      <w:tr w14:paraId="7771A6A9">
        <w:tc>
          <w:tcPr>
            <w:tcW w:w="1785" w:type="dxa"/>
            <w:vAlign w:val="center"/>
          </w:tcPr>
          <w:p w14:paraId="1F09BC97">
            <w:pPr>
              <w:spacing w:before="120" w:after="120"/>
              <w:rPr>
                <w:rFonts w:hint="eastAsia"/>
                <w:b/>
                <w:sz w:val="30"/>
              </w:rPr>
            </w:pPr>
            <w:r>
              <w:rPr>
                <w:rFonts w:hint="eastAsia"/>
                <w:b/>
                <w:sz w:val="30"/>
              </w:rPr>
              <w:t>填写时间：</w:t>
            </w:r>
          </w:p>
        </w:tc>
        <w:tc>
          <w:tcPr>
            <w:tcW w:w="4620" w:type="dxa"/>
            <w:tcBorders>
              <w:top w:val="single" w:color="000000" w:sz="4" w:space="0"/>
              <w:bottom w:val="single" w:color="000000" w:sz="4" w:space="0"/>
            </w:tcBorders>
            <w:vAlign w:val="center"/>
          </w:tcPr>
          <w:p w14:paraId="1C1B0787">
            <w:pPr>
              <w:spacing w:before="120" w:after="120"/>
              <w:rPr>
                <w:rFonts w:hint="eastAsia"/>
                <w:sz w:val="30"/>
              </w:rPr>
            </w:pPr>
            <w:r>
              <w:rPr>
                <w:rFonts w:hint="eastAsia" w:eastAsia="仿宋_GB2312;仿宋"/>
                <w:sz w:val="30"/>
              </w:rPr>
              <w:t xml:space="preserve">        年    月    日</w:t>
            </w:r>
          </w:p>
        </w:tc>
      </w:tr>
    </w:tbl>
    <w:p w14:paraId="11EEF367">
      <w:pPr>
        <w:rPr>
          <w:rFonts w:hint="eastAsia"/>
        </w:rPr>
      </w:pPr>
    </w:p>
    <w:p w14:paraId="672231E6">
      <w:pPr>
        <w:jc w:val="center"/>
        <w:rPr>
          <w:rFonts w:hint="eastAsia"/>
        </w:rPr>
      </w:pPr>
    </w:p>
    <w:p w14:paraId="207D47C5">
      <w:pPr>
        <w:jc w:val="center"/>
        <w:rPr>
          <w:rFonts w:hint="eastAsia"/>
        </w:rPr>
      </w:pPr>
    </w:p>
    <w:p w14:paraId="22C899D4">
      <w:pPr>
        <w:rPr>
          <w:rFonts w:hint="eastAsia"/>
        </w:rPr>
      </w:pPr>
      <w:r>
        <w:br w:type="page"/>
      </w:r>
    </w:p>
    <w:p w14:paraId="4880FF5D">
      <w:pPr>
        <w:jc w:val="center"/>
        <w:rPr>
          <w:rFonts w:hint="eastAsia"/>
        </w:rPr>
      </w:pPr>
    </w:p>
    <w:p w14:paraId="33D7B140">
      <w:pPr>
        <w:jc w:val="center"/>
        <w:rPr>
          <w:rFonts w:eastAsia="黑体"/>
          <w:sz w:val="30"/>
        </w:rPr>
      </w:pPr>
      <w:r>
        <w:rPr>
          <w:rFonts w:hint="eastAsia" w:eastAsia="黑体"/>
          <w:sz w:val="30"/>
        </w:rPr>
        <w:t>填</w:t>
      </w:r>
      <w:r>
        <w:rPr>
          <w:rFonts w:eastAsia="黑体"/>
          <w:sz w:val="30"/>
        </w:rPr>
        <w:t xml:space="preserve"> </w:t>
      </w:r>
      <w:r>
        <w:rPr>
          <w:rFonts w:hint="eastAsia" w:eastAsia="黑体"/>
          <w:sz w:val="30"/>
        </w:rPr>
        <w:t xml:space="preserve"> 写 </w:t>
      </w:r>
      <w:r>
        <w:rPr>
          <w:rFonts w:eastAsia="黑体"/>
          <w:sz w:val="30"/>
        </w:rPr>
        <w:t xml:space="preserve"> </w:t>
      </w:r>
      <w:r>
        <w:rPr>
          <w:rFonts w:hint="eastAsia" w:eastAsia="黑体"/>
          <w:sz w:val="30"/>
        </w:rPr>
        <w:t xml:space="preserve">说 </w:t>
      </w:r>
      <w:r>
        <w:rPr>
          <w:rFonts w:eastAsia="黑体"/>
          <w:sz w:val="30"/>
        </w:rPr>
        <w:t xml:space="preserve"> </w:t>
      </w:r>
      <w:r>
        <w:rPr>
          <w:rFonts w:hint="eastAsia" w:eastAsia="黑体"/>
          <w:sz w:val="30"/>
        </w:rPr>
        <w:t>明</w:t>
      </w:r>
    </w:p>
    <w:p w14:paraId="0FCFCA4E">
      <w:pPr>
        <w:rPr>
          <w:rFonts w:eastAsia="黑体"/>
          <w:sz w:val="30"/>
        </w:rPr>
      </w:pPr>
    </w:p>
    <w:p w14:paraId="0D5DA515">
      <w:pPr>
        <w:jc w:val="left"/>
      </w:pPr>
    </w:p>
    <w:p w14:paraId="098D729E">
      <w:pPr>
        <w:snapToGrid/>
        <w:ind w:left="600" w:right="625" w:firstLine="555"/>
        <w:rPr>
          <w:rFonts w:hint="eastAsia" w:ascii="仿宋_GB2312;仿宋" w:hAnsi="仿宋_GB2312;仿宋" w:eastAsia="仿宋_GB2312;仿宋"/>
          <w:sz w:val="28"/>
        </w:rPr>
      </w:pPr>
      <w:r>
        <w:rPr>
          <w:rFonts w:hint="eastAsia" w:ascii="仿宋_GB2312;仿宋" w:hAnsi="仿宋_GB2312;仿宋" w:eastAsia="仿宋_GB2312;仿宋"/>
          <w:sz w:val="28"/>
        </w:rPr>
        <w:t>一、硕士研究生中期进展报告必须采用</w:t>
      </w:r>
      <w:r>
        <w:rPr>
          <w:rFonts w:ascii="仿宋_GB2312;仿宋" w:hAnsi="仿宋_GB2312;仿宋" w:eastAsia="仿宋_GB2312;仿宋"/>
          <w:sz w:val="28"/>
        </w:rPr>
        <w:t>A4</w:t>
      </w:r>
      <w:r>
        <w:rPr>
          <w:rFonts w:hint="eastAsia" w:ascii="仿宋_GB2312;仿宋" w:hAnsi="仿宋_GB2312;仿宋" w:eastAsia="仿宋_GB2312;仿宋"/>
          <w:sz w:val="28"/>
        </w:rPr>
        <w:t>纸双面打印，左侧装订成册，各栏空格不够时，请自行加页。</w:t>
      </w:r>
    </w:p>
    <w:p w14:paraId="49A82918">
      <w:pPr>
        <w:snapToGrid/>
        <w:ind w:left="600" w:right="625" w:firstLine="555"/>
        <w:rPr>
          <w:rFonts w:hint="eastAsia" w:ascii="仿宋_GB2312;仿宋" w:hAnsi="仿宋_GB2312;仿宋" w:eastAsia="仿宋_GB2312;仿宋"/>
          <w:sz w:val="28"/>
        </w:rPr>
      </w:pPr>
      <w:r>
        <w:rPr>
          <w:rFonts w:hint="eastAsia" w:ascii="仿宋_GB2312;仿宋" w:hAnsi="仿宋_GB2312;仿宋" w:eastAsia="仿宋_GB2312;仿宋"/>
          <w:sz w:val="28"/>
        </w:rPr>
        <w:t>二、中期进展报告正文部分字数为4000-5000字。</w:t>
      </w:r>
    </w:p>
    <w:p w14:paraId="15E1EB4E">
      <w:pPr>
        <w:snapToGrid/>
        <w:ind w:left="600" w:right="625" w:firstLine="555"/>
        <w:rPr>
          <w:rFonts w:hint="eastAsia" w:ascii="仿宋_GB2312;仿宋" w:hAnsi="仿宋_GB2312;仿宋" w:eastAsia="仿宋_GB2312;仿宋"/>
          <w:sz w:val="28"/>
        </w:rPr>
      </w:pPr>
      <w:r>
        <w:rPr>
          <w:rFonts w:hint="eastAsia" w:ascii="仿宋_GB2312;仿宋" w:hAnsi="仿宋_GB2312;仿宋" w:eastAsia="仿宋_GB2312;仿宋"/>
          <w:sz w:val="28"/>
        </w:rPr>
        <w:t>三、硕士研究生中期进展报告通过后，本报告由各系存档。</w:t>
      </w:r>
    </w:p>
    <w:p w14:paraId="12934722">
      <w:pPr>
        <w:snapToGrid/>
        <w:ind w:right="625"/>
        <w:rPr>
          <w:rFonts w:hint="eastAsia" w:ascii="仿宋_GB2312;仿宋" w:hAnsi="仿宋_GB2312;仿宋" w:eastAsia="仿宋_GB2312;仿宋"/>
          <w:sz w:val="28"/>
        </w:rPr>
      </w:pPr>
    </w:p>
    <w:p w14:paraId="1ECEDBB1">
      <w:pPr>
        <w:snapToGrid/>
        <w:ind w:right="625"/>
        <w:rPr>
          <w:rFonts w:hint="eastAsia" w:ascii="仿宋_GB2312;仿宋" w:hAnsi="仿宋_GB2312;仿宋" w:eastAsia="仿宋_GB2312;仿宋"/>
          <w:sz w:val="28"/>
        </w:rPr>
      </w:pPr>
    </w:p>
    <w:p w14:paraId="54559505">
      <w:pPr>
        <w:ind w:right="645"/>
        <w:jc w:val="left"/>
        <w:rPr>
          <w:rFonts w:hint="eastAsia" w:ascii="仿宋_GB2312;仿宋" w:hAnsi="仿宋_GB2312;仿宋" w:eastAsia="仿宋_GB2312;仿宋"/>
          <w:sz w:val="28"/>
        </w:rPr>
        <w:sectPr>
          <w:footerReference r:id="rId3" w:type="default"/>
          <w:pgSz w:w="11906" w:h="16838"/>
          <w:pgMar w:top="1418" w:right="1588" w:bottom="1418" w:left="1588" w:header="0" w:footer="851" w:gutter="0"/>
          <w:pgNumType w:fmt="decimal"/>
          <w:cols w:space="720" w:num="1"/>
          <w:formProt w:val="0"/>
          <w:docGrid w:type="lines" w:linePitch="312" w:charSpace="0"/>
        </w:sectPr>
      </w:pPr>
    </w:p>
    <w:p w14:paraId="546E10FC">
      <w:pPr>
        <w:rPr>
          <w:rFonts w:hint="eastAsia"/>
          <w:sz w:val="10"/>
        </w:rPr>
      </w:pPr>
    </w:p>
    <w:tbl>
      <w:tblPr>
        <w:tblStyle w:val="8"/>
        <w:tblW w:w="8946" w:type="dxa"/>
        <w:tblInd w:w="0" w:type="dxa"/>
        <w:tblLayout w:type="fixed"/>
        <w:tblCellMar>
          <w:top w:w="0" w:type="dxa"/>
          <w:left w:w="108" w:type="dxa"/>
          <w:bottom w:w="0" w:type="dxa"/>
          <w:right w:w="108" w:type="dxa"/>
        </w:tblCellMar>
      </w:tblPr>
      <w:tblGrid>
        <w:gridCol w:w="1683"/>
        <w:gridCol w:w="7263"/>
      </w:tblGrid>
      <w:tr w14:paraId="04D50624">
        <w:trPr>
          <w:trHeight w:val="521" w:hRule="atLeast"/>
        </w:trPr>
        <w:tc>
          <w:tcPr>
            <w:tcW w:w="1683" w:type="dxa"/>
            <w:tcBorders>
              <w:top w:val="single" w:color="000000" w:sz="4" w:space="0"/>
              <w:left w:val="single" w:color="000000" w:sz="4" w:space="0"/>
              <w:bottom w:val="single" w:color="000000" w:sz="4" w:space="0"/>
              <w:right w:val="single" w:color="000000" w:sz="4" w:space="0"/>
            </w:tcBorders>
            <w:vAlign w:val="center"/>
          </w:tcPr>
          <w:p w14:paraId="3F812491">
            <w:pPr>
              <w:spacing w:before="240" w:after="240"/>
              <w:jc w:val="center"/>
              <w:rPr>
                <w:rFonts w:hint="eastAsia" w:ascii="仿宋_GB2312;仿宋" w:hAnsi="仿宋_GB2312;仿宋" w:eastAsia="仿宋_GB2312;仿宋"/>
                <w:b/>
              </w:rPr>
            </w:pPr>
            <w:r>
              <w:rPr>
                <w:rFonts w:hint="eastAsia" w:ascii="仿宋_GB2312;仿宋" w:hAnsi="仿宋_GB2312;仿宋" w:eastAsia="仿宋_GB2312;仿宋"/>
                <w:b/>
              </w:rPr>
              <w:t>研究题目</w:t>
            </w:r>
          </w:p>
        </w:tc>
        <w:tc>
          <w:tcPr>
            <w:tcW w:w="7263" w:type="dxa"/>
            <w:tcBorders>
              <w:top w:val="single" w:color="000000" w:sz="4" w:space="0"/>
              <w:left w:val="single" w:color="000000" w:sz="4" w:space="0"/>
              <w:bottom w:val="single" w:color="000000" w:sz="4" w:space="0"/>
              <w:right w:val="single" w:color="000000" w:sz="4" w:space="0"/>
            </w:tcBorders>
            <w:vAlign w:val="center"/>
          </w:tcPr>
          <w:p w14:paraId="309D3E7B">
            <w:pPr>
              <w:spacing w:before="120" w:after="120" w:line="360" w:lineRule="auto"/>
              <w:ind w:firstLine="480"/>
              <w:rPr>
                <w:rFonts w:hint="eastAsia" w:ascii="仿宋_GB2312;仿宋" w:hAnsi="仿宋_GB2312;仿宋" w:eastAsia="仿宋_GB2312;仿宋"/>
                <w:b/>
              </w:rPr>
            </w:pPr>
            <w:r>
              <w:rPr>
                <w:rFonts w:ascii="宋体" w:hAnsi="宋体" w:eastAsia="宋体"/>
                <w:sz w:val="24"/>
              </w:rPr>
              <w:t>面向无人机能耗建模与能量感知路径规划的可信大模型自动化科研框架</w:t>
            </w:r>
          </w:p>
        </w:tc>
      </w:tr>
      <w:tr w14:paraId="513BBF73">
        <w:trPr>
          <w:trHeight w:val="4966" w:hRule="atLeast"/>
        </w:trPr>
        <w:tc>
          <w:tcPr>
            <w:tcW w:w="8946" w:type="dxa"/>
            <w:gridSpan w:val="2"/>
            <w:tcBorders>
              <w:top w:val="single" w:color="000000" w:sz="4" w:space="0"/>
              <w:left w:val="single" w:color="000000" w:sz="4" w:space="0"/>
              <w:bottom w:val="single" w:color="000000" w:sz="4" w:space="0"/>
              <w:right w:val="single" w:color="000000" w:sz="4" w:space="0"/>
            </w:tcBorders>
          </w:tcPr>
          <w:p w14:paraId="2AF82EEF">
            <w:pPr>
              <w:spacing w:before="0" w:after="0" w:line="360" w:lineRule="auto"/>
            </w:pPr>
            <w:r>
              <w:rPr>
                <w:rFonts w:ascii="宋体" w:hAnsi="宋体" w:eastAsia="宋体"/>
                <w:sz w:val="24"/>
              </w:rPr>
              <w:t>一、研究内容简介（300～500字）</w:t>
            </w:r>
          </w:p>
          <w:p w14:paraId="4E0311E5">
            <w:pPr>
              <w:spacing w:line="360" w:lineRule="auto"/>
              <w:ind w:firstLine="480"/>
            </w:pPr>
            <w:r>
              <w:rPr>
                <w:rFonts w:ascii="宋体" w:hAnsi="宋体" w:eastAsia="宋体"/>
                <w:sz w:val="24"/>
              </w:rPr>
              <w:t>本课题面向无人机（UAV）能耗建模与能量感知路径规划，研究一类以真实飞行数据为锚定、以大语言模型（LLM）智能体为驱动的自动化科研框架。大模型自动科研（AI4S）近年快速发展，但其产出在缺乏标准答案的真实工程场景中存在可靠性风险，主要表现为过拟合到搜索划分、把已发表成果误判为新发现、以及选择性报告正结果而不报负结果。本课题以真实 DJI Matrice 100 无人机的 209 次飞行机载功率测量数据（电压×电流）为基准，构建一个“防作弊、会诚实报告负结果”的自动科研闭环，实现三个目标：① 自动拟合出准确的无人机能耗预测模型；② 将能耗模型作为规划代价接入路径规划，使无人机飞出更省电的路径；③ 全程以可信方法完成，并诚实刻画该框架在不同任务上的能力边界。课题的意义不在于提出新算法（该领域已较成熟），而在于提供一套可信的、真实数据锚定的自动科研方法学，并系统刻画当前大模型自动科研在真实含噪工程域中的能力边界，为可靠的人机协同科研提供参考与借鉴。本报告围绕研究方案、主要工作、动力学与真飞控验证、可信方法学及能力边界展开详细叙述，并给出下一步工作计划。</w:t>
            </w:r>
          </w:p>
        </w:tc>
      </w:tr>
      <w:tr w14:paraId="04BE1B58">
        <w:trPr>
          <w:trHeight w:val="6502" w:hRule="atLeast"/>
        </w:trPr>
        <w:tc>
          <w:tcPr>
            <w:tcW w:w="8946" w:type="dxa"/>
            <w:gridSpan w:val="2"/>
            <w:tcBorders>
              <w:top w:val="single" w:color="000000" w:sz="4" w:space="0"/>
              <w:left w:val="single" w:color="000000" w:sz="4" w:space="0"/>
              <w:bottom w:val="single" w:color="000000" w:sz="4" w:space="0"/>
              <w:right w:val="single" w:color="000000" w:sz="4" w:space="0"/>
            </w:tcBorders>
          </w:tcPr>
          <w:p w14:paraId="19569EBB">
            <w:pPr>
              <w:spacing w:line="360" w:lineRule="auto"/>
            </w:pPr>
            <w:r>
              <w:rPr>
                <w:rFonts w:ascii="宋体" w:hAnsi="宋体" w:eastAsia="宋体"/>
                <w:sz w:val="24"/>
              </w:rPr>
              <w:t>二、研究工作进展</w:t>
            </w:r>
          </w:p>
          <w:p w14:paraId="18E8E438">
            <w:pPr>
              <w:spacing w:line="360" w:lineRule="auto"/>
            </w:pPr>
            <w:r>
              <w:rPr>
                <w:rFonts w:ascii="宋体" w:hAnsi="宋体" w:eastAsia="宋体"/>
                <w:sz w:val="24"/>
              </w:rPr>
              <w:t>（一）可信自动科研框架与评测体系的搭建</w:t>
            </w:r>
          </w:p>
          <w:p w14:paraId="141983D0">
            <w:pPr>
              <w:spacing w:line="360" w:lineRule="auto"/>
              <w:ind w:firstLine="480"/>
            </w:pPr>
            <w:r>
              <w:rPr>
                <w:rFonts w:ascii="宋体" w:hAnsi="宋体" w:eastAsia="宋体"/>
                <w:sz w:val="24"/>
              </w:rPr>
              <w:t>本课题首先搭建了一个“读结果→提假设→改代码→评测→保留或回滚→记录”的大模型智能体自动科研闭环，并将其工程化为三层结构：① 冻结层（Layer-0）：不可编辑的物理参数、车辆动力学极限与评测机制，任何候选都不得修改；② 可优化层（Layer-1）：可被智能体改写的代码组件（能耗模型特征、路径平滑器、采样器等）；③ 方法学层（Layer-2）：自动科研流程本身。其中最具关键性的是冻结评测器：它以真实功率真值（P=V·|I|）为基准，按航班划分训练集与留出集，以每趟飞行总能量的绝对相对误差（ARE）为指标，全程不可编辑，从结构上杜绝了“改写评测标准来刷分”（reward hacking）的可能——这是整个框架可信性的地基。此外还设计了碰撞硬约束（PENALTY=10000，成功率 100% 才计能耗）、独立碰撞复核、留出种子验证等机制，保证评测的公平与防作弊。该框架不依赖特定 API 密钥即可运行，且每个候选的实现、评测分数、保留或回滚的决定均完整落盘（候选代码存档、逐轮日志、git 提交），形成可追溯的研究证据链。在规划器算法域，该框架先后完成了 Milestone 1–4 的完整迭代：从初始得分 15000 降至 2078（留出验证零过拟合），随后经 CHOMP 式联合梯度精修降至 2046，横向对比优于默认 RRT*、能量加权 A* 及同预算随机搜索（胜约 27%，且 v* 扰动 0.6–1.5 倍下优势 +26%~+33% 稳健），验证了框架在需要代码结构创新的任务上的有效性。</w:t>
            </w:r>
          </w:p>
          <w:p w14:paraId="276AB21E">
            <w:pPr>
              <w:spacing w:line="360" w:lineRule="auto"/>
            </w:pPr>
            <w:r>
              <w:rPr>
                <w:rFonts w:ascii="宋体" w:hAnsi="宋体" w:eastAsia="宋体"/>
                <w:sz w:val="24"/>
              </w:rPr>
              <w:t>（二）真实数据锚定的无人机能耗模型构建</w:t>
            </w:r>
          </w:p>
          <w:p w14:paraId="4D5DDA3D">
            <w:pPr>
              <w:spacing w:line="360" w:lineRule="auto"/>
              <w:ind w:firstLine="480"/>
            </w:pPr>
            <w:r>
              <w:rPr>
                <w:rFonts w:ascii="宋体" w:hAnsi="宋体" w:eastAsia="宋体"/>
                <w:sz w:val="24"/>
              </w:rPr>
              <w:t>在真实 DJI M100 的 209 次飞行数据上，以冻结评测器为标尺，让 LLM 智能体自动进化能耗模型。迭代过程真实记录了从教科书稳态 BEMT 基线（留出 ARE 6.88%）到最终模型的完整轨迹：iter1 引入动量理论核（悬停诱导功率 T^1.5、前飞诱导 T²/V、寄生阻力 v³、爬升/下降不对称项）将 ARE 降至 4.25%；iter2 尝试 Glauert 前飞桥被回滚（更差）；iter3 推力标定型面 T·v² 勉强保留；iter5 尝试风→空速被回滚（留出反而变差，证明简单风耦合无效）；iter6 在物理核上加入一个裸线性载荷（payload）项，ARE 决定性降至 1.93%，最终收敛到留出 ARE 1.86%（相对提升约 73%）。所得模型为若干物理特征项的加权组合，在 55 趟未参与训练的飞行上泛化良好。模型的物理形式并非凭空设定：动量诱导功率、前飞诱导（Glauert）、型面与寄生阻力、爬升/下降不对称等项均源自经典空气动力学与多旋翼功率文献（Di Franco &amp; Buttazzo 2015、Liu 2017），唯一手填先验是基础质量 m0=2.4kg（M100+TB47D 官方起飞重量），其余系数全部由真实数据回归拟合，并通过留出真实数据验证（爬升功率增量 +114W 实测 vs +108W 预测，误差&lt;5%）。一个诚实的关键发现是：物理非线性形式并非价值来源，纯线性多项式回归即可达到相近精度——本课题据此将模型定位为“有物理结构的数据拟合”，而非新物理模型；但其含爬升不对称项的物理结构在后续规划中起关键作用，这是它区别于纯多项式模型的决策价值所在。</w:t>
            </w:r>
          </w:p>
          <w:p w14:paraId="52FF8CC3">
            <w:pPr>
              <w:spacing w:line="360" w:lineRule="auto"/>
            </w:pPr>
            <w:r>
              <w:rPr>
                <w:rFonts w:ascii="宋体" w:hAnsi="宋体" w:eastAsia="宋体"/>
                <w:sz w:val="24"/>
              </w:rPr>
              <w:t>（三）能耗模型接入能量感知路径规划与场景验证</w:t>
            </w:r>
          </w:p>
          <w:p w14:paraId="74416DD7">
            <w:pPr>
              <w:spacing w:line="360" w:lineRule="auto"/>
              <w:ind w:firstLine="480"/>
            </w:pPr>
            <w:r>
              <w:rPr>
                <w:rFonts w:ascii="宋体" w:hAnsi="宋体" w:eastAsia="宋体"/>
                <w:sz w:val="24"/>
              </w:rPr>
              <w:t>将真机验证的能耗模型封装为规划器的边权代价函数（compute_energy_for_segment 接口），接入采样式 A* 规划器，与“最短距离”“教科书 BEMT”两种代价在障碍场景对比。在动力学闭环之前，课题先通过 12 个 Blocks 原生场景的批量对比发现：平坦场景下能量最优路径与最短路径几乎重合（省能≈0），只有障碍逼出爬升权衡的几何才会出现分叉——这一负结果促使专门构造高墙与城市走廊场景来验证能量感知规划的价值。在高墙场景中，前两者选择翻越障碍（爬升），真机代价选择绕行以避开爬升能耗，相对省能 5–13%；在 4–12 m/s 全速度范围结论稳定（省能 4–22%），墙宽扫描显示能量感知与最短距离在“翻越 vs 绕行”上出现明确的决策分叉（翻越付固定爬升罚，绕行随墙宽变贵，临界墙宽约 24m）。机制经三重验证：① 留出真实数据上爬升功率增量预测误差小于 5%（实测 +114W vs 预测 +108W）；② 因果消融——挖除模型爬升项后规划决策退回翻越，证明爬升标定是分叉的唯一原因；③ 交叉模型验证暴露评测循环性（绕行只在真机尺子下省，教科书尺子下反而贵，而真机尺子经留出验证更可信）。在“城市走廊”场景中进一步实现逐障碍混合决策（翻越矮楼、绕行高楼），展示框架对不同障碍分别做出合理选择的能力。</w:t>
            </w:r>
          </w:p>
          <w:p w14:paraId="680722FA">
            <w:pPr>
              <w:spacing w:line="360" w:lineRule="auto"/>
            </w:pPr>
            <w:r>
              <w:rPr>
                <w:rFonts w:ascii="宋体" w:hAnsi="宋体" w:eastAsia="宋体"/>
                <w:sz w:val="24"/>
              </w:rPr>
              <w:t>（四）动力学与真飞控固件栈闭环验证</w:t>
            </w:r>
          </w:p>
          <w:p w14:paraId="4D0CF7AA">
            <w:pPr>
              <w:spacing w:line="360" w:lineRule="auto"/>
              <w:ind w:firstLine="480"/>
            </w:pPr>
            <w:r>
              <w:rPr>
                <w:rFonts w:ascii="宋体" w:hAnsi="宋体" w:eastAsia="宋体"/>
                <w:sz w:val="24"/>
              </w:rPr>
              <w:t>为避免“折线+恒速”理想化假设削弱结论，构建两级动力学闭环：① RotorPy 四旋翼刚体动力学（按 M100 尺度配参：质量 2.65kg、650mm 轴距、悬停转速 550 rad/s）+ SE3 几何控制器，规划路径经 MinSnap 平滑后以 100Hz 跟踪真飞，用飞出的速度序列喂真机能耗模型积分，绕行省能 6.1%（折线预测 10.7%），并发现“规划安全裕度须≥2.0m，否则轨迹平滑切角会蹭墙”的工程规律；② PX4 SITL + Gazebo Harmonic 真飞控固件在环（真实飞控固件的 EKF 状态估计 + 位置环 + 混控），以同一固件栈、同一脚本、同一新鲜起飞做 A/B 对比，绕行相对翻越省能 14.3%。证据链从折线预测、动力学仿真到真飞控固件栈逐层加固，结论成立。同时通过 deep-research 对 Mac 上无人机仿真环境做了全景调研，确认 RotorPy 为能耗研究的最优快速迭代工具，PX4+Gazebo 为感知闭环升级路径，并完整记录了工具链搭建中的若干问题（含一个上游 trust-gate 缺陷）供复现。</w:t>
            </w:r>
          </w:p>
          <w:p w14:paraId="4EE301E0">
            <w:pPr>
              <w:spacing w:line="360" w:lineRule="auto"/>
            </w:pPr>
            <w:r>
              <w:rPr>
                <w:rFonts w:ascii="宋体" w:hAnsi="宋体" w:eastAsia="宋体"/>
                <w:sz w:val="24"/>
              </w:rPr>
              <w:t>（五）可信方法学：安全机制的消融验证</w:t>
            </w:r>
          </w:p>
          <w:p w14:paraId="6B368B77">
            <w:pPr>
              <w:spacing w:line="360" w:lineRule="auto"/>
              <w:ind w:firstLine="480"/>
            </w:pPr>
            <w:r>
              <w:rPr>
                <w:rFonts w:ascii="宋体" w:hAnsi="宋体" w:eastAsia="宋体"/>
                <w:sz w:val="24"/>
              </w:rPr>
              <w:t>课题核心贡献在方法学。为证明上述安全机制不是摆设而是“承重”的，进行了累加消融实验：① 去掉强制查新门，则自动科研流程会把“配送顺序能量翻转”“电池可达集扩大”等当成新发现上报，而文献查新表明这些实为 Michel 2024（arXiv 2410.17585）、Nguyen &amp; Au 2017（AAMAS）等已发表成果——本课题主动引用而不声称首创，查新门正是拦下此类“把复现当发现”的关键；② 去掉留出评测，则专门构造的 35 项虚假特征过拟合探针可在训练指标上刷出高分，而留出评测当场戳穿；③ 去掉结构搜索对比（随机搜索 40 次分布），则无法区分“框架的价值”与“任务本身易解”。这些消融把“协议有用”从断言变成了可测量的结果。</w:t>
            </w:r>
          </w:p>
          <w:p w14:paraId="2CB864D5">
            <w:pPr>
              <w:spacing w:line="360" w:lineRule="auto"/>
            </w:pPr>
            <w:r>
              <w:rPr>
                <w:rFonts w:ascii="宋体" w:hAnsi="宋体" w:eastAsia="宋体"/>
                <w:sz w:val="24"/>
              </w:rPr>
              <w:t>（六）鲁棒性与统计分析</w:t>
            </w:r>
          </w:p>
          <w:p w14:paraId="2EF25E33">
            <w:pPr>
              <w:spacing w:line="360" w:lineRule="auto"/>
              <w:ind w:firstLine="480"/>
            </w:pPr>
            <w:r>
              <w:rPr>
                <w:rFonts w:ascii="宋体" w:hAnsi="宋体" w:eastAsia="宋体"/>
                <w:sz w:val="24"/>
              </w:rPr>
              <w:t>为保证结论的可靠性，课题系统做了鲁棒性与统计检验：① 速度鲁棒性——在真实巡航范围 4–12 m/s 全程扫描，能量感知与最短距离的决策分叉稳定存在（省能 4.0%→21.9%，速度越高爬升罚越大、绕行越划算）；② 起终点鲁棒性——4 种接近方式中 3 种出现分叉（省 2–10%），证明分叉非单一几何巧合；③ 操作包络——绘制（墙宽×巡航速度）的省能相图，明确“高速+窄障碍”时收益最大（最高 22%），“低速/宽障碍”时连真机代价也选择翻越，诚实划出适用边界；④ 省能分布——对 250 个随机城市场景统计，得“少数几何下 3–22%、多数场景收益小”的统计陈述（Wilson 95% CI），避免挑选单一场景的嫌疑；⑤ 显著性检验——在能耗域重复 40 次随机搜索得分布（均值 1.869%±0.029%），自动科研 loop 的结果落在分布正中（z=−0.35），统计上确认“与随机相当”是真等价而非样本不足；在规划器域重复 12 次随机配置搜索，loop 显著低于随机分布（z=−2.38，0% 随机更优）。这些统计把若干“看起来好/看起来平”的结果变成了有置信区间的结论。</w:t>
            </w:r>
          </w:p>
          <w:p w14:paraId="2DD3EBC6">
            <w:pPr>
              <w:spacing w:line="360" w:lineRule="auto"/>
            </w:pPr>
            <w:r>
              <w:rPr>
                <w:rFonts w:ascii="宋体" w:hAnsi="宋体" w:eastAsia="宋体"/>
                <w:sz w:val="24"/>
              </w:rPr>
              <w:t>（七）能力边界的量化刻画</w:t>
            </w:r>
          </w:p>
          <w:p w14:paraId="0A01B1F1">
            <w:pPr>
              <w:spacing w:line="360" w:lineRule="auto"/>
              <w:ind w:firstLine="480"/>
            </w:pPr>
            <w:r>
              <w:rPr>
                <w:rFonts w:ascii="宋体" w:hAnsi="宋体" w:eastAsia="宋体"/>
                <w:sz w:val="24"/>
              </w:rPr>
              <w:t>课题同样诚实刻画了框架的能力边界：① 数据封顶——能耗预测的留出误差在 6 个特征项处即触底约 1.9%，增至 12、20、52 项仍不降反升，四种独立方法（自动科研 loop、随机搜索、线性回归、数据集既定的 Tseng 多项式）殊途同归于约 1.9%，表明该上界由真实功率中约 60% 的非运动学噪声决定，而非模型容量不足；② 域相关价值——统计检验（随机搜索 40 次分布）表明，结构搜索在小空间任务上与随机搜索相当（z=−0.35，52% 的随机运行甚至更优），而在需要编写代码结构的规划器域显著优于随机（z=−2.38，无一例随机运行更优），揭示“自动科研的价值取决于任务是否具备改进空间”的规律（与 Bergstra &amp; Bengio 2012、NAS 等文献一致，本课题在两个端点上亲手复现）；③ 省能分布——对 250 个随机城市场景统计，能量感知规划省能中位数为 0（存在低空走廊时能量最优≈最短路），仅约 20% 场景省能 ≥3%（Wilson 95% CI [15.5%,25.4%]），最高 15%，诚实划出适用边界而非挑选单一场景；④ 载荷负结果——在 M100 数据包络（载荷 ≤500g）内，载荷×爬升耦合太弱不足以改变路径拓扑，全扫描加物理 mgh 项均不变，如实报告为负结果。</w:t>
            </w:r>
          </w:p>
          <w:p w14:paraId="1644ABDA">
            <w:pPr>
              <w:spacing w:line="360" w:lineRule="auto"/>
            </w:pPr>
            <w:r>
              <w:rPr>
                <w:rFonts w:ascii="宋体" w:hAnsi="宋体" w:eastAsia="宋体"/>
                <w:sz w:val="24"/>
              </w:rPr>
              <w:t>（八）主要成果与阶段性成绩</w:t>
            </w:r>
          </w:p>
          <w:p w14:paraId="6A48A386">
            <w:pPr>
              <w:spacing w:line="360" w:lineRule="auto"/>
            </w:pPr>
            <w:r>
              <w:rPr>
                <w:rFonts w:ascii="宋体" w:hAnsi="宋体" w:eastAsia="宋体"/>
                <w:sz w:val="24"/>
              </w:rPr>
              <w:t>1. 建立了冻结的、真实数据锚定的能耗评测与自动科研框架（冻结评测器 + 闭环 loop，含碰撞硬约束与留出验证）；</w:t>
            </w:r>
          </w:p>
          <w:p w14:paraId="5D957AA5">
            <w:pPr>
              <w:spacing w:line="360" w:lineRule="auto"/>
            </w:pPr>
            <w:r>
              <w:rPr>
                <w:rFonts w:ascii="宋体" w:hAnsi="宋体" w:eastAsia="宋体"/>
                <w:sz w:val="24"/>
              </w:rPr>
              <w:t>2. 获得留出 ARE 1.86% 的真机验证能耗模型，并接入规划实现障碍场景省能 4–22%（PX4 真飞控栈省 14.3%）；</w:t>
            </w:r>
          </w:p>
          <w:p w14:paraId="263FF2B6">
            <w:pPr>
              <w:spacing w:line="360" w:lineRule="auto"/>
            </w:pPr>
            <w:r>
              <w:rPr>
                <w:rFonts w:ascii="宋体" w:hAnsi="宋体" w:eastAsia="宋体"/>
                <w:sz w:val="24"/>
              </w:rPr>
              <w:t>3. 形成可信自动科研方法学的安全机制与累加消融证据链，以及“数据封顶”“跨域显著性”“省能分布”三条能力边界的量化结论；</w:t>
            </w:r>
          </w:p>
          <w:p w14:paraId="4C318C56">
            <w:pPr>
              <w:spacing w:line="360" w:lineRule="auto"/>
            </w:pPr>
            <w:r>
              <w:rPr>
                <w:rFonts w:ascii="宋体" w:hAnsi="宋体" w:eastAsia="宋体"/>
                <w:sz w:val="24"/>
              </w:rPr>
              <w:t>4. 产出可复现实验代码 20+ 个、实验结果 JSON 30+ 项、图表与飞行动画若干，全部纳入版本管理可溯源，覆盖能耗建模、规划集成、动力学与真飞控验证、安全机制消融、鲁棒性与统计检验各环节。</w:t>
            </w:r>
          </w:p>
          <w:p w14:paraId="2C01BE9C">
            <w:pPr>
              <w:spacing w:line="360" w:lineRule="auto"/>
            </w:pPr>
            <w:r>
              <w:rPr>
                <w:rFonts w:ascii="宋体" w:hAnsi="宋体" w:eastAsia="宋体"/>
                <w:sz w:val="24"/>
              </w:rPr>
              <w:t>（九）跨域验证与可复用性</w:t>
            </w:r>
          </w:p>
          <w:p w14:paraId="4FCDB84E">
            <w:pPr>
              <w:spacing w:line="360" w:lineRule="auto"/>
              <w:ind w:firstLine="480"/>
            </w:pPr>
            <w:r>
              <w:rPr>
                <w:rFonts w:ascii="宋体" w:hAnsi="宋体" w:eastAsia="宋体"/>
                <w:sz w:val="24"/>
              </w:rPr>
              <w:t>为证明框架的域无关性（而非只在单一任务上碰巧有效），课题在三个不同任务上复用了同一套自动科研闭环：① 路径规划器算法（采样/平滑/速度剖面的代码进化，Milestone 1–4）；② 雷达多目标跟踪（RadarScenes 真实数据，冻结 OSPA/MOTA 评测，autoresearch loop 将留出 MOTA 从 −19.4 提升至 −0.58、OSPA 降低 43.5%，证明框架在感知任务上同样有效）；③ 无人机能耗建模（真机 M100）。三个任务共用同一套“冻结评测器 + 提议→评测→保留/回滚 + 诚实报负结果”的流程，体现了框架的可迁移性；同时，“结构搜索在小空间任务（能耗）与随机相当、在复杂空间任务（规划器代码）显著优于随机”的跨域对照，进一步说明框架的价值与任务复杂度相关，而非框架本身的优劣波动。</w:t>
            </w:r>
          </w:p>
          <w:p w14:paraId="1DB95EEF">
            <w:pPr>
              <w:spacing w:line="360" w:lineRule="auto"/>
            </w:pPr>
            <w:r>
              <w:rPr>
                <w:rFonts w:ascii="宋体" w:hAnsi="宋体" w:eastAsia="宋体"/>
                <w:sz w:val="24"/>
              </w:rPr>
              <w:t>（十）研究场景的选择与意义</w:t>
            </w:r>
          </w:p>
          <w:p w14:paraId="551F9F9D">
            <w:pPr>
              <w:spacing w:line="360" w:lineRule="auto"/>
              <w:ind w:firstLine="480"/>
            </w:pPr>
            <w:r>
              <w:rPr>
                <w:rFonts w:ascii="宋体" w:hAnsi="宋体" w:eastAsia="宋体"/>
                <w:sz w:val="24"/>
              </w:rPr>
              <w:t>本课题在选题上也有明确考量：之所以以真实 DJI M100 数据为锚，是因为能耗与规划天然耦合、且真实数据是可信评测的前提——只有在真实测量上验证的能耗模型，才能在规划中真实反映“爬升费电”这一物理事实，从而真正指导“翻越 vs 绕行”的决策；之所以以能量感知路径规划为落点，是因为“爬升费电”在真实数据中清晰可测（留出验证误差&lt;5%），使能耗模型能切实改变规划选择，而非停留在理论层面。整体上，课题把“真实数据可信代价”“防作弊评测”“真实飞控闭环”“诚实能力边界”四者贯通，形成了从数据到规划到验证到方法学的完整工作闭环——这既是对“可信自动科研”的一次完整演示，也为后续学位论文的方法章与实验章奠定了可复现的证据基础。</w:t>
            </w:r>
          </w:p>
        </w:tc>
      </w:tr>
    </w:tbl>
    <w:p w14:paraId="337A9F67"/>
    <w:p w14:paraId="0F436EDF">
      <w:pPr>
        <w:rPr>
          <w:rFonts w:ascii="仿宋_GB2312;仿宋" w:hAnsi="仿宋_GB2312;仿宋" w:eastAsia="仿宋_GB2312;仿宋"/>
          <w:sz w:val="10"/>
        </w:rPr>
      </w:pPr>
      <w:bookmarkStart w:id="0" w:name="_GoBack"/>
      <w:bookmarkEnd w:id="0"/>
    </w:p>
    <w:tbl>
      <w:tblPr>
        <w:tblStyle w:val="8"/>
        <w:tblW w:w="8946" w:type="dxa"/>
        <w:tblInd w:w="0" w:type="dxa"/>
        <w:tblLayout w:type="fixed"/>
        <w:tblCellMar>
          <w:top w:w="0" w:type="dxa"/>
          <w:left w:w="108" w:type="dxa"/>
          <w:bottom w:w="0" w:type="dxa"/>
          <w:right w:w="108" w:type="dxa"/>
        </w:tblCellMar>
      </w:tblPr>
      <w:tblGrid>
        <w:gridCol w:w="8928"/>
      </w:tblGrid>
      <w:tr w14:paraId="5C3BD593">
        <w:trPr>
          <w:trHeight w:val="13708" w:hRule="atLeast"/>
        </w:trPr>
        <w:tc>
          <w:tcPr>
            <w:tcW w:w="8946" w:type="dxa"/>
            <w:tcBorders>
              <w:top w:val="single" w:color="000000" w:sz="4" w:space="0"/>
              <w:left w:val="single" w:color="000000" w:sz="4" w:space="0"/>
              <w:bottom w:val="single" w:color="000000" w:sz="4" w:space="0"/>
              <w:right w:val="single" w:color="000000" w:sz="4" w:space="0"/>
            </w:tcBorders>
          </w:tcPr>
          <w:p w14:paraId="62FC498C">
            <w:pPr>
              <w:spacing w:before="120" w:after="0" w:line="360" w:lineRule="auto"/>
            </w:pPr>
            <w:r>
              <w:rPr>
                <w:rFonts w:ascii="宋体" w:hAnsi="宋体" w:eastAsia="宋体"/>
                <w:sz w:val="24"/>
              </w:rPr>
              <w:t>三、下一步的工作计划</w:t>
            </w:r>
          </w:p>
          <w:p w14:paraId="2C0CE1E7">
            <w:pPr>
              <w:spacing w:line="360" w:lineRule="auto"/>
            </w:pPr>
            <w:r>
              <w:rPr>
                <w:rFonts w:ascii="宋体" w:hAnsi="宋体" w:eastAsia="宋体"/>
                <w:sz w:val="24"/>
              </w:rPr>
              <w:t>1. 功率残差归因（拟进一步研究）：真机功率中运动学仅能解释约 40%，其余约 60% 的来源（风场、电压跌落、控制器修正等）尚未定量归因，拟通过引入风场通道、分离电压项、分析时间对齐与传感器噪声等手段进一步刻画，以判断误差上界可否下移。</w:t>
            </w:r>
          </w:p>
          <w:p w14:paraId="3008DF88">
            <w:pPr>
              <w:spacing w:line="360" w:lineRule="auto"/>
            </w:pPr>
            <w:r>
              <w:rPr>
                <w:rFonts w:hint="eastAsia" w:ascii="宋体" w:hAnsi="宋体" w:eastAsia="宋体"/>
                <w:sz w:val="24"/>
                <w:lang w:val="en-US" w:eastAsia="zh-CN"/>
              </w:rPr>
              <w:t>2</w:t>
            </w:r>
            <w:r>
              <w:rPr>
                <w:rFonts w:ascii="宋体" w:hAnsi="宋体" w:eastAsia="宋体"/>
                <w:sz w:val="24"/>
              </w:rPr>
              <w:t>. 感知闭环扩展：将当前“已知地图 + 全局规划”升级为“深度相机在线建图 + 能量感知滚动重规划”，并推进 PX4 深度相机（gz_x500_depth）的感知—规划—飞控全闭环验证，使系统更贴近真实部署。</w:t>
            </w:r>
          </w:p>
          <w:p w14:paraId="78FABE05">
            <w:pPr>
              <w:spacing w:line="360" w:lineRule="auto"/>
            </w:pPr>
            <w:r>
              <w:rPr>
                <w:rFonts w:hint="eastAsia" w:ascii="宋体" w:hAnsi="宋体" w:eastAsia="宋体"/>
                <w:sz w:val="24"/>
                <w:lang w:val="en-US" w:eastAsia="zh-CN"/>
              </w:rPr>
              <w:t>3</w:t>
            </w:r>
            <w:r>
              <w:rPr>
                <w:rFonts w:ascii="宋体" w:hAnsi="宋体" w:eastAsia="宋体"/>
                <w:sz w:val="24"/>
              </w:rPr>
              <w:t>. 在更大搜索空间验证框架价值：当前能耗任务搜索空间较小（结构搜索与随机相当），拟在更复杂的规划器/程序级模型空间进一步验证自动科研框架的引导优势，并补做跨机型可复用性实验（用新机型飞行数据重跑同一框架）。</w:t>
            </w:r>
          </w:p>
          <w:p w14:paraId="10A2A515">
            <w:pPr>
              <w:spacing w:line="360" w:lineRule="auto"/>
            </w:pPr>
            <w:r>
              <w:rPr>
                <w:rFonts w:hint="eastAsia" w:ascii="宋体" w:hAnsi="宋体" w:eastAsia="宋体"/>
                <w:sz w:val="24"/>
                <w:lang w:val="en-US" w:eastAsia="zh-CN"/>
              </w:rPr>
              <w:t>4</w:t>
            </w:r>
            <w:r>
              <w:rPr>
                <w:rFonts w:ascii="宋体" w:hAnsi="宋体" w:eastAsia="宋体"/>
                <w:sz w:val="24"/>
              </w:rPr>
              <w:t>. 视情况补充真实无人机外场飞行实验，验证仿真所得省能结论在实机上的有效性。</w:t>
            </w:r>
          </w:p>
        </w:tc>
      </w:tr>
      <w:tr w14:paraId="0C8DCC1C">
        <w:trPr>
          <w:cantSplit/>
          <w:trHeight w:val="527" w:hRule="atLeast"/>
        </w:trPr>
        <w:tc>
          <w:tcPr>
            <w:tcW w:w="8928" w:type="dxa"/>
            <w:tcBorders>
              <w:top w:val="single" w:color="000000" w:sz="4" w:space="0"/>
              <w:left w:val="single" w:color="000000" w:sz="4" w:space="0"/>
              <w:bottom w:val="single" w:color="000000" w:sz="4" w:space="0"/>
              <w:right w:val="single" w:color="000000" w:sz="4" w:space="0"/>
            </w:tcBorders>
            <w:tcMar>
              <w:left w:w="56" w:type="dxa"/>
              <w:right w:w="56" w:type="dxa"/>
            </w:tcMar>
            <w:vAlign w:val="center"/>
          </w:tcPr>
          <w:p w14:paraId="4236962D">
            <w:pPr>
              <w:spacing w:before="60" w:after="60"/>
              <w:rPr>
                <w:rFonts w:hint="eastAsia" w:ascii="仿宋_GB2312;仿宋" w:hAnsi="仿宋_GB2312;仿宋" w:eastAsia="仿宋_GB2312;仿宋"/>
              </w:rPr>
            </w:pPr>
            <w:r>
              <w:rPr>
                <w:rFonts w:hint="eastAsia" w:ascii="仿宋_GB2312;仿宋" w:hAnsi="仿宋_GB2312;仿宋" w:eastAsia="仿宋_GB2312;仿宋"/>
                <w:b/>
              </w:rPr>
              <w:t>四、导师评语</w:t>
            </w:r>
          </w:p>
          <w:p w14:paraId="16AF65D6">
            <w:pPr>
              <w:rPr>
                <w:rFonts w:hint="eastAsia" w:ascii="仿宋_GB2312;仿宋" w:hAnsi="仿宋_GB2312;仿宋" w:eastAsia="仿宋_GB2312;仿宋"/>
              </w:rPr>
            </w:pPr>
          </w:p>
          <w:p w14:paraId="486E334D">
            <w:pPr>
              <w:rPr>
                <w:rFonts w:hint="eastAsia" w:ascii="仿宋_GB2312;仿宋" w:hAnsi="仿宋_GB2312;仿宋" w:eastAsia="仿宋_GB2312;仿宋"/>
              </w:rPr>
            </w:pPr>
          </w:p>
          <w:p w14:paraId="763C1EBE">
            <w:pPr>
              <w:rPr>
                <w:rFonts w:hint="eastAsia" w:ascii="仿宋_GB2312;仿宋" w:hAnsi="仿宋_GB2312;仿宋" w:eastAsia="仿宋_GB2312;仿宋"/>
              </w:rPr>
            </w:pPr>
          </w:p>
          <w:p w14:paraId="52FE50A7">
            <w:pPr>
              <w:rPr>
                <w:rFonts w:hint="eastAsia" w:ascii="仿宋_GB2312;仿宋" w:hAnsi="仿宋_GB2312;仿宋" w:eastAsia="仿宋_GB2312;仿宋"/>
              </w:rPr>
            </w:pPr>
          </w:p>
          <w:p w14:paraId="6B2937B5">
            <w:pPr>
              <w:rPr>
                <w:rFonts w:hint="eastAsia" w:ascii="仿宋_GB2312;仿宋" w:hAnsi="仿宋_GB2312;仿宋" w:eastAsia="仿宋_GB2312;仿宋"/>
              </w:rPr>
            </w:pPr>
          </w:p>
          <w:p w14:paraId="5BC61C7B">
            <w:pPr>
              <w:rPr>
                <w:rFonts w:hint="eastAsia" w:ascii="仿宋_GB2312;仿宋" w:hAnsi="仿宋_GB2312;仿宋" w:eastAsia="仿宋_GB2312;仿宋"/>
              </w:rPr>
            </w:pPr>
          </w:p>
          <w:p w14:paraId="12BB2A4D">
            <w:pPr>
              <w:rPr>
                <w:rFonts w:hint="eastAsia" w:ascii="仿宋_GB2312;仿宋" w:hAnsi="仿宋_GB2312;仿宋" w:eastAsia="仿宋_GB2312;仿宋"/>
              </w:rPr>
            </w:pPr>
          </w:p>
          <w:p w14:paraId="00DF5222">
            <w:pPr>
              <w:rPr>
                <w:rFonts w:hint="eastAsia" w:ascii="仿宋_GB2312;仿宋" w:hAnsi="仿宋_GB2312;仿宋" w:eastAsia="仿宋_GB2312;仿宋"/>
              </w:rPr>
            </w:pPr>
          </w:p>
          <w:p w14:paraId="14246FC6">
            <w:pPr>
              <w:rPr>
                <w:rFonts w:hint="eastAsia" w:ascii="仿宋_GB2312;仿宋" w:hAnsi="仿宋_GB2312;仿宋" w:eastAsia="仿宋_GB2312;仿宋"/>
              </w:rPr>
            </w:pPr>
          </w:p>
          <w:p w14:paraId="155D9486">
            <w:pPr>
              <w:rPr>
                <w:rFonts w:hint="eastAsia" w:ascii="仿宋_GB2312;仿宋" w:hAnsi="仿宋_GB2312;仿宋" w:eastAsia="仿宋_GB2312;仿宋"/>
              </w:rPr>
            </w:pPr>
          </w:p>
          <w:p w14:paraId="258EDDA0">
            <w:pPr>
              <w:rPr>
                <w:rFonts w:hint="eastAsia" w:ascii="仿宋_GB2312;仿宋" w:hAnsi="仿宋_GB2312;仿宋" w:eastAsia="仿宋_GB2312;仿宋"/>
              </w:rPr>
            </w:pPr>
          </w:p>
          <w:p w14:paraId="0AA167E0">
            <w:pPr>
              <w:rPr>
                <w:rFonts w:hint="eastAsia" w:ascii="仿宋_GB2312;仿宋" w:hAnsi="仿宋_GB2312;仿宋" w:eastAsia="仿宋_GB2312;仿宋"/>
              </w:rPr>
            </w:pPr>
          </w:p>
          <w:p w14:paraId="15E19F74">
            <w:pPr>
              <w:rPr>
                <w:rFonts w:hint="eastAsia" w:ascii="仿宋_GB2312;仿宋" w:hAnsi="仿宋_GB2312;仿宋" w:eastAsia="仿宋_GB2312;仿宋"/>
              </w:rPr>
            </w:pPr>
          </w:p>
          <w:p w14:paraId="4CBDE05C">
            <w:pPr>
              <w:rPr>
                <w:rFonts w:hint="eastAsia" w:ascii="仿宋_GB2312;仿宋" w:hAnsi="仿宋_GB2312;仿宋" w:eastAsia="仿宋_GB2312;仿宋"/>
              </w:rPr>
            </w:pPr>
          </w:p>
          <w:p w14:paraId="1244F1FF">
            <w:pPr>
              <w:rPr>
                <w:rFonts w:hint="eastAsia" w:ascii="仿宋_GB2312;仿宋" w:hAnsi="仿宋_GB2312;仿宋" w:eastAsia="仿宋_GB2312;仿宋"/>
              </w:rPr>
            </w:pPr>
          </w:p>
          <w:p w14:paraId="05371CB4">
            <w:pPr>
              <w:rPr>
                <w:rFonts w:hint="eastAsia" w:ascii="仿宋_GB2312;仿宋" w:hAnsi="仿宋_GB2312;仿宋" w:eastAsia="仿宋_GB2312;仿宋"/>
              </w:rPr>
            </w:pPr>
          </w:p>
          <w:p w14:paraId="397493AC">
            <w:pPr>
              <w:rPr>
                <w:rFonts w:hint="eastAsia" w:ascii="仿宋_GB2312;仿宋" w:hAnsi="仿宋_GB2312;仿宋" w:eastAsia="仿宋_GB2312;仿宋"/>
              </w:rPr>
            </w:pPr>
          </w:p>
          <w:p w14:paraId="3ECB8E5D">
            <w:pPr>
              <w:tabs>
                <w:tab w:val="left" w:pos="1729"/>
                <w:tab w:val="left" w:pos="4564"/>
              </w:tabs>
              <w:spacing w:before="60" w:after="120"/>
              <w:rPr>
                <w:rFonts w:hint="eastAsia" w:ascii="仿宋_GB2312;仿宋" w:hAnsi="仿宋_GB2312;仿宋" w:eastAsia="仿宋_GB2312;仿宋"/>
                <w:b/>
              </w:rPr>
            </w:pPr>
            <w:r>
              <w:rPr>
                <w:rFonts w:ascii="仿宋_GB2312;仿宋" w:hAnsi="仿宋_GB2312;仿宋" w:eastAsia="仿宋_GB2312;仿宋"/>
                <w:b/>
              </w:rPr>
              <w:tab/>
            </w:r>
            <w:r>
              <w:rPr>
                <w:rFonts w:hint="eastAsia" w:ascii="仿宋_GB2312;仿宋" w:hAnsi="仿宋_GB2312;仿宋" w:eastAsia="仿宋_GB2312;仿宋"/>
                <w:b/>
              </w:rPr>
              <w:t>签名：</w:t>
            </w:r>
            <w:r>
              <w:rPr>
                <w:rFonts w:ascii="仿宋_GB2312;仿宋" w:hAnsi="仿宋_GB2312;仿宋" w:eastAsia="仿宋_GB2312;仿宋"/>
                <w:b/>
              </w:rPr>
              <w:tab/>
            </w:r>
            <w:r>
              <w:rPr>
                <w:rFonts w:hint="eastAsia" w:ascii="仿宋_GB2312;仿宋" w:hAnsi="仿宋_GB2312;仿宋" w:eastAsia="仿宋_GB2312;仿宋"/>
                <w:b/>
              </w:rPr>
              <w:t>日期：      年   月   日</w:t>
            </w:r>
          </w:p>
        </w:tc>
      </w:tr>
    </w:tbl>
    <w:p w14:paraId="333E05DF">
      <w:pPr>
        <w:rPr>
          <w:rFonts w:ascii="仿宋_GB2312;仿宋" w:hAnsi="仿宋_GB2312;仿宋" w:eastAsia="仿宋_GB2312;仿宋"/>
          <w:sz w:val="10"/>
        </w:rPr>
      </w:pPr>
    </w:p>
    <w:sectPr>
      <w:footerReference r:id="rId5" w:type="first"/>
      <w:footerReference r:id="rId4" w:type="default"/>
      <w:pgSz w:w="11906" w:h="16838"/>
      <w:pgMar w:top="1418" w:right="1588" w:bottom="1418" w:left="1588" w:header="0" w:footer="851" w:gutter="0"/>
      <w:pgNumType w:fmt="decimal" w:start="1"/>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Liberation Serif">
    <w:altName w:val="Thonburi"/>
    <w:panose1 w:val="00000000000000000000"/>
    <w:charset w:val="01"/>
    <w:family w:val="roman"/>
    <w:pitch w:val="default"/>
    <w:sig w:usb0="00000000" w:usb1="00000000" w:usb2="00000000" w:usb3="00000000" w:csb0="00000000" w:csb1="00000000"/>
  </w:font>
  <w:font w:name="华文宋体">
    <w:panose1 w:val="02010600040101010101"/>
    <w:charset w:val="86"/>
    <w:family w:val="auto"/>
    <w:pitch w:val="default"/>
    <w:sig w:usb0="80000287" w:usb1="280F3C52" w:usb2="00000016" w:usb3="00000000" w:csb0="0004001F" w:csb1="00000000"/>
  </w:font>
  <w:font w:name="楷体_GB2312;楷体">
    <w:altName w:val="汉仪楷体简"/>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仿宋_GB2312;仿宋">
    <w:altName w:val="仿宋-简"/>
    <w:panose1 w:val="00000000000000000000"/>
    <w:charset w:val="00"/>
    <w:family w:val="auto"/>
    <w:pitch w:val="default"/>
    <w:sig w:usb0="00000000" w:usb1="00000000" w:usb2="00000000" w:usb3="00000000" w:csb0="00000000" w:csb1="00000000"/>
  </w:font>
  <w:font w:name="黑体">
    <w:altName w:val="黑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仿宋-简">
    <w:panose1 w:val="02010609060101010101"/>
    <w:charset w:val="86"/>
    <w:family w:val="auto"/>
    <w:pitch w:val="default"/>
    <w:sig w:usb0="A00002BF" w:usb1="3ACF7CFA" w:usb2="00000016"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427D0">
    <w:pPr>
      <w:pStyle w:val="5"/>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1E9C3">
    <w:pPr>
      <w:pStyle w:val="5"/>
      <w:jc w:val="center"/>
    </w:pPr>
    <w:r>
      <w:rPr>
        <w:rStyle w:val="10"/>
        <w:rFonts w:hint="eastAsia"/>
      </w:rPr>
      <w:t xml:space="preserve">— </w:t>
    </w:r>
    <w:r>
      <w:rPr>
        <w:rStyle w:val="10"/>
      </w:rPr>
      <w:fldChar w:fldCharType="begin"/>
    </w:r>
    <w:r>
      <w:rPr>
        <w:rStyle w:val="10"/>
      </w:rPr>
      <w:instrText xml:space="preserve"> PAGE </w:instrText>
    </w:r>
    <w:r>
      <w:rPr>
        <w:rStyle w:val="10"/>
      </w:rPr>
      <w:fldChar w:fldCharType="separate"/>
    </w:r>
    <w:r>
      <w:rPr>
        <w:rStyle w:val="10"/>
      </w:rPr>
      <w:t>4</w:t>
    </w:r>
    <w:r>
      <w:rPr>
        <w:rStyle w:val="10"/>
      </w:rPr>
      <w:fldChar w:fldCharType="end"/>
    </w:r>
    <w:r>
      <w:rPr>
        <w:rStyle w:val="10"/>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3F8A5">
    <w:pPr>
      <w:pStyle w:val="5"/>
      <w:jc w:val="center"/>
    </w:pPr>
    <w:r>
      <w:rPr>
        <w:kern w:val="0"/>
        <w:sz w:val="20"/>
      </w:rPr>
      <w:softHyphen/>
    </w:r>
    <w:r>
      <w:rPr>
        <w:kern w:val="0"/>
        <w:sz w:val="20"/>
      </w:rPr>
      <w:t xml:space="preserve"> </w:t>
    </w:r>
    <w:r>
      <w:rPr>
        <w:kern w:val="0"/>
        <w:sz w:val="20"/>
      </w:rPr>
      <w:fldChar w:fldCharType="begin"/>
    </w:r>
    <w:r>
      <w:rPr>
        <w:kern w:val="0"/>
        <w:sz w:val="20"/>
      </w:rPr>
      <w:instrText xml:space="preserve"> PAGE </w:instrText>
    </w:r>
    <w:r>
      <w:rPr>
        <w:kern w:val="0"/>
        <w:sz w:val="20"/>
      </w:rPr>
      <w:fldChar w:fldCharType="separate"/>
    </w:r>
    <w:r>
      <w:rPr>
        <w:kern w:val="0"/>
        <w:sz w:val="20"/>
      </w:rPr>
      <w:t>1</w:t>
    </w:r>
    <w:r>
      <w:rPr>
        <w:kern w:val="0"/>
        <w:sz w:val="20"/>
      </w:rPr>
      <w:fldChar w:fldCharType="end"/>
    </w:r>
    <w:r>
      <w:rPr>
        <w:kern w:val="0"/>
        <w:sz w:val="20"/>
      </w:rPr>
      <w:t xml:space="preserve"> </w:t>
    </w:r>
    <w:r>
      <w:rPr>
        <w:kern w:val="0"/>
        <w:sz w:val="20"/>
      </w:rPr>
      <w:softHyphen/>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420"/>
  <w:autoHyphenation/>
  <w:hyphenationZone w:val="0"/>
  <w:displayHorizontalDrawingGridEvery w:val="1"/>
  <w:displayVerticalDrawingGridEvery w:val="1"/>
  <w:noPunctuationKerning w:val="1"/>
  <w:compat>
    <w:doNotExpandShiftReturn/>
    <w:adjustLineHeightInTable/>
    <w:doNotWrapTextWithPunct/>
    <w:doNotUseEastAsianBreakRules/>
    <w:useFELayout/>
    <w:useAltKinsokuLineBreakRules/>
    <w:compatSetting w:name="compatibilityMode" w:uri="http://schemas.microsoft.com/office/word" w:val="11"/>
  </w:compat>
  <w:rsids>
    <w:rsidRoot w:val="00000000"/>
    <w:rsid w:val="BF6DFF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napToGrid w:val="0"/>
      <w:jc w:val="both"/>
    </w:pPr>
    <w:rPr>
      <w:rFonts w:ascii="楷体_GB2312;楷体" w:hAnsi="楷体_GB2312;楷体" w:eastAsia="楷体_GB2312;楷体" w:cs="Times New Roman"/>
      <w:color w:val="auto"/>
      <w:kern w:val="2"/>
      <w:sz w:val="24"/>
      <w:szCs w:val="20"/>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Arial Unicode MS"/>
      <w:i/>
      <w:iCs/>
      <w:sz w:val="24"/>
      <w:szCs w:val="24"/>
    </w:rPr>
  </w:style>
  <w:style w:type="paragraph" w:styleId="3">
    <w:name w:val="Body Text"/>
    <w:basedOn w:val="1"/>
    <w:uiPriority w:val="0"/>
    <w:pPr>
      <w:spacing w:before="0" w:after="140" w:line="276" w:lineRule="auto"/>
    </w:pPr>
  </w:style>
  <w:style w:type="paragraph" w:styleId="4">
    <w:name w:val="Body Text Indent"/>
    <w:basedOn w:val="1"/>
    <w:uiPriority w:val="0"/>
    <w:pPr>
      <w:spacing w:before="120" w:after="120"/>
      <w:ind w:left="525" w:right="0" w:hanging="525"/>
    </w:pPr>
    <w:rPr>
      <w:rFonts w:ascii="仿宋_GB2312;仿宋" w:hAnsi="仿宋_GB2312;仿宋" w:eastAsia="仿宋_GB2312;仿宋"/>
      <w:b/>
    </w:rPr>
  </w:style>
  <w:style w:type="paragraph" w:styleId="5">
    <w:name w:val="footer"/>
    <w:basedOn w:val="1"/>
    <w:uiPriority w:val="0"/>
    <w:pPr>
      <w:tabs>
        <w:tab w:val="center" w:pos="4153"/>
        <w:tab w:val="right" w:pos="8306"/>
      </w:tabs>
      <w:jc w:val="left"/>
    </w:pPr>
    <w:rPr>
      <w:rFonts w:ascii="Times New Roman" w:hAnsi="Times New Roman" w:eastAsia="宋体"/>
      <w:sz w:val="18"/>
    </w:rPr>
  </w:style>
  <w:style w:type="paragraph" w:styleId="6">
    <w:name w:val="List"/>
    <w:basedOn w:val="3"/>
    <w:uiPriority w:val="0"/>
    <w:rPr>
      <w:rFonts w:cs="Arial Unicode MS"/>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page number"/>
    <w:basedOn w:val="11"/>
    <w:uiPriority w:val="0"/>
  </w:style>
  <w:style w:type="character" w:customStyle="1" w:styleId="11">
    <w:name w:val="默认段落字体1"/>
    <w:qFormat/>
    <w:uiPriority w:val="0"/>
  </w:style>
  <w:style w:type="paragraph" w:customStyle="1" w:styleId="12">
    <w:name w:val="Heading"/>
    <w:basedOn w:val="1"/>
    <w:next w:val="3"/>
    <w:qFormat/>
    <w:uiPriority w:val="0"/>
    <w:pPr>
      <w:keepNext/>
      <w:spacing w:before="240" w:after="120"/>
    </w:pPr>
    <w:rPr>
      <w:rFonts w:ascii="Liberation Sans" w:hAnsi="Liberation Sans" w:eastAsia="Arial Unicode MS" w:cs="Arial Unicode MS"/>
      <w:sz w:val="28"/>
      <w:szCs w:val="28"/>
    </w:rPr>
  </w:style>
  <w:style w:type="paragraph" w:customStyle="1" w:styleId="13">
    <w:name w:val="Index"/>
    <w:basedOn w:val="1"/>
    <w:qFormat/>
    <w:uiPriority w:val="0"/>
    <w:pPr>
      <w:suppressLineNumbers/>
    </w:pPr>
    <w:rPr>
      <w:rFonts w:cs="Arial Unicode MS"/>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bmp"/><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1</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2007-06-01T19:13:00Z</dcterms:created>
  <dc:creator>zhaozhen</dc:creator>
  <cp:lastModifiedBy>steven</cp:lastModifiedBy>
  <dcterms:modified xsi:type="dcterms:W3CDTF">2026-07-23T23:14:51Z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0DAA7C3984854C42854501020FD61A06_13</vt:lpwstr>
  </property>
  <property fmtid="{D5CDD505-2E9C-101B-9397-08002B2CF9AE}" pid="3" name="KSOProductBuildVer">
    <vt:lpwstr>2052-12.1.26050.26050</vt:lpwstr>
  </property>
</Properties>
</file>