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A5C38"/>
          <w:sz w:val="32"/>
          <w:szCs w:val="32"/>
        </w:rPr>
        <w:t xml:space="preserve">WAIALUA COMMUNITY ASSOCIATION</w:t>
      </w:r>
    </w:p>
    <w:p>
      <w:pPr>
        <w:spacing w:after="100"/>
        <w:jc w:val="center"/>
      </w:pPr>
      <w:r>
        <w:rPr>
          <w:b/>
          <w:bCs/>
          <w:color w:val="3C6B4F"/>
          <w:sz w:val="44"/>
          <w:szCs w:val="44"/>
        </w:rPr>
        <w:t xml:space="preserve">Online Payment System</w:t>
      </w:r>
    </w:p>
    <w:p>
      <w:pPr>
        <w:spacing w:after="600"/>
        <w:jc w:val="center"/>
      </w:pPr>
      <w:r>
        <w:rPr>
          <w:color w:val="5A5A5A"/>
          <w:sz w:val="28"/>
          <w:szCs w:val="28"/>
        </w:rPr>
        <w:t xml:space="preserve">Operations &amp; Editing Guide</w:t>
      </w:r>
    </w:p>
    <w:p>
      <w:pPr>
        <w:spacing w:after="1600"/>
        <w:jc w:val="center"/>
      </w:pPr>
      <w:r>
        <w:rPr>
          <w:i/>
          <w:iCs/>
          <w:color w:val="5A5A5A"/>
          <w:sz w:val="20"/>
          <w:szCs w:val="20"/>
        </w:rPr>
        <w:t xml:space="preserve">Covers: how the payment system works · editing the website on GitHub · managing Zeffy · testing changes · troubleshooting</w:t>
      </w:r>
    </w:p>
    <w:p>
      <w:pPr>
        <w:jc w:val="center"/>
      </w:pPr>
      <w:r>
        <w:rPr>
          <w:color w:val="5A5A5A"/>
          <w:sz w:val="18"/>
          <w:szCs w:val="18"/>
        </w:rPr>
        <w:t xml:space="preserve">Prepared September 2026</w:t>
      </w:r>
    </w:p>
    <w:p>
      <w:r>
        <w:br w:type="page"/>
      </w:r>
    </w:p>
    <w:p>
      <w:pPr>
        <w:pStyle w:val="Heading1"/>
        <w:spacing w:after="200" w:before="400"/>
      </w:pPr>
      <w:r>
        <w:t xml:space="preserve">1. How the Payment System Works</w:t>
      </w:r>
    </w:p>
    <w:p>
      <w:pPr>
        <w:spacing w:after="160"/>
      </w:pPr>
      <w:r>
        <w:t xml:space="preserve">WCA's online payment system is built from two separate services working together. Understanding this split is the single most useful thing to know before editing anything else in this guide.</w:t>
      </w:r>
    </w:p>
    <w:p>
      <w:pPr>
        <w:pStyle w:val="Heading2"/>
        <w:spacing w:after="150" w:before="300"/>
      </w:pPr>
      <w:r>
        <w:t xml:space="preserve">Two services, two jobs</w:t>
      </w:r>
    </w:p>
    <w:p>
      <w:pPr>
        <w:spacing w:after="160"/>
      </w:pPr>
      <w:r>
        <w:rPr>
          <w:b/>
          <w:bCs/>
        </w:rPr>
        <w:t xml:space="preserve">Web3Forms</w:t>
      </w:r>
      <w:r>
        <w:t xml:space="preserve"> sends WCA an email every time someone submits an application or form. It has never handled money and cannot — it is purely a notification service. Every payment-related page on the site uses the same Web3Forms account, sending to </w:t>
      </w:r>
      <w:r>
        <w:rPr>
          <w:rFonts w:ascii="Consolas" w:cs="Consolas" w:eastAsia="Consolas" w:hAnsi="Consolas"/>
          <w:color w:val="1A5C38"/>
          <w:sz w:val="20"/>
          <w:szCs w:val="20"/>
        </w:rPr>
        <w:t xml:space="preserve">wca66434@gmail.com</w:t>
      </w:r>
      <w:r>
        <w:t xml:space="preserve">.</w:t>
      </w:r>
    </w:p>
    <w:p>
      <w:pPr>
        <w:spacing w:after="160"/>
      </w:pPr>
      <w:r>
        <w:rPr>
          <w:b/>
          <w:bCs/>
        </w:rPr>
        <w:t xml:space="preserve">Zeffy</w:t>
      </w:r>
      <w:r>
        <w:t xml:space="preserve"> processes the actual payment — the credit card charge, the bank transfer, the receipt. It is completely free for nonprofits; Zeffy's revenue comes from an optional tip the payer can add at checkout, which has no effect on what WCA receives.</w:t>
      </w:r>
    </w:p>
    <w:p>
      <w:pPr>
        <w:spacing w:after="160"/>
      </w:pPr>
      <w:r>
        <w:t xml:space="preserve">Neither service can do the other's job. Web3Forms cannot take a credit card number. Zeffy does not email WCA a copy of an applicant's rental details the way Web3Forms does. Both are needed, and both are already wired into every form on the site.</w:t>
      </w:r>
    </w:p>
    <w:p>
      <w:pPr>
        <w:pStyle w:val="Heading2"/>
        <w:spacing w:after="150" w:before="300"/>
      </w:pPr>
      <w:r>
        <w:t xml:space="preserve">The seven payment types,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00"/>
      </w:tblGrid>
      <w:tr>
        <w:trPr>
          <w:tblHeader/>
        </w:trPr>
        <w:tc>
          <w:tcPr>
            <w:tcW w:type="pct" w:w="33.333333333333336%"/>
            <w:shd w:fill="3C6B4F" w:val="clear"/>
            <w:tcMar>
              <w:top w:type="dxa" w:w="100"/>
              <w:left w:type="dxa" w:w="120"/>
              <w:bottom w:type="dxa" w:w="100"/>
              <w:right w:type="dxa" w:w="120"/>
            </w:tcMar>
          </w:tcPr>
          <w:p>
            <w:r>
              <w:rPr>
                <w:b/>
                <w:bCs/>
                <w:color w:val="FFFFFF"/>
                <w:sz w:val="20"/>
                <w:szCs w:val="20"/>
              </w:rPr>
              <w:t xml:space="preserve">Payment type</w:t>
            </w:r>
          </w:p>
        </w:tc>
        <w:tc>
          <w:tcPr>
            <w:tcW w:type="pct" w:w="33.333333333333336%"/>
            <w:shd w:fill="3C6B4F" w:val="clear"/>
            <w:tcMar>
              <w:top w:type="dxa" w:w="100"/>
              <w:left w:type="dxa" w:w="120"/>
              <w:bottom w:type="dxa" w:w="100"/>
              <w:right w:type="dxa" w:w="120"/>
            </w:tcMar>
          </w:tcPr>
          <w:p>
            <w:r>
              <w:rPr>
                <w:b/>
                <w:bCs/>
                <w:color w:val="FFFFFF"/>
                <w:sz w:val="20"/>
                <w:szCs w:val="20"/>
              </w:rPr>
              <w:t xml:space="preserve">Lives in</w:t>
            </w:r>
          </w:p>
        </w:tc>
        <w:tc>
          <w:tcPr>
            <w:tcW w:type="pct" w:w="33.333333333333336%"/>
            <w:shd w:fill="3C6B4F" w:val="clear"/>
            <w:tcMar>
              <w:top w:type="dxa" w:w="100"/>
              <w:left w:type="dxa" w:w="120"/>
              <w:bottom w:type="dxa" w:w="100"/>
              <w:right w:type="dxa" w:w="120"/>
            </w:tcMar>
          </w:tcPr>
          <w:p>
            <w:r>
              <w:rPr>
                <w:b/>
                <w:bCs/>
                <w:color w:val="FFFFFF"/>
                <w:sz w:val="20"/>
                <w:szCs w:val="20"/>
              </w:rPr>
              <w:t xml:space="preserve">Pays via</w:t>
            </w:r>
          </w:p>
        </w:tc>
      </w:tr>
      <w:tr>
        <w:tc>
          <w:tcPr>
            <w:tcW w:type="pct" w:w="33.333333333333336%"/>
            <w:tcMar>
              <w:top w:type="dxa" w:w="100"/>
              <w:left w:type="dxa" w:w="120"/>
              <w:bottom w:type="dxa" w:w="100"/>
              <w:right w:type="dxa" w:w="120"/>
            </w:tcMar>
          </w:tcPr>
          <w:p>
            <w:r>
              <w:rPr>
                <w:b w:val="false"/>
                <w:bCs w:val="false"/>
                <w:color w:val="000000"/>
                <w:sz w:val="20"/>
                <w:szCs w:val="20"/>
              </w:rPr>
              <w:t xml:space="preserve">Donations</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Dedicated Zeffy form (WCA Donations)</w:t>
            </w:r>
          </w:p>
        </w:tc>
      </w:tr>
      <w:tr>
        <w:tc>
          <w:tcPr>
            <w:tcW w:type="pct" w:w="33.333333333333336%"/>
            <w:tcMar>
              <w:top w:type="dxa" w:w="100"/>
              <w:left w:type="dxa" w:w="120"/>
              <w:bottom w:type="dxa" w:w="100"/>
              <w:right w:type="dxa" w:w="120"/>
            </w:tcMar>
          </w:tcPr>
          <w:p>
            <w:r>
              <w:rPr>
                <w:b w:val="false"/>
                <w:bCs w:val="false"/>
                <w:color w:val="000000"/>
                <w:sz w:val="20"/>
                <w:szCs w:val="20"/>
              </w:rPr>
              <w:t xml:space="preserve">Membership</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fixed tier item</w:t>
            </w:r>
          </w:p>
        </w:tc>
      </w:tr>
      <w:tr>
        <w:tc>
          <w:tcPr>
            <w:tcW w:type="pct" w:w="33.333333333333336%"/>
            <w:tcMar>
              <w:top w:type="dxa" w:w="100"/>
              <w:left w:type="dxa" w:w="120"/>
              <w:bottom w:type="dxa" w:w="100"/>
              <w:right w:type="dxa" w:w="120"/>
            </w:tcMar>
          </w:tcPr>
          <w:p>
            <w:r>
              <w:rPr>
                <w:b w:val="false"/>
                <w:bCs w:val="false"/>
                <w:color w:val="000000"/>
                <w:sz w:val="20"/>
                <w:szCs w:val="20"/>
              </w:rPr>
              <w:t xml:space="preserve">Facility Rental</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fixed item (Party/Event) or open item (Hourly)</w:t>
            </w:r>
          </w:p>
        </w:tc>
      </w:tr>
      <w:tr>
        <w:tc>
          <w:tcPr>
            <w:tcW w:type="pct" w:w="33.333333333333336%"/>
            <w:tcMar>
              <w:top w:type="dxa" w:w="100"/>
              <w:left w:type="dxa" w:w="120"/>
              <w:bottom w:type="dxa" w:w="100"/>
              <w:right w:type="dxa" w:w="120"/>
            </w:tcMar>
          </w:tcPr>
          <w:p>
            <w:r>
              <w:rPr>
                <w:b w:val="false"/>
                <w:bCs w:val="false"/>
                <w:color w:val="000000"/>
                <w:sz w:val="20"/>
                <w:szCs w:val="20"/>
              </w:rPr>
              <w:t xml:space="preserve">Car Wash</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fixed $150 item</w:t>
            </w:r>
          </w:p>
        </w:tc>
      </w:tr>
      <w:tr>
        <w:tc>
          <w:tcPr>
            <w:tcW w:type="pct" w:w="33.333333333333336%"/>
            <w:tcMar>
              <w:top w:type="dxa" w:w="100"/>
              <w:left w:type="dxa" w:w="120"/>
              <w:bottom w:type="dxa" w:w="100"/>
              <w:right w:type="dxa" w:w="120"/>
            </w:tcMar>
          </w:tcPr>
          <w:p>
            <w:r>
              <w:rPr>
                <w:b w:val="false"/>
                <w:bCs w:val="false"/>
                <w:color w:val="000000"/>
                <w:sz w:val="20"/>
                <w:szCs w:val="20"/>
              </w:rPr>
              <w:t xml:space="preserve">Other Payments</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open item</w:t>
            </w:r>
          </w:p>
        </w:tc>
      </w:tr>
      <w:tr>
        <w:tc>
          <w:tcPr>
            <w:tcW w:type="pct" w:w="33.333333333333336%"/>
            <w:tcMar>
              <w:top w:type="dxa" w:w="100"/>
              <w:left w:type="dxa" w:w="120"/>
              <w:bottom w:type="dxa" w:w="100"/>
              <w:right w:type="dxa" w:w="120"/>
            </w:tcMar>
          </w:tcPr>
          <w:p>
            <w:r>
              <w:rPr>
                <w:b w:val="false"/>
                <w:bCs w:val="false"/>
                <w:color w:val="000000"/>
                <w:sz w:val="20"/>
                <w:szCs w:val="20"/>
              </w:rPr>
              <w:t xml:space="preserve">Camping</w:t>
            </w:r>
          </w:p>
        </w:tc>
        <w:tc>
          <w:tcPr>
            <w:tcW w:type="pct" w:w="33.333333333333336%"/>
            <w:tcMar>
              <w:top w:type="dxa" w:w="100"/>
              <w:left w:type="dxa" w:w="120"/>
              <w:bottom w:type="dxa" w:w="100"/>
              <w:right w:type="dxa" w:w="120"/>
            </w:tcMar>
          </w:tcPr>
          <w:p>
            <w:r>
              <w:rPr>
                <w:b w:val="false"/>
                <w:bCs w:val="false"/>
                <w:color w:val="000000"/>
                <w:sz w:val="20"/>
                <w:szCs w:val="20"/>
              </w:rPr>
              <w:t xml:space="preserve">camping-rental.html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open item</w:t>
            </w:r>
          </w:p>
        </w:tc>
      </w:tr>
      <w:tr>
        <w:tc>
          <w:tcPr>
            <w:tcW w:type="pct" w:w="33.333333333333336%"/>
            <w:tcMar>
              <w:top w:type="dxa" w:w="100"/>
              <w:left w:type="dxa" w:w="120"/>
              <w:bottom w:type="dxa" w:w="100"/>
              <w:right w:type="dxa" w:w="120"/>
            </w:tcMar>
          </w:tcPr>
          <w:p>
            <w:r>
              <w:rPr>
                <w:b w:val="false"/>
                <w:bCs w:val="false"/>
                <w:color w:val="000000"/>
                <w:sz w:val="20"/>
                <w:szCs w:val="20"/>
              </w:rPr>
              <w:t xml:space="preserve">Pavilion</w:t>
            </w:r>
          </w:p>
        </w:tc>
        <w:tc>
          <w:tcPr>
            <w:tcW w:type="pct" w:w="33.333333333333336%"/>
            <w:tcMar>
              <w:top w:type="dxa" w:w="100"/>
              <w:left w:type="dxa" w:w="120"/>
              <w:bottom w:type="dxa" w:w="100"/>
              <w:right w:type="dxa" w:w="120"/>
            </w:tcMar>
          </w:tcPr>
          <w:p>
            <w:r>
              <w:rPr>
                <w:b w:val="false"/>
                <w:bCs w:val="false"/>
                <w:color w:val="000000"/>
                <w:sz w:val="20"/>
                <w:szCs w:val="20"/>
              </w:rPr>
              <w:t xml:space="preserve">pavilion-rental.html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open item</w:t>
            </w:r>
          </w:p>
        </w:tc>
      </w:tr>
      <w:tr>
        <w:tc>
          <w:tcPr>
            <w:tcW w:type="pct" w:w="33.333333333333336%"/>
            <w:tcMar>
              <w:top w:type="dxa" w:w="100"/>
              <w:left w:type="dxa" w:w="120"/>
              <w:bottom w:type="dxa" w:w="100"/>
              <w:right w:type="dxa" w:w="120"/>
            </w:tcMar>
          </w:tcPr>
          <w:p>
            <w:r>
              <w:rPr>
                <w:b w:val="false"/>
                <w:bCs w:val="false"/>
                <w:color w:val="000000"/>
                <w:sz w:val="20"/>
                <w:szCs w:val="20"/>
              </w:rPr>
              <w:t xml:space="preserve">Pay My Balance</w:t>
            </w:r>
          </w:p>
        </w:tc>
        <w:tc>
          <w:tcPr>
            <w:tcW w:type="pct" w:w="33.333333333333336%"/>
            <w:tcMar>
              <w:top w:type="dxa" w:w="100"/>
              <w:left w:type="dxa" w:w="120"/>
              <w:bottom w:type="dxa" w:w="100"/>
              <w:right w:type="dxa" w:w="120"/>
            </w:tcMar>
          </w:tcPr>
          <w:p>
            <w:r>
              <w:rPr>
                <w:b w:val="false"/>
                <w:bCs w:val="false"/>
                <w:color w:val="000000"/>
                <w:sz w:val="20"/>
                <w:szCs w:val="20"/>
              </w:rPr>
              <w:t xml:space="preserve">donate-pay.html</w:t>
            </w:r>
          </w:p>
        </w:tc>
        <w:tc>
          <w:tcPr>
            <w:tcW w:type="pct" w:w="33.333333333333336%"/>
            <w:tcMar>
              <w:top w:type="dxa" w:w="100"/>
              <w:left w:type="dxa" w:w="120"/>
              <w:bottom w:type="dxa" w:w="100"/>
              <w:right w:type="dxa" w:w="120"/>
            </w:tcMar>
          </w:tcPr>
          <w:p>
            <w:r>
              <w:rPr>
                <w:b w:val="false"/>
                <w:bCs w:val="false"/>
                <w:color w:val="000000"/>
                <w:sz w:val="20"/>
                <w:szCs w:val="20"/>
              </w:rPr>
              <w:t xml:space="preserve">WCA Payments portal — open item, any booking type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C6B4F" w:sz="12"/>
              <w:left w:val="single" w:color="3C6B4F" w:sz="12"/>
              <w:bottom w:val="single" w:color="CCCCCC" w:sz="4"/>
              <w:right w:val="single" w:color="CCCCCC" w:sz="4"/>
            </w:tcBorders>
            <w:shd w:fill="EFF6F0" w:val="clear"/>
            <w:tcMar>
              <w:top w:type="dxa" w:w="150"/>
              <w:left w:type="dxa" w:w="200"/>
              <w:bottom w:type="dxa" w:w="150"/>
              <w:right w:type="dxa" w:w="200"/>
            </w:tcMar>
          </w:tcPr>
          <w:p>
            <w:pPr>
              <w:spacing w:after="80"/>
            </w:pPr>
            <w:r>
              <w:rPr>
                <w:b/>
                <w:bCs/>
                <w:color w:val="1A5C38"/>
              </w:rPr>
              <w:t xml:space="preserve">Why Donations is different</w:t>
            </w:r>
          </w:p>
          <w:p>
            <w:r>
              <w:t xml:space="preserve">Donations is the one payment type that does not use the general WCA Payments portal. It has its own dedicated Zeffy form, because Zeffy automatically generates and emails a proper tax-deductible receipt only when a payment is made through a form actually configured as a donation form. Everything else — rentals, memberships, fees — goes through the shared WCA Payments portal instead.</w:t>
            </w:r>
          </w:p>
        </w:tc>
      </w:tr>
    </w:tbl>
    <w:p>
      <w:r>
        <w:br w:type="page"/>
      </w:r>
    </w:p>
    <w:p>
      <w:pPr>
        <w:pStyle w:val="Heading1"/>
        <w:spacing w:after="200" w:before="400"/>
      </w:pPr>
      <w:r>
        <w:t xml:space="preserve">2. Payment Type Reference</w:t>
      </w:r>
    </w:p>
    <w:p>
      <w:pPr>
        <w:spacing w:after="160"/>
      </w:pPr>
      <w:r>
        <w:t xml:space="preserve">Details and special rules for each payment type, current as of this guide's writing. If a rule changes (a price, a deadline, a policy), update it here and in the corresponding HTML file — see Section 3.</w:t>
      </w:r>
    </w:p>
    <w:p>
      <w:pPr>
        <w:pStyle w:val="Heading2"/>
        <w:spacing w:after="150" w:before="300"/>
      </w:pPr>
      <w:r>
        <w:t xml:space="preserve">Donations</w:t>
      </w:r>
    </w:p>
    <w:p>
      <w:pPr>
        <w:spacing w:after="160"/>
      </w:pPr>
      <w:r>
        <w:t xml:space="preserve">Zeffy collects the donor's own information directly and auto-issues their tax receipt. Zeffy also emails WCA a notification the moment a real payment completes — confirmed with a real $1,000 donation. No separate WCA-built letter or lookup tool exists for this anymore; it was removed because Zeffy already does the job.</w:t>
      </w:r>
    </w:p>
    <w:p>
      <w:pPr>
        <w:pStyle w:val="Heading2"/>
        <w:spacing w:after="150" w:before="300"/>
      </w:pPr>
      <w:r>
        <w:t xml:space="preserve">Membership</w:t>
      </w:r>
    </w:p>
    <w:p>
      <w:pPr>
        <w:spacing w:after="160"/>
      </w:pPr>
      <w:r>
        <w:t xml:space="preserve">Four fixed tiers: Individual $25, Non Profit $150, Business $250, Lifetime $500. Each is its own listed item in the WCA Payments portal.</w:t>
      </w:r>
    </w:p>
    <w:p>
      <w:pPr>
        <w:pStyle w:val="Heading2"/>
        <w:spacing w:after="150" w:before="300"/>
      </w:pPr>
      <w:r>
        <w:t xml:space="preserve">Facility Rental — Party/Event</w:t>
      </w:r>
    </w:p>
    <w:p>
      <w:pPr>
        <w:spacing w:after="160"/>
      </w:pPr>
      <w:r>
        <w:t xml:space="preserve">Deposit ($300) and use fee (Gym or Lawn $500, Gym + Lawn $1,000) are two SEPARATE charges that both get paid — the deposit is never subtracted from the fee. Maximum 8 hours total including setup and cleanup. Amplified music/sound must stop by 9:30 PM; guests may remain until 10:00 PM; everyone off premises by 11:00 PM. Extra setup/cleanup time beyond 8 hours is available at $75/hour with advance WCA approval.</w:t>
      </w:r>
    </w:p>
    <w:p>
      <w:pPr>
        <w:pStyle w:val="Heading2"/>
        <w:spacing w:after="150" w:before="300"/>
      </w:pPr>
      <w:r>
        <w:t xml:space="preserve">Facility Rental — Hourly</w:t>
      </w:r>
    </w:p>
    <w:p>
      <w:pPr>
        <w:spacing w:after="160"/>
      </w:pPr>
      <w:r>
        <w:t xml:space="preserve">Maximum 4 hours. Full payment due at time of booking — no deposit, no balance. Not a fixed price (varies by space and hours), so it routes through the open WCA Payments item, not a listed item.</w:t>
      </w:r>
    </w:p>
    <w:p>
      <w:pPr>
        <w:pStyle w:val="Heading2"/>
        <w:spacing w:after="150" w:before="300"/>
      </w:pPr>
      <w:r>
        <w:t xml:space="preserve">Car Wash</w:t>
      </w:r>
    </w:p>
    <w:p>
      <w:pPr>
        <w:spacing w:after="160"/>
      </w:pPr>
      <w:r>
        <w:t xml:space="preserve">Flat $150, no deposit. Fixed listed item on the WCA Payments portal.</w:t>
      </w:r>
    </w:p>
    <w:p>
      <w:pPr>
        <w:pStyle w:val="Heading2"/>
        <w:spacing w:after="150" w:before="300"/>
      </w:pPr>
      <w:r>
        <w:t xml:space="preserve">Camping</w:t>
      </w:r>
    </w:p>
    <w:p>
      <w:pPr>
        <w:spacing w:after="160"/>
      </w:pPr>
      <w:r>
        <w:t xml:space="preserve">$100 flat deposit regardless of number of sites. Camping fee is $100/night/site (introductory rate through 12/31/26). Always routes through the open WCA Payments item — pricing varies by dates and sites, so there is no fixed listed item for it.</w:t>
      </w:r>
    </w:p>
    <w:p>
      <w:pPr>
        <w:pStyle w:val="Heading2"/>
        <w:spacing w:after="150" w:before="300"/>
      </w:pPr>
      <w:r>
        <w:t xml:space="preserve">Pavilion</w:t>
      </w:r>
    </w:p>
    <w:p>
      <w:pPr>
        <w:spacing w:after="160"/>
      </w:pPr>
      <w:r>
        <w:t xml:space="preserve">Deposit $100, Fee $350, Deposit + Fee $450 (Fee and combined rates are an introductory rate through 12/31/26). All three route through the open WCA Payments item rather than three separate listed items — this was a deliberate simplification so WCA only has to maintain one item instead of three.</w:t>
      </w:r>
    </w:p>
    <w:p>
      <w:pPr>
        <w:pStyle w:val="Heading2"/>
        <w:spacing w:after="150" w:before="300"/>
      </w:pPr>
      <w:r>
        <w:t xml:space="preserve">Other Payments</w:t>
      </w:r>
    </w:p>
    <w:p>
      <w:pPr>
        <w:spacing w:after="160"/>
      </w:pPr>
      <w:r>
        <w:t xml:space="preserve">Inherently variable — always routes through the open WCA Payments item.</w:t>
      </w:r>
    </w:p>
    <w:p>
      <w:pPr>
        <w:pStyle w:val="Heading2"/>
        <w:spacing w:after="150" w:before="300"/>
      </w:pPr>
      <w:r>
        <w:t xml:space="preserve">Pay My Balance</w:t>
      </w:r>
    </w:p>
    <w:p>
      <w:pPr>
        <w:spacing w:after="160"/>
      </w:pPr>
      <w:r>
        <w:t xml:space="preserve">For anyone who already applied (Facility Rental, Camping, or Pavilion) and just needs to pay a remaining balance — no need to fill out another application. Facility Rental balances are due 15 days before the event (immediately if the event is within 10 days of booking). Camping and Pavilion balances have no set deadline. Always routes through the open WCA Payments item, since a balance is never a fixed number.</w:t>
      </w:r>
    </w:p>
    <w:p>
      <w:r>
        <w:br w:type="page"/>
      </w:r>
    </w:p>
    <w:p>
      <w:pPr>
        <w:pStyle w:val="Heading1"/>
        <w:spacing w:after="200" w:before="400"/>
      </w:pPr>
      <w:r>
        <w:t xml:space="preserve">3. Editing Files on GitHub</w:t>
      </w:r>
    </w:p>
    <w:p>
      <w:pPr>
        <w:pStyle w:val="Heading2"/>
        <w:spacing w:after="150" w:before="300"/>
      </w:pPr>
      <w:r>
        <w:t xml:space="preserve">The repository</w:t>
      </w:r>
    </w:p>
    <w:p>
      <w:pPr>
        <w:spacing w:after="160"/>
      </w:pPr>
      <w:r>
        <w:t xml:space="preserve">All website files live in the </w:t>
      </w:r>
      <w:r>
        <w:rPr>
          <w:rFonts w:ascii="Consolas" w:cs="Consolas" w:eastAsia="Consolas" w:hAnsi="Consolas"/>
          <w:color w:val="1A5C38"/>
          <w:sz w:val="20"/>
          <w:szCs w:val="20"/>
        </w:rPr>
        <w:t xml:space="preserve">puuiki-forms</w:t>
      </w:r>
      <w:r>
        <w:t xml:space="preserve"> repository under the </w:t>
      </w:r>
      <w:r>
        <w:rPr>
          <w:rFonts w:ascii="Consolas" w:cs="Consolas" w:eastAsia="Consolas" w:hAnsi="Consolas"/>
          <w:color w:val="1A5C38"/>
          <w:sz w:val="20"/>
          <w:szCs w:val="20"/>
        </w:rPr>
        <w:t xml:space="preserve">wca66434-art</w:t>
      </w:r>
      <w:r>
        <w:t xml:space="preserve"> account, at:</w:t>
      </w:r>
    </w:p>
    <w:p>
      <w:pPr>
        <w:spacing w:after="160"/>
      </w:pPr>
      <w:r>
        <w:rPr>
          <w:i/>
          <w:iCs/>
          <w:color w:val="1A5C38"/>
        </w:rPr>
        <w:t xml:space="preserve">https://github.com/wca66434-art/puuiki-forms</w:t>
      </w:r>
    </w:p>
    <w:p>
      <w:pPr>
        <w:pStyle w:val="Heading2"/>
        <w:spacing w:after="150" w:before="300"/>
      </w:pPr>
      <w:r>
        <w:t xml:space="preserve">Standard filenames — always use these exact names</w:t>
      </w:r>
    </w:p>
    <w:p>
      <w:pPr>
        <w:spacing w:after="160"/>
      </w:pPr>
      <w:r>
        <w:t xml:space="preserve">Three files were previously duplicated under slightly different names (an underscore version, a version-numbered file), which caused real confusion — edits made to the wrong copy produced no visible change on the live site. These are now the only correct filenames:</w:t>
      </w:r>
    </w:p>
    <w:p>
      <w:pPr>
        <w:pStyle w:val="ListParagraph"/>
        <w:numPr>
          <w:ilvl w:val="0"/>
          <w:numId w:val="2"/>
        </w:numPr>
        <w:spacing w:after="100"/>
      </w:pPr>
      <w:r>
        <w:t xml:space="preserve">donate-pay.html — Donations, Membership, Facility Rental, Car Wash, Other Payments, Pay My Balance</w:t>
      </w:r>
    </w:p>
    <w:p>
      <w:pPr>
        <w:pStyle w:val="ListParagraph"/>
        <w:numPr>
          <w:ilvl w:val="0"/>
          <w:numId w:val="2"/>
        </w:numPr>
        <w:spacing w:after="100"/>
      </w:pPr>
      <w:r>
        <w:t xml:space="preserve">camping-rental.html — Camping</w:t>
      </w:r>
    </w:p>
    <w:p>
      <w:pPr>
        <w:pStyle w:val="ListParagraph"/>
        <w:numPr>
          <w:ilvl w:val="0"/>
          <w:numId w:val="2"/>
        </w:numPr>
        <w:spacing w:after="100"/>
      </w:pPr>
      <w:r>
        <w:t xml:space="preserve">pavilion-rental.html — Pavilion</w:t>
      </w:r>
    </w:p>
    <w:p>
      <w:pPr>
        <w:spacing w:after="160"/>
      </w:pPr>
      <w:r>
        <w:rPr>
          <w:b/>
          <w:bCs/>
        </w:rPr>
        <w:t xml:space="preserve">Hyphens, no underscores, no version numbers. When uploading any updated version of one of these files, always upload it under this exact name so it replaces the existing file rather than creating a new one alongside it.</w:t>
      </w:r>
    </w:p>
    <w:p>
      <w:pPr>
        <w:pStyle w:val="Heading2"/>
        <w:spacing w:after="150" w:before="300"/>
      </w:pPr>
      <w:r>
        <w:t xml:space="preserve">Editing text in a file</w:t>
      </w:r>
    </w:p>
    <w:p>
      <w:pPr>
        <w:pStyle w:val="ListParagraph"/>
        <w:numPr>
          <w:ilvl w:val="0"/>
          <w:numId w:val="3"/>
        </w:numPr>
        <w:spacing w:after="100"/>
      </w:pPr>
      <w:r>
        <w:t xml:space="preserve">Open the file in the repository's file list.</w:t>
      </w:r>
    </w:p>
    <w:p>
      <w:pPr>
        <w:pStyle w:val="ListParagraph"/>
        <w:numPr>
          <w:ilvl w:val="0"/>
          <w:numId w:val="3"/>
        </w:numPr>
        <w:spacing w:after="100"/>
      </w:pPr>
      <w:r>
        <w:t xml:space="preserve">Click the pencil (edit) icon near the top right of the file view.</w:t>
      </w:r>
    </w:p>
    <w:p>
      <w:pPr>
        <w:pStyle w:val="ListParagraph"/>
        <w:numPr>
          <w:ilvl w:val="0"/>
          <w:numId w:val="3"/>
        </w:numPr>
        <w:spacing w:after="100"/>
      </w:pPr>
      <w:r>
        <w:t xml:space="preserve">Click directly inside the code area — anywhere in the visible text — so a cursor is blinking there. This step matters: the search shortcut only works once the editor itself has focus.</w:t>
      </w:r>
    </w:p>
    <w:p>
      <w:pPr>
        <w:pStyle w:val="ListParagraph"/>
        <w:numPr>
          <w:ilvl w:val="0"/>
          <w:numId w:val="3"/>
        </w:numPr>
        <w:spacing w:after="100"/>
      </w:pPr>
      <w:r>
        <w:t xml:space="preserve">Press Ctrl+F (Windows) or Cmd+F (Mac). A small search box appears inside the editor pane itself, separate from the browser's own search bar.</w:t>
      </w:r>
    </w:p>
    <w:p>
      <w:pPr>
        <w:pStyle w:val="ListParagraph"/>
        <w:numPr>
          <w:ilvl w:val="0"/>
          <w:numId w:val="3"/>
        </w:numPr>
        <w:spacing w:after="100"/>
      </w:pPr>
      <w:r>
        <w:t xml:space="preserve">Type the text to find and press Enter — the editor jumps to it automatically, even in a very long file.</w:t>
      </w:r>
    </w:p>
    <w:p>
      <w:pPr>
        <w:pStyle w:val="ListParagraph"/>
        <w:numPr>
          <w:ilvl w:val="0"/>
          <w:numId w:val="3"/>
        </w:numPr>
        <w:spacing w:after="100"/>
      </w:pPr>
      <w:r>
        <w:t xml:space="preserve">Make the edit directly in the text.</w:t>
      </w:r>
    </w:p>
    <w:p>
      <w:pPr>
        <w:pStyle w:val="ListParagraph"/>
        <w:numPr>
          <w:ilvl w:val="0"/>
          <w:numId w:val="3"/>
        </w:numPr>
        <w:spacing w:after="100"/>
      </w:pPr>
      <w:r>
        <w:t xml:space="preserve">Scroll to the bottom of the page. Type a short commit message describing the change.</w:t>
      </w:r>
    </w:p>
    <w:p>
      <w:pPr>
        <w:pStyle w:val="ListParagraph"/>
        <w:numPr>
          <w:ilvl w:val="0"/>
          <w:numId w:val="3"/>
        </w:numPr>
        <w:spacing w:after="100"/>
      </w:pPr>
      <w:r>
        <w:t xml:space="preserve">Click the green "Commit changes" button. This is the step that actually saves the change — nothing is live until this is clicked.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C6B4F" w:sz="12"/>
              <w:left w:val="single" w:color="3C6B4F" w:sz="12"/>
              <w:bottom w:val="single" w:color="CCCCCC" w:sz="4"/>
              <w:right w:val="single" w:color="CCCCCC" w:sz="4"/>
            </w:tcBorders>
            <w:shd w:fill="EFF6F0" w:val="clear"/>
            <w:tcMar>
              <w:top w:type="dxa" w:w="150"/>
              <w:left w:type="dxa" w:w="200"/>
              <w:bottom w:type="dxa" w:w="150"/>
              <w:right w:type="dxa" w:w="200"/>
            </w:tcMar>
          </w:tcPr>
          <w:p>
            <w:pPr>
              <w:spacing w:after="80"/>
            </w:pPr>
            <w:r>
              <w:rPr>
                <w:b/>
                <w:bCs/>
                <w:color w:val="1A5C38"/>
              </w:rPr>
              <w:t xml:space="preserve">If the search box doesn't appear</w:t>
            </w:r>
          </w:p>
          <w:p>
            <w:r>
              <w:t xml:space="preserve">Make sure the cursor is actually blinking inside the code first — clicking elsewhere on the page won't give the editor focus. If it still doesn't work, switch to just viewing the file (not editing), and use the browser's own Ctrl+F there instead — GitHub's plain file view renders as ordinary text. Locate the line, note where it is, then switch to edit mode.</w:t>
            </w:r>
          </w:p>
        </w:tc>
      </w:tr>
    </w:tbl>
    <w:p>
      <w:pPr>
        <w:pStyle w:val="Heading2"/>
        <w:spacing w:after="150" w:before="300"/>
      </w:pPr>
      <w:r>
        <w:t xml:space="preserve">Uploading a new file</w:t>
      </w:r>
    </w:p>
    <w:p>
      <w:pPr>
        <w:pStyle w:val="ListParagraph"/>
        <w:numPr>
          <w:ilvl w:val="0"/>
          <w:numId w:val="4"/>
        </w:numPr>
        <w:spacing w:after="100"/>
      </w:pPr>
      <w:r>
        <w:t xml:space="preserve">Click "Add file" then "Upload files." (On some screens "Add file" is a small link in the top-left of the file list rather than an obvious button — look carefully.)</w:t>
      </w:r>
    </w:p>
    <w:p>
      <w:pPr>
        <w:pStyle w:val="ListParagraph"/>
        <w:numPr>
          <w:ilvl w:val="0"/>
          <w:numId w:val="4"/>
        </w:numPr>
        <w:spacing w:after="100"/>
      </w:pPr>
      <w:r>
        <w:t xml:space="preserve">Drag the file in, or click to browse and select it.</w:t>
      </w:r>
    </w:p>
    <w:p>
      <w:pPr>
        <w:pStyle w:val="ListParagraph"/>
        <w:numPr>
          <w:ilvl w:val="0"/>
          <w:numId w:val="4"/>
        </w:numPr>
        <w:spacing w:after="100"/>
      </w:pPr>
      <w:r>
        <w:t xml:space="preserve">To upload into a specific folder (like images/), navigate into that folder first before clicking "Add file" — anything dropped in then lands inside that folder automatically.</w:t>
      </w:r>
    </w:p>
    <w:p>
      <w:pPr>
        <w:pStyle w:val="ListParagraph"/>
        <w:numPr>
          <w:ilvl w:val="0"/>
          <w:numId w:val="4"/>
        </w:numPr>
        <w:spacing w:after="100"/>
      </w:pPr>
      <w:r>
        <w:t xml:space="preserve">Scroll down, type a commit message, click "Commit changes."</w:t>
      </w:r>
    </w:p>
    <w:p>
      <w:pPr>
        <w:spacing w:after="160"/>
      </w:pPr>
      <w:r>
        <w:t xml:space="preserve">To replace an existing file, upload a new file with the exact same name in the exact same location — GitHub treats this as a replacement, not a duplicate. No need to delete first.</w:t>
      </w:r>
    </w:p>
    <w:p>
      <w:pPr>
        <w:pStyle w:val="Heading2"/>
        <w:spacing w:after="150" w:before="300"/>
      </w:pPr>
      <w:r>
        <w:t xml:space="preserve">Deleting a file</w:t>
      </w:r>
    </w:p>
    <w:p>
      <w:pPr>
        <w:spacing w:after="160"/>
      </w:pPr>
      <w:r>
        <w:t xml:space="preserve">Open the file, then look for a trash-can icon (its position varies with screen size — sometimes grouped with the pencil icon, sometimes under a small menu). If it can't be found, use this direct link pattern instead, which skips the search entirely:</w:t>
      </w:r>
    </w:p>
    <w:p>
      <w:pPr>
        <w:spacing w:after="160"/>
      </w:pPr>
      <w:r>
        <w:rPr>
          <w:i/>
          <w:iCs/>
          <w:color w:val="1A5C38"/>
        </w:rPr>
        <w:t xml:space="preserve">https://github.com/wca66434-art/puuiki-forms/delete/main/FILENAME</w:t>
      </w:r>
    </w:p>
    <w:p>
      <w:pPr>
        <w:spacing w:after="160"/>
      </w:pPr>
      <w:r>
        <w:t xml:space="preserve">Replace FILENAME with the exact file to delete. This opens the delete-confirmation screen directly — commit the same way as any other change.</w:t>
      </w:r>
    </w:p>
    <w:p>
      <w:pPr>
        <w:pStyle w:val="Heading2"/>
        <w:spacing w:after="150" w:before="300"/>
      </w:pPr>
      <w:r>
        <w:t xml:space="preserve">Important: case sensitivity</w:t>
      </w:r>
    </w:p>
    <w:p>
      <w:pPr>
        <w:spacing w:after="160"/>
      </w:pPr>
      <w:r>
        <w:t xml:space="preserve">The live website (GitHub Pages) is case-sensitive in a way a personal computer usually isn't. A file named Puuiki-Site-Map.jpg will NOT be found by code looking for puuiki-site-map.jpg. When in doubt, match capitalization exactly.</w:t>
      </w:r>
    </w:p>
    <w:p>
      <w:pPr>
        <w:pStyle w:val="Heading2"/>
        <w:spacing w:after="150" w:before="300"/>
      </w:pPr>
      <w:r>
        <w:t xml:space="preserve">After any change</w:t>
      </w:r>
    </w:p>
    <w:p>
      <w:pPr>
        <w:spacing w:after="160"/>
      </w:pPr>
      <w:r>
        <w:t xml:space="preserve">GitHub Pages takes a minute or two to rebuild after a commit. Once it has, do a hard refresh before testing — Ctrl+Shift+R (Windows) or Cmd+Shift+R (Mac) — since a normal refresh can still show a cached older version of the page even after the real update is live.</w:t>
      </w:r>
    </w:p>
    <w:p>
      <w:r>
        <w:br w:type="page"/>
      </w:r>
    </w:p>
    <w:p>
      <w:pPr>
        <w:pStyle w:val="Heading1"/>
        <w:spacing w:after="200" w:before="400"/>
      </w:pPr>
      <w:r>
        <w:t xml:space="preserve">4. Managing Zeffy</w:t>
      </w:r>
    </w:p>
    <w:p>
      <w:pPr>
        <w:pStyle w:val="Heading2"/>
        <w:spacing w:after="150" w:before="300"/>
      </w:pPr>
      <w:r>
        <w:t xml:space="preserve">The two Zeffy destinations</w:t>
      </w:r>
    </w:p>
    <w:p>
      <w:pPr>
        <w:spacing w:after="160"/>
      </w:pPr>
      <w:r>
        <w:rPr>
          <w:b/>
          <w:bCs/>
        </w:rPr>
        <w:t xml:space="preserve">WCA Payments</w:t>
      </w:r>
      <w:r>
        <w:t xml:space="preserve"> — the general portal used by Membership, Facility Rental, Car Wash, Other Payments, Pay My Balance, Camping, and Pavilion. Contains a mix of fixed-price listed items and one open "pay what you can" item.</w:t>
      </w:r>
    </w:p>
    <w:p>
      <w:pPr>
        <w:spacing w:after="160"/>
      </w:pPr>
      <w:r>
        <w:rPr>
          <w:b/>
          <w:bCs/>
        </w:rPr>
        <w:t xml:space="preserve">WCA Donations</w:t>
      </w:r>
      <w:r>
        <w:t xml:space="preserve"> — a separate, dedicated donation form used only by the Donate tab. Kept separate so Zeffy issues a proper tax receipt automatically.</w:t>
      </w:r>
    </w:p>
    <w:p>
      <w:pPr>
        <w:pStyle w:val="Heading2"/>
        <w:spacing w:after="150" w:before="300"/>
      </w:pPr>
      <w:r>
        <w:t xml:space="preserve">Fixed items currently on the WCA Payments portal</w:t>
      </w:r>
    </w:p>
    <w:p>
      <w:pPr>
        <w:pStyle w:val="ListParagraph"/>
        <w:numPr>
          <w:ilvl w:val="0"/>
          <w:numId w:val="2"/>
        </w:numPr>
        <w:spacing w:after="100"/>
      </w:pPr>
      <w:r>
        <w:t xml:space="preserve">Car Wash — $150</w:t>
      </w:r>
    </w:p>
    <w:p>
      <w:pPr>
        <w:pStyle w:val="ListParagraph"/>
        <w:numPr>
          <w:ilvl w:val="0"/>
          <w:numId w:val="2"/>
        </w:numPr>
        <w:spacing w:after="100"/>
      </w:pPr>
      <w:r>
        <w:t xml:space="preserve">Membership – Individual — $25</w:t>
      </w:r>
    </w:p>
    <w:p>
      <w:pPr>
        <w:pStyle w:val="ListParagraph"/>
        <w:numPr>
          <w:ilvl w:val="0"/>
          <w:numId w:val="2"/>
        </w:numPr>
        <w:spacing w:after="100"/>
      </w:pPr>
      <w:r>
        <w:t xml:space="preserve">Membership – Non Profit — $150</w:t>
      </w:r>
    </w:p>
    <w:p>
      <w:pPr>
        <w:pStyle w:val="ListParagraph"/>
        <w:numPr>
          <w:ilvl w:val="0"/>
          <w:numId w:val="2"/>
        </w:numPr>
        <w:spacing w:after="100"/>
      </w:pPr>
      <w:r>
        <w:t xml:space="preserve">Membership – Business — $250</w:t>
      </w:r>
    </w:p>
    <w:p>
      <w:pPr>
        <w:pStyle w:val="ListParagraph"/>
        <w:numPr>
          <w:ilvl w:val="0"/>
          <w:numId w:val="2"/>
        </w:numPr>
        <w:spacing w:after="100"/>
      </w:pPr>
      <w:r>
        <w:t xml:space="preserve">Membership – Lifetime — $500</w:t>
      </w:r>
    </w:p>
    <w:p>
      <w:pPr>
        <w:pStyle w:val="ListParagraph"/>
        <w:numPr>
          <w:ilvl w:val="0"/>
          <w:numId w:val="2"/>
        </w:numPr>
        <w:spacing w:after="100"/>
      </w:pPr>
      <w:r>
        <w:t xml:space="preserve">Parties/Events Deposit — $300</w:t>
      </w:r>
    </w:p>
    <w:p>
      <w:pPr>
        <w:pStyle w:val="ListParagraph"/>
        <w:numPr>
          <w:ilvl w:val="0"/>
          <w:numId w:val="2"/>
        </w:numPr>
        <w:spacing w:after="100"/>
      </w:pPr>
      <w:r>
        <w:t xml:space="preserve">Gym or Lawn Rental Fee — $500</w:t>
      </w:r>
    </w:p>
    <w:p>
      <w:pPr>
        <w:pStyle w:val="ListParagraph"/>
        <w:numPr>
          <w:ilvl w:val="0"/>
          <w:numId w:val="2"/>
        </w:numPr>
        <w:spacing w:after="100"/>
      </w:pPr>
      <w:r>
        <w:t xml:space="preserve">Gym and Lawn Rental Fee — $1,000</w:t>
      </w:r>
    </w:p>
    <w:p>
      <w:pPr>
        <w:pStyle w:val="Heading2"/>
        <w:spacing w:after="150" w:before="300"/>
      </w:pPr>
      <w:r>
        <w:t xml:space="preserve">The "WCA Payments" open item</w:t>
      </w:r>
    </w:p>
    <w:p>
      <w:pPr>
        <w:spacing w:after="160"/>
      </w:pPr>
      <w:r>
        <w:t xml:space="preserve">Alongside the fixed items above sits an item also named "WCA Payments," priced as "Pay what you can" — no suggested price, $0.00 minimum. Its own description 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C6B4F" w:sz="12"/>
              <w:left w:val="single" w:color="3C6B4F" w:sz="12"/>
              <w:bottom w:val="single" w:color="CCCCCC" w:sz="4"/>
              <w:right w:val="single" w:color="CCCCCC" w:sz="4"/>
            </w:tcBorders>
            <w:shd w:fill="EFF6F0" w:val="clear"/>
            <w:tcMar>
              <w:top w:type="dxa" w:w="150"/>
              <w:left w:type="dxa" w:w="200"/>
              <w:bottom w:type="dxa" w:w="150"/>
              <w:right w:type="dxa" w:w="200"/>
            </w:tcMar>
          </w:tcPr>
          <w:p>
            <w:pPr>
              <w:spacing w:after="80"/>
            </w:pPr>
            <w:r>
              <w:rPr>
                <w:b/>
                <w:bCs/>
                <w:color w:val="1A5C38"/>
              </w:rPr>
              <w:t xml:space="preserve">Listed item description</w:t>
            </w:r>
          </w:p>
          <w:p>
            <w:r>
              <w:t xml:space="preserve">“Be sure to note what payment is for. Use this for all other Payments not listed below. This includes payments for Puuiki Rentals, Support Kitchen, Monthly Rents etc.”</w:t>
            </w:r>
          </w:p>
        </w:tc>
      </w:tr>
    </w:tbl>
    <w:p>
      <w:pPr>
        <w:spacing w:after="160"/>
      </w:pPr>
      <w:r>
        <w:t xml:space="preserve">This is the item every website instruction refers to for Camping, Pavilion, Hourly Facility Rental, Other Payments, and Pay My Balance — anything without one fixed number.</w:t>
      </w:r>
    </w:p>
    <w:p>
      <w:pPr>
        <w:pStyle w:val="Heading2"/>
        <w:spacing w:after="150" w:before="300"/>
      </w:pPr>
      <w:r>
        <w:t xml:space="preserve">The Purpose and Amount fields</w:t>
      </w:r>
    </w:p>
    <w:p>
      <w:pPr>
        <w:spacing w:after="160"/>
      </w:pPr>
      <w:r>
        <w:t xml:space="preserve">When a payer selects the open WCA Payments item, checkout includes two custom fields — "Purpose of Payment" and "Amount of Payment" — filled in once by the buyer. This is how WCA knows what an open payment was actually for and how much it should be, since the Zeffy line item itself just reads "1× WCA Payments" with no other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C6B4F" w:sz="12"/>
              <w:left w:val="single" w:color="3C6B4F" w:sz="12"/>
              <w:bottom w:val="single" w:color="CCCCCC" w:sz="4"/>
              <w:right w:val="single" w:color="CCCCCC" w:sz="4"/>
            </w:tcBorders>
            <w:shd w:fill="EFF6F0" w:val="clear"/>
            <w:tcMar>
              <w:top w:type="dxa" w:w="150"/>
              <w:left w:type="dxa" w:w="200"/>
              <w:bottom w:type="dxa" w:w="150"/>
              <w:right w:type="dxa" w:w="200"/>
            </w:tcMar>
          </w:tcPr>
          <w:p>
            <w:pPr>
              <w:spacing w:after="80"/>
            </w:pPr>
            <w:r>
              <w:rPr>
                <w:b/>
                <w:bCs/>
                <w:color w:val="1A5C38"/>
              </w:rPr>
              <w:t xml:space="preserve">For reconciliation</w:t>
            </w:r>
          </w:p>
          <w:p>
            <w:r>
              <w:t xml:space="preserve">Always check the Purpose of Payment field when matching an incoming Zeffy payment against an application on file — the amount and item name alone will not say whether a payment was for Camping, Pavilion, an hourly rental, or something else.</w:t>
            </w:r>
          </w:p>
        </w:tc>
      </w:tr>
    </w:tbl>
    <w:p>
      <w:pPr>
        <w:pStyle w:val="Heading2"/>
        <w:spacing w:after="150" w:before="300"/>
      </w:pPr>
      <w:r>
        <w:t xml:space="preserve">Editing an item's price or description</w:t>
      </w:r>
    </w:p>
    <w:p>
      <w:pPr>
        <w:pStyle w:val="ListParagraph"/>
        <w:numPr>
          <w:ilvl w:val="0"/>
          <w:numId w:val="5"/>
        </w:numPr>
        <w:spacing w:after="100"/>
      </w:pPr>
      <w:r>
        <w:t xml:space="preserve">Log into the Zeffy dashboard and open the WCA Payments campaign.</w:t>
      </w:r>
    </w:p>
    <w:p>
      <w:pPr>
        <w:pStyle w:val="ListParagraph"/>
        <w:numPr>
          <w:ilvl w:val="0"/>
          <w:numId w:val="5"/>
        </w:numPr>
        <w:spacing w:after="100"/>
      </w:pPr>
      <w:r>
        <w:t xml:space="preserve">Click Edit (or the equivalent) to enter the campaign editor — this opens a multi-step wizard covering title, dates, location, fundraising target, items/tickets, description, style, banner, logo, attendee questions, donations, discount codes, e-tickets, communications, and advanced settings, in that order.</w:t>
      </w:r>
    </w:p>
    <w:p>
      <w:pPr>
        <w:pStyle w:val="ListParagraph"/>
        <w:numPr>
          <w:ilvl w:val="0"/>
          <w:numId w:val="5"/>
        </w:numPr>
        <w:spacing w:after="100"/>
      </w:pPr>
      <w:r>
        <w:t xml:space="preserve">Step through to the items/tickets section. Each item is its own card — click into the one to change.</w:t>
      </w:r>
    </w:p>
    <w:p>
      <w:pPr>
        <w:pStyle w:val="ListParagraph"/>
        <w:numPr>
          <w:ilvl w:val="0"/>
          <w:numId w:val="5"/>
        </w:numPr>
        <w:spacing w:after="100"/>
      </w:pPr>
      <w:r>
        <w:t xml:space="preserve">Edit the Rate title, Price, or Description field directly.</w:t>
      </w:r>
    </w:p>
    <w:p>
      <w:pPr>
        <w:pStyle w:val="ListParagraph"/>
        <w:numPr>
          <w:ilvl w:val="0"/>
          <w:numId w:val="5"/>
        </w:numPr>
        <w:spacing w:after="100"/>
      </w:pPr>
      <w:r>
        <w:t xml:space="preserve">Continue through the remaining wizard steps (or exit if Zeffy allows saving mid-way) to reach the final confirmation screen.</w:t>
      </w:r>
    </w:p>
    <w:p>
      <w:pPr>
        <w:spacing w:after="160"/>
      </w:pPr>
      <w:r>
        <w:t xml:space="preserve">Changing a price here does NOT change anything on the website — the two are independent. If a fixed price changes (say, the Gym rate), the matching number also needs to be updated in donate-pay.html (see Section 2 for what's affected, Section 3 for how to 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C6B4F" w:sz="12"/>
              <w:left w:val="single" w:color="3C6B4F" w:sz="12"/>
              <w:bottom w:val="single" w:color="CCCCCC" w:sz="4"/>
              <w:right w:val="single" w:color="CCCCCC" w:sz="4"/>
            </w:tcBorders>
            <w:shd w:fill="EFF6F0" w:val="clear"/>
            <w:tcMar>
              <w:top w:type="dxa" w:w="150"/>
              <w:left w:type="dxa" w:w="200"/>
              <w:bottom w:type="dxa" w:w="150"/>
              <w:right w:type="dxa" w:w="200"/>
            </w:tcMar>
          </w:tcPr>
          <w:p>
            <w:pPr>
              <w:spacing w:after="80"/>
            </w:pPr>
            <w:r>
              <w:rPr>
                <w:b/>
                <w:bCs/>
                <w:color w:val="1A5C38"/>
              </w:rPr>
              <w:t xml:space="preserve">Creating an additional campaign</w:t>
            </w:r>
          </w:p>
          <w:p>
            <w:r>
              <w:t xml:space="preserve">The campaign editor wizard shown above (Section 4) also works for building a brand-new campaign from scratch, not just editing WCA Payments or WCA Donations. Two campaigns cover everything WCA currently needs, so there's no reason to add a third unless a genuinely separate fundraising purpose comes up later.</w:t>
            </w:r>
          </w:p>
        </w:tc>
      </w:tr>
    </w:tbl>
    <w:p>
      <w:pPr>
        <w:pStyle w:val="Heading2"/>
        <w:spacing w:after="150" w:before="300"/>
      </w:pPr>
      <w:r>
        <w:t xml:space="preserve">Branding &amp; style already set up</w:t>
      </w:r>
    </w:p>
    <w:p>
      <w:pPr>
        <w:spacing w:after="160"/>
      </w:pPr>
      <w:r>
        <w:t xml:space="preserve">Both campaigns share the same visual identity, set in the wizard's Style, Banner, and Logo steps. If a new campaign is ever created, matching these keeps it consistent:</w:t>
      </w:r>
    </w:p>
    <w:p>
      <w:pPr>
        <w:pStyle w:val="ListParagraph"/>
        <w:numPr>
          <w:ilvl w:val="0"/>
          <w:numId w:val="2"/>
        </w:numPr>
        <w:spacing w:after="100"/>
      </w:pPr>
      <w:r>
        <w:t xml:space="preserve">Title: “WCA Payments” (or “WCA Donations” for the donation form)</w:t>
      </w:r>
    </w:p>
    <w:p>
      <w:pPr>
        <w:pStyle w:val="ListParagraph"/>
        <w:numPr>
          <w:ilvl w:val="0"/>
          <w:numId w:val="2"/>
        </w:numPr>
        <w:spacing w:after="100"/>
      </w:pPr>
      <w:r>
        <w:t xml:space="preserve">Font style: Elegant</w:t>
      </w:r>
    </w:p>
    <w:p>
      <w:pPr>
        <w:pStyle w:val="ListParagraph"/>
        <w:numPr>
          <w:ilvl w:val="0"/>
          <w:numId w:val="2"/>
        </w:numPr>
        <w:spacing w:after="100"/>
      </w:pPr>
      <w:r>
        <w:t xml:space="preserve">Color: custom WCA color (selected via the custom color swatch, not one of the preset colors)</w:t>
      </w:r>
    </w:p>
    <w:p>
      <w:pPr>
        <w:pStyle w:val="ListParagraph"/>
        <w:numPr>
          <w:ilvl w:val="0"/>
          <w:numId w:val="2"/>
        </w:numPr>
        <w:spacing w:after="100"/>
      </w:pPr>
      <w:r>
        <w:t xml:space="preserve">Mode: Light</w:t>
      </w:r>
    </w:p>
    <w:p>
      <w:pPr>
        <w:pStyle w:val="ListParagraph"/>
        <w:numPr>
          <w:ilvl w:val="0"/>
          <w:numId w:val="2"/>
        </w:numPr>
        <w:spacing w:after="100"/>
      </w:pPr>
      <w:r>
        <w:t xml:space="preserve">Background style: Simple</w:t>
      </w:r>
    </w:p>
    <w:p>
      <w:pPr>
        <w:pStyle w:val="ListParagraph"/>
        <w:numPr>
          <w:ilvl w:val="0"/>
          <w:numId w:val="2"/>
        </w:numPr>
        <w:spacing w:after="100"/>
      </w:pPr>
      <w:r>
        <w:t xml:space="preserve">Banner image: the rainbow-over-the-clubhouse photo</w:t>
      </w:r>
    </w:p>
    <w:p>
      <w:pPr>
        <w:pStyle w:val="ListParagraph"/>
        <w:numPr>
          <w:ilvl w:val="0"/>
          <w:numId w:val="2"/>
        </w:numPr>
        <w:spacing w:after="100"/>
      </w:pPr>
      <w:r>
        <w:t xml:space="preserve">Logo: the round WCA seal (“Waialua Community Association · Est. 1934”)</w:t>
      </w:r>
    </w:p>
    <w:p>
      <w:pPr>
        <w:spacing w:after="160"/>
      </w:pPr>
      <w:r>
        <w:t xml:space="preserve">To change any of these on an existing campaign, use the same Edit path described above and step through to the Style, Banner, or Logo screens.</w:t>
      </w:r>
    </w:p>
    <w:p>
      <w:pPr>
        <w:pStyle w:val="Heading2"/>
        <w:spacing w:after="150" w:before="300"/>
      </w:pPr>
      <w:r>
        <w:t xml:space="preserve">Other settings already configured</w:t>
      </w:r>
    </w:p>
    <w:p>
      <w:pPr>
        <w:pStyle w:val="ListParagraph"/>
        <w:numPr>
          <w:ilvl w:val="0"/>
          <w:numId w:val="2"/>
        </w:numPr>
        <w:spacing w:after="100"/>
      </w:pPr>
      <w:r>
        <w:t xml:space="preserve">Automated "Thank you" email: ON, sent following purchase, using WCA's own wording</w:t>
      </w:r>
    </w:p>
    <w:p>
      <w:pPr>
        <w:pStyle w:val="ListParagraph"/>
        <w:numPr>
          <w:ilvl w:val="0"/>
          <w:numId w:val="2"/>
        </w:numPr>
        <w:spacing w:after="100"/>
      </w:pPr>
      <w:r>
        <w:t xml:space="preserve">Timezone: (GMT-10:00) Pacific/Honolulu</w:t>
      </w:r>
    </w:p>
    <w:p>
      <w:pPr>
        <w:pStyle w:val="ListParagraph"/>
        <w:numPr>
          <w:ilvl w:val="0"/>
          <w:numId w:val="2"/>
        </w:numPr>
        <w:spacing w:after="100"/>
      </w:pPr>
      <w:r>
        <w:t xml:space="preserve">Payment by check: OFF</w:t>
      </w:r>
    </w:p>
    <w:p>
      <w:pPr>
        <w:pStyle w:val="ListParagraph"/>
        <w:numPr>
          <w:ilvl w:val="0"/>
          <w:numId w:val="2"/>
        </w:numPr>
        <w:spacing w:after="100"/>
      </w:pPr>
      <w:r>
        <w:t xml:space="preserve">E-tickets: OFF (not used)</w:t>
      </w:r>
    </w:p>
    <w:p>
      <w:r>
        <w:br w:type="page"/>
      </w:r>
    </w:p>
    <w:p>
      <w:pPr>
        <w:pStyle w:val="Heading1"/>
        <w:spacing w:after="200" w:before="400"/>
      </w:pPr>
      <w:r>
        <w:t xml:space="preserve">5. Testing Changes Before They Go Live</w:t>
      </w:r>
    </w:p>
    <w:p>
      <w:pPr>
        <w:pStyle w:val="Heading2"/>
        <w:spacing w:after="150" w:before="300"/>
      </w:pPr>
      <w:r>
        <w:t xml:space="preserve">Hard refresh, not just refresh</w:t>
      </w:r>
    </w:p>
    <w:p>
      <w:pPr>
        <w:spacing w:after="160"/>
      </w:pPr>
      <w:r>
        <w:t xml:space="preserve">Ctrl+Shift+R (Windows) or Cmd+Shift+R (Mac). A normal refresh or reload can show a cached older copy of a page for some time even after GitHub Pages has finished rebuilding with the real change.</w:t>
      </w:r>
    </w:p>
    <w:p>
      <w:pPr>
        <w:pStyle w:val="Heading2"/>
        <w:spacing w:after="150" w:before="300"/>
      </w:pPr>
      <w:r>
        <w:t xml:space="preserve">Local file testing has a real limitation</w:t>
      </w:r>
    </w:p>
    <w:p>
      <w:pPr>
        <w:spacing w:after="160"/>
      </w:pPr>
      <w:r>
        <w:t xml:space="preserve">Opening an HTML file directly by double-clicking it (a file:/// address) is useful for a quick look, but it behaves differently from the live site in one important way: submitting a form still sends a real email through Web3Forms, but the browser can be blocked from reading the confirmation response back, due to browser security rules (CORS) around local files. This can produce a false "there was a problem sending" error even though the email genuinely went through. If something only fails when tested locally, test it again on the real live URL before concluding it's actually broken.</w:t>
      </w:r>
    </w:p>
    <w:p>
      <w:pPr>
        <w:pStyle w:val="Heading2"/>
        <w:spacing w:after="150" w:before="300"/>
      </w:pPr>
      <w:r>
        <w:t xml:space="preserve">Using browser DevTools to check a real error</w:t>
      </w:r>
    </w:p>
    <w:p>
      <w:pPr>
        <w:spacing w:after="160"/>
      </w:pPr>
      <w:r>
        <w:t xml:space="preserve">This is the single most reliable way to find out what's actually happening, rather than guessing.</w:t>
      </w:r>
    </w:p>
    <w:p>
      <w:pPr>
        <w:pStyle w:val="ListParagraph"/>
        <w:numPr>
          <w:ilvl w:val="0"/>
          <w:numId w:val="6"/>
        </w:numPr>
        <w:spacing w:after="100"/>
      </w:pPr>
      <w:r>
        <w:t xml:space="preserve">Right-click anywhere on the live page and choose "Inspect," or press F12 (Windows) / Cmd+Option+I (Mac).</w:t>
      </w:r>
    </w:p>
    <w:p>
      <w:pPr>
        <w:pStyle w:val="ListParagraph"/>
        <w:numPr>
          <w:ilvl w:val="0"/>
          <w:numId w:val="6"/>
        </w:numPr>
        <w:spacing w:after="100"/>
      </w:pPr>
      <w:r>
        <w:t xml:space="preserve">Click the "Network" tab. Trigger the action being tested (submit a form, click a button).</w:t>
      </w:r>
    </w:p>
    <w:p>
      <w:pPr>
        <w:pStyle w:val="ListParagraph"/>
        <w:numPr>
          <w:ilvl w:val="0"/>
          <w:numId w:val="6"/>
        </w:numPr>
        <w:spacing w:after="100"/>
      </w:pPr>
      <w:r>
        <w:t xml:space="preserve">Look for a row named "submit" with Type "fetch." Click it, then click "Response" — this shows the exact data Web3Forms actually sent back. A status of 200 and "success": true means the submission genuinely worked, regardless of what the page displayed.</w:t>
      </w:r>
    </w:p>
    <w:p>
      <w:pPr>
        <w:pStyle w:val="ListParagraph"/>
        <w:numPr>
          <w:ilvl w:val="0"/>
          <w:numId w:val="6"/>
        </w:numPr>
        <w:spacing w:after="100"/>
      </w:pPr>
      <w:r>
        <w:t xml:space="preserve">If something still looks wrong after confirming the submission succeeded, click the "Console" tab instead and repeat the action — any JavaScript error will appear there in red, naming the exact line that failed.</w:t>
      </w:r>
    </w:p>
    <w:p>
      <w:pPr>
        <w:spacing w:after="160"/>
      </w:pPr>
      <w:r>
        <w:t xml:space="preserve">This exact method — checking the real Network response, then the Console for any JavaScript error after a confirmed success — found and correctly diagnosed every real bug encountered while building this system, including cases where the error message shown on screen was actively misleading.</w:t>
      </w:r>
    </w:p>
    <w:p>
      <w:r>
        <w:br w:type="page"/>
      </w:r>
    </w:p>
    <w:p>
      <w:pPr>
        <w:pStyle w:val="Heading1"/>
        <w:spacing w:after="200" w:before="400"/>
      </w:pPr>
      <w:r>
        <w:t xml:space="preserve">6. Troubleshooting</w:t>
      </w:r>
    </w:p>
    <w:p>
      <w:pPr>
        <w:pStyle w:val="Heading2"/>
        <w:spacing w:after="150" w:before="300"/>
      </w:pPr>
      <w:r>
        <w:t xml:space="preserve">Payment button still shows PayPal instead of Zeffy</w:t>
      </w:r>
    </w:p>
    <w:p>
      <w:pPr>
        <w:spacing w:after="160"/>
      </w:pPr>
      <w:r>
        <w:t xml:space="preserve">Almost always a stale cached page. Hard refresh first. If that doesn't fix it, confirm the correct standard-named file (Section 3) was actually the one uploaded — check the file's "last updated" info in the repo.</w:t>
      </w:r>
    </w:p>
    <w:p>
      <w:pPr>
        <w:pStyle w:val="Heading2"/>
        <w:spacing w:after="150" w:before="300"/>
      </w:pPr>
      <w:r>
        <w:t xml:space="preserve">"There was a problem sending" appears, but the email arrived anyway</w:t>
      </w:r>
    </w:p>
    <w:p>
      <w:pPr>
        <w:spacing w:after="160"/>
      </w:pPr>
      <w:r>
        <w:t xml:space="preserve">Check via DevTools (Section 5) whether the Network response actually says success. If it does, the real problem is a JavaScript error running after a successful send — check the Console tab for the exact error rather than guessing.</w:t>
      </w:r>
    </w:p>
    <w:p>
      <w:pPr>
        <w:pStyle w:val="Heading2"/>
        <w:spacing w:after="150" w:before="300"/>
      </w:pPr>
      <w:r>
        <w:t xml:space="preserve">An image or PDF won't display (404 error)</w:t>
      </w:r>
    </w:p>
    <w:p>
      <w:pPr>
        <w:spacing w:after="160"/>
      </w:pPr>
      <w:r>
        <w:t xml:space="preserve">Check the exact filename and folder match, including capitalization — GitHub Pages is case-sensitive. Confirm the file was actually committed, not just added to an upload box and left uncommitted. Allow a minute or two for GitHub Pages to rebuild, then hard refresh.</w:t>
      </w:r>
    </w:p>
    <w:p>
      <w:pPr>
        <w:pStyle w:val="Heading2"/>
        <w:spacing w:after="150" w:before="300"/>
      </w:pPr>
      <w:r>
        <w:t xml:space="preserve">Can't find the search box in GitHub's editor</w:t>
      </w:r>
    </w:p>
    <w:p>
      <w:pPr>
        <w:spacing w:after="160"/>
      </w:pPr>
      <w:r>
        <w:t xml:space="preserve">Click directly inside the visible code first so the editor has focus, then Ctrl+F / Cmd+F. If it still won't appear, fall back to plain file view (not editing) and use the browser's own Ctrl+F there.</w:t>
      </w:r>
    </w:p>
    <w:p>
      <w:pPr>
        <w:pStyle w:val="Heading2"/>
        <w:spacing w:after="150" w:before="300"/>
      </w:pPr>
      <w:r>
        <w:t xml:space="preserve">Can't find a delete (trash) icon</w:t>
      </w:r>
    </w:p>
    <w:p>
      <w:pPr>
        <w:spacing w:after="160"/>
      </w:pPr>
      <w:r>
        <w:t xml:space="preserve">Use the direct link instead: github.com/wca66434-art/puuiki-forms/delete/main/FILENAME</w:t>
      </w:r>
    </w:p>
    <w:p>
      <w:pPr>
        <w:pStyle w:val="Heading2"/>
        <w:spacing w:after="150" w:before="300"/>
      </w:pPr>
      <w:r>
        <w:t xml:space="preserve">Uncertain which file is actually live on the website</w:t>
      </w:r>
    </w:p>
    <w:p>
      <w:pPr>
        <w:spacing w:after="160"/>
      </w:pPr>
      <w:r>
        <w:t xml:space="preserve">Check the Wix embed/iframe settings for the exact URL it points to — that's the definitive answer, more reliable than guessing from the repo's file list alone.</w:t>
      </w:r>
    </w:p>
    <w:p>
      <w:pPr>
        <w:pStyle w:val="Heading2"/>
        <w:spacing w:after="150" w:before="300"/>
      </w:pPr>
      <w:r>
        <w:t xml:space="preserve">A payment amount looks wrong (e.g., deposit and fee not adding up as expected)</w:t>
      </w:r>
    </w:p>
    <w:p>
      <w:pPr>
        <w:spacing w:after="160"/>
      </w:pPr>
      <w:r>
        <w:t xml:space="preserve">Before changing any pricing logic or wording, confirm the actual intended rule directly rather than inferring it from the code — a wrong assumption here was the source of a real, if brief, pricing bug earlier in this project.</w:t>
      </w:r>
    </w:p>
    <w:p>
      <w:r>
        <w:br w:type="page"/>
      </w:r>
    </w:p>
    <w:p>
      <w:pPr>
        <w:pStyle w:val="Heading1"/>
        <w:spacing w:after="200" w:before="400"/>
      </w:pPr>
      <w:r>
        <w:t xml:space="preserve">7.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pct" w:w="50%"/>
            <w:shd w:fill="3C6B4F" w:val="clear"/>
            <w:tcMar>
              <w:top w:type="dxa" w:w="100"/>
              <w:left w:type="dxa" w:w="120"/>
              <w:bottom w:type="dxa" w:w="100"/>
              <w:right w:type="dxa" w:w="120"/>
            </w:tcMar>
          </w:tcPr>
          <w:p>
            <w:r>
              <w:rPr>
                <w:b/>
                <w:bCs/>
                <w:color w:val="FFFFFF"/>
                <w:sz w:val="20"/>
                <w:szCs w:val="20"/>
              </w:rPr>
              <w:t xml:space="preserve">Item</w:t>
            </w:r>
          </w:p>
        </w:tc>
        <w:tc>
          <w:tcPr>
            <w:tcW w:type="pct" w:w="50%"/>
            <w:shd w:fill="3C6B4F" w:val="clear"/>
            <w:tcMar>
              <w:top w:type="dxa" w:w="100"/>
              <w:left w:type="dxa" w:w="120"/>
              <w:bottom w:type="dxa" w:w="100"/>
              <w:right w:type="dxa" w:w="120"/>
            </w:tcMar>
          </w:tcPr>
          <w:p>
            <w:r>
              <w:rPr>
                <w:b/>
                <w:bCs/>
                <w:color w:val="FFFFFF"/>
                <w:sz w:val="20"/>
                <w:szCs w:val="20"/>
              </w:rPr>
              <w:t xml:space="preserve">Value</w:t>
            </w:r>
          </w:p>
        </w:tc>
      </w:tr>
      <w:tr>
        <w:tc>
          <w:tcPr>
            <w:tcW w:type="pct" w:w="50%"/>
            <w:tcMar>
              <w:top w:type="dxa" w:w="100"/>
              <w:left w:type="dxa" w:w="120"/>
              <w:bottom w:type="dxa" w:w="100"/>
              <w:right w:type="dxa" w:w="120"/>
            </w:tcMar>
          </w:tcPr>
          <w:p>
            <w:r>
              <w:rPr>
                <w:b w:val="false"/>
                <w:bCs w:val="false"/>
                <w:color w:val="000000"/>
                <w:sz w:val="20"/>
                <w:szCs w:val="20"/>
              </w:rPr>
              <w:t xml:space="preserve">GitHub repository</w:t>
            </w:r>
          </w:p>
        </w:tc>
        <w:tc>
          <w:tcPr>
            <w:tcW w:type="pct" w:w="50%"/>
            <w:tcMar>
              <w:top w:type="dxa" w:w="100"/>
              <w:left w:type="dxa" w:w="120"/>
              <w:bottom w:type="dxa" w:w="100"/>
              <w:right w:type="dxa" w:w="120"/>
            </w:tcMar>
          </w:tcPr>
          <w:p>
            <w:r>
              <w:rPr>
                <w:b w:val="false"/>
                <w:bCs w:val="false"/>
                <w:color w:val="000000"/>
                <w:sz w:val="20"/>
                <w:szCs w:val="20"/>
              </w:rPr>
              <w:t xml:space="preserve">github.com/wca66434-art/puuiki-forms</w:t>
            </w:r>
          </w:p>
        </w:tc>
      </w:tr>
      <w:tr>
        <w:tc>
          <w:tcPr>
            <w:tcW w:type="pct" w:w="50%"/>
            <w:tcMar>
              <w:top w:type="dxa" w:w="100"/>
              <w:left w:type="dxa" w:w="120"/>
              <w:bottom w:type="dxa" w:w="100"/>
              <w:right w:type="dxa" w:w="120"/>
            </w:tcMar>
          </w:tcPr>
          <w:p>
            <w:r>
              <w:rPr>
                <w:b w:val="false"/>
                <w:bCs w:val="false"/>
                <w:color w:val="000000"/>
                <w:sz w:val="20"/>
                <w:szCs w:val="20"/>
              </w:rPr>
              <w:t xml:space="preserve">Live website base URL</w:t>
            </w:r>
          </w:p>
        </w:tc>
        <w:tc>
          <w:tcPr>
            <w:tcW w:type="pct" w:w="50%"/>
            <w:tcMar>
              <w:top w:type="dxa" w:w="100"/>
              <w:left w:type="dxa" w:w="120"/>
              <w:bottom w:type="dxa" w:w="100"/>
              <w:right w:type="dxa" w:w="120"/>
            </w:tcMar>
          </w:tcPr>
          <w:p>
            <w:r>
              <w:rPr>
                <w:b w:val="false"/>
                <w:bCs w:val="false"/>
                <w:color w:val="000000"/>
                <w:sz w:val="20"/>
                <w:szCs w:val="20"/>
              </w:rPr>
              <w:t xml:space="preserve">wca66434-art.github.io/puuiki-forms/</w:t>
            </w:r>
          </w:p>
        </w:tc>
      </w:tr>
      <w:tr>
        <w:tc>
          <w:tcPr>
            <w:tcW w:type="pct" w:w="50%"/>
            <w:tcMar>
              <w:top w:type="dxa" w:w="100"/>
              <w:left w:type="dxa" w:w="120"/>
              <w:bottom w:type="dxa" w:w="100"/>
              <w:right w:type="dxa" w:w="120"/>
            </w:tcMar>
          </w:tcPr>
          <w:p>
            <w:r>
              <w:rPr>
                <w:b w:val="false"/>
                <w:bCs w:val="false"/>
                <w:color w:val="000000"/>
                <w:sz w:val="20"/>
                <w:szCs w:val="20"/>
              </w:rPr>
              <w:t xml:space="preserve">Standard filenames</w:t>
            </w:r>
          </w:p>
        </w:tc>
        <w:tc>
          <w:tcPr>
            <w:tcW w:type="pct" w:w="50%"/>
            <w:tcMar>
              <w:top w:type="dxa" w:w="100"/>
              <w:left w:type="dxa" w:w="120"/>
              <w:bottom w:type="dxa" w:w="100"/>
              <w:right w:type="dxa" w:w="120"/>
            </w:tcMar>
          </w:tcPr>
          <w:p>
            <w:r>
              <w:rPr>
                <w:b w:val="false"/>
                <w:bCs w:val="false"/>
                <w:color w:val="000000"/>
                <w:sz w:val="20"/>
                <w:szCs w:val="20"/>
              </w:rPr>
              <w:t xml:space="preserve">donate-pay.html · camping-rental.html · pavilion-rental.html</w:t>
            </w:r>
          </w:p>
        </w:tc>
      </w:tr>
      <w:tr>
        <w:tc>
          <w:tcPr>
            <w:tcW w:type="pct" w:w="50%"/>
            <w:tcMar>
              <w:top w:type="dxa" w:w="100"/>
              <w:left w:type="dxa" w:w="120"/>
              <w:bottom w:type="dxa" w:w="100"/>
              <w:right w:type="dxa" w:w="120"/>
            </w:tcMar>
          </w:tcPr>
          <w:p>
            <w:r>
              <w:rPr>
                <w:b w:val="false"/>
                <w:bCs w:val="false"/>
                <w:color w:val="000000"/>
                <w:sz w:val="20"/>
                <w:szCs w:val="20"/>
              </w:rPr>
              <w:t xml:space="preserve">Web3Forms destination email</w:t>
            </w:r>
          </w:p>
        </w:tc>
        <w:tc>
          <w:tcPr>
            <w:tcW w:type="pct" w:w="50%"/>
            <w:tcMar>
              <w:top w:type="dxa" w:w="100"/>
              <w:left w:type="dxa" w:w="120"/>
              <w:bottom w:type="dxa" w:w="100"/>
              <w:right w:type="dxa" w:w="120"/>
            </w:tcMar>
          </w:tcPr>
          <w:p>
            <w:r>
              <w:rPr>
                <w:b w:val="false"/>
                <w:bCs w:val="false"/>
                <w:color w:val="000000"/>
                <w:sz w:val="20"/>
                <w:szCs w:val="20"/>
              </w:rPr>
              <w:t xml:space="preserve">wca66434@gmail.com</w:t>
            </w:r>
          </w:p>
        </w:tc>
      </w:tr>
      <w:tr>
        <w:tc>
          <w:tcPr>
            <w:tcW w:type="pct" w:w="50%"/>
            <w:tcMar>
              <w:top w:type="dxa" w:w="100"/>
              <w:left w:type="dxa" w:w="120"/>
              <w:bottom w:type="dxa" w:w="100"/>
              <w:right w:type="dxa" w:w="120"/>
            </w:tcMar>
          </w:tcPr>
          <w:p>
            <w:r>
              <w:rPr>
                <w:b w:val="false"/>
                <w:bCs w:val="false"/>
                <w:color w:val="000000"/>
                <w:sz w:val="20"/>
                <w:szCs w:val="20"/>
              </w:rPr>
              <w:t xml:space="preserve">Web3Forms free tier limit</w:t>
            </w:r>
          </w:p>
        </w:tc>
        <w:tc>
          <w:tcPr>
            <w:tcW w:type="pct" w:w="50%"/>
            <w:tcMar>
              <w:top w:type="dxa" w:w="100"/>
              <w:left w:type="dxa" w:w="120"/>
              <w:bottom w:type="dxa" w:w="100"/>
              <w:right w:type="dxa" w:w="120"/>
            </w:tcMar>
          </w:tcPr>
          <w:p>
            <w:r>
              <w:rPr>
                <w:b w:val="false"/>
                <w:bCs w:val="false"/>
                <w:color w:val="000000"/>
                <w:sz w:val="20"/>
                <w:szCs w:val="20"/>
              </w:rPr>
              <w:t xml:space="preserve">250 submissions / month — worth monitoring as usage grows</w:t>
            </w:r>
          </w:p>
        </w:tc>
      </w:tr>
      <w:tr>
        <w:tc>
          <w:tcPr>
            <w:tcW w:type="pct" w:w="50%"/>
            <w:tcMar>
              <w:top w:type="dxa" w:w="100"/>
              <w:left w:type="dxa" w:w="120"/>
              <w:bottom w:type="dxa" w:w="100"/>
              <w:right w:type="dxa" w:w="120"/>
            </w:tcMar>
          </w:tcPr>
          <w:p>
            <w:r>
              <w:rPr>
                <w:b w:val="false"/>
                <w:bCs w:val="false"/>
                <w:color w:val="000000"/>
                <w:sz w:val="20"/>
                <w:szCs w:val="20"/>
              </w:rPr>
              <w:t xml:space="preserve">Zeffy — general portal</w:t>
            </w:r>
          </w:p>
        </w:tc>
        <w:tc>
          <w:tcPr>
            <w:tcW w:type="pct" w:w="50%"/>
            <w:tcMar>
              <w:top w:type="dxa" w:w="100"/>
              <w:left w:type="dxa" w:w="120"/>
              <w:bottom w:type="dxa" w:w="100"/>
              <w:right w:type="dxa" w:w="120"/>
            </w:tcMar>
          </w:tcPr>
          <w:p>
            <w:r>
              <w:rPr>
                <w:b w:val="false"/>
                <w:bCs w:val="false"/>
                <w:color w:val="000000"/>
                <w:sz w:val="20"/>
                <w:szCs w:val="20"/>
              </w:rPr>
              <w:t xml:space="preserve">WCA Payments campaign</w:t>
            </w:r>
          </w:p>
        </w:tc>
      </w:tr>
      <w:tr>
        <w:tc>
          <w:tcPr>
            <w:tcW w:type="pct" w:w="50%"/>
            <w:tcMar>
              <w:top w:type="dxa" w:w="100"/>
              <w:left w:type="dxa" w:w="120"/>
              <w:bottom w:type="dxa" w:w="100"/>
              <w:right w:type="dxa" w:w="120"/>
            </w:tcMar>
          </w:tcPr>
          <w:p>
            <w:r>
              <w:rPr>
                <w:b w:val="false"/>
                <w:bCs w:val="false"/>
                <w:color w:val="000000"/>
                <w:sz w:val="20"/>
                <w:szCs w:val="20"/>
              </w:rPr>
              <w:t xml:space="preserve">Zeffy — donations</w:t>
            </w:r>
          </w:p>
        </w:tc>
        <w:tc>
          <w:tcPr>
            <w:tcW w:type="pct" w:w="50%"/>
            <w:tcMar>
              <w:top w:type="dxa" w:w="100"/>
              <w:left w:type="dxa" w:w="120"/>
              <w:bottom w:type="dxa" w:w="100"/>
              <w:right w:type="dxa" w:w="120"/>
            </w:tcMar>
          </w:tcPr>
          <w:p>
            <w:r>
              <w:rPr>
                <w:b w:val="false"/>
                <w:bCs w:val="false"/>
                <w:color w:val="000000"/>
                <w:sz w:val="20"/>
                <w:szCs w:val="20"/>
              </w:rPr>
              <w:t xml:space="preserve">WCA Donations campaign (separate, dedicated)</w:t>
            </w:r>
          </w:p>
        </w:tc>
      </w:tr>
      <w:tr>
        <w:tc>
          <w:tcPr>
            <w:tcW w:type="pct" w:w="50%"/>
            <w:tcMar>
              <w:top w:type="dxa" w:w="100"/>
              <w:left w:type="dxa" w:w="120"/>
              <w:bottom w:type="dxa" w:w="100"/>
              <w:right w:type="dxa" w:w="120"/>
            </w:tcMar>
          </w:tcPr>
          <w:p>
            <w:r>
              <w:rPr>
                <w:b w:val="false"/>
                <w:bCs w:val="false"/>
                <w:color w:val="000000"/>
                <w:sz w:val="20"/>
                <w:szCs w:val="20"/>
              </w:rPr>
              <w:t xml:space="preserve">WCA office</w:t>
            </w:r>
          </w:p>
        </w:tc>
        <w:tc>
          <w:tcPr>
            <w:tcW w:type="pct" w:w="50%"/>
            <w:tcMar>
              <w:top w:type="dxa" w:w="100"/>
              <w:left w:type="dxa" w:w="120"/>
              <w:bottom w:type="dxa" w:w="100"/>
              <w:right w:type="dxa" w:w="120"/>
            </w:tcMar>
          </w:tcPr>
          <w:p>
            <w:r>
              <w:rPr>
                <w:b w:val="false"/>
                <w:bCs w:val="false"/>
                <w:color w:val="000000"/>
                <w:sz w:val="20"/>
                <w:szCs w:val="20"/>
              </w:rPr>
              <w:t xml:space="preserve">66-434 Kamehameha Hwy, Haleiwa, HI 96712</w:t>
            </w:r>
          </w:p>
        </w:tc>
      </w:tr>
      <w:tr>
        <w:tc>
          <w:tcPr>
            <w:tcW w:type="pct" w:w="50%"/>
            <w:tcMar>
              <w:top w:type="dxa" w:w="100"/>
              <w:left w:type="dxa" w:w="120"/>
              <w:bottom w:type="dxa" w:w="100"/>
              <w:right w:type="dxa" w:w="120"/>
            </w:tcMar>
          </w:tcPr>
          <w:p>
            <w:r>
              <w:rPr>
                <w:b w:val="false"/>
                <w:bCs w:val="false"/>
                <w:color w:val="000000"/>
                <w:sz w:val="20"/>
                <w:szCs w:val="20"/>
              </w:rPr>
              <w:t xml:space="preserve">WCA phone</w:t>
            </w:r>
          </w:p>
        </w:tc>
        <w:tc>
          <w:tcPr>
            <w:tcW w:type="pct" w:w="50%"/>
            <w:tcMar>
              <w:top w:type="dxa" w:w="100"/>
              <w:left w:type="dxa" w:w="120"/>
              <w:bottom w:type="dxa" w:w="100"/>
              <w:right w:type="dxa" w:w="120"/>
            </w:tcMar>
          </w:tcPr>
          <w:p>
            <w:r>
              <w:rPr>
                <w:b w:val="false"/>
                <w:bCs w:val="false"/>
                <w:color w:val="000000"/>
                <w:sz w:val="20"/>
                <w:szCs w:val="20"/>
              </w:rPr>
              <w:t xml:space="preserve">(808) 637-4606</w:t>
            </w:r>
          </w:p>
        </w:tc>
      </w:tr>
      <w:tr>
        <w:tc>
          <w:tcPr>
            <w:tcW w:type="pct" w:w="50%"/>
            <w:tcMar>
              <w:top w:type="dxa" w:w="100"/>
              <w:left w:type="dxa" w:w="120"/>
              <w:bottom w:type="dxa" w:w="100"/>
              <w:right w:type="dxa" w:w="120"/>
            </w:tcMar>
          </w:tcPr>
          <w:p>
            <w:r>
              <w:rPr>
                <w:b w:val="false"/>
                <w:bCs w:val="false"/>
                <w:color w:val="000000"/>
                <w:sz w:val="20"/>
                <w:szCs w:val="20"/>
              </w:rPr>
              <w:t xml:space="preserve">WCA email</w:t>
            </w:r>
          </w:p>
        </w:tc>
        <w:tc>
          <w:tcPr>
            <w:tcW w:type="pct" w:w="50%"/>
            <w:tcMar>
              <w:top w:type="dxa" w:w="100"/>
              <w:left w:type="dxa" w:w="120"/>
              <w:bottom w:type="dxa" w:w="100"/>
              <w:right w:type="dxa" w:w="120"/>
            </w:tcMar>
          </w:tcPr>
          <w:p>
            <w:r>
              <w:rPr>
                <w:b w:val="false"/>
                <w:bCs w:val="false"/>
                <w:color w:val="000000"/>
                <w:sz w:val="20"/>
                <w:szCs w:val="20"/>
              </w:rPr>
              <w:t xml:space="preserve">wca66434@gmail.com</w:t>
            </w:r>
          </w:p>
        </w:tc>
      </w:tr>
    </w:tbl>
    <w:p>
      <w:pPr>
        <w:spacing w:after="400"/>
      </w:pPr>
    </w:p>
    <w:p>
      <w:pPr>
        <w:spacing w:after="160"/>
      </w:pPr>
      <w:r>
        <w:rPr>
          <w:i/>
          <w:iCs/>
          <w:color w:val="5A5A5A"/>
        </w:rPr>
        <w:t xml:space="preserve">This guide reflects the system as built and tested through today's work. When a price, deadline, or policy changes, update it in both the relevant HTML file (Section 3) and in this guide's Section 2, so the two never drift apart.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C6B4F" w:sz="6" w:space="4"/>
      </w:pBdr>
      <w:spacing w:after="200" w:before="400"/>
    </w:pPr>
    <w:rPr>
      <w:rFonts w:ascii="Calibri" w:cs="Calibri" w:eastAsia="Calibri" w:hAnsi="Calibri"/>
      <w:b/>
      <w:bCs/>
      <w:color w:val="1A5C38"/>
      <w:sz w:val="30"/>
      <w:szCs w:val="30"/>
    </w:rPr>
  </w:style>
  <w:style w:type="paragraph" w:styleId="Heading2">
    <w:name w:val="Heading 2"/>
    <w:basedOn w:val="Normal"/>
    <w:next w:val="Normal"/>
    <w:qFormat/>
    <w:pPr>
      <w:spacing w:after="150" w:before="300"/>
    </w:pPr>
    <w:rPr>
      <w:rFonts w:ascii="Calibri" w:cs="Calibri" w:eastAsia="Calibri" w:hAnsi="Calibri"/>
      <w:b/>
      <w:bCs/>
      <w:color w:val="3C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2026-08-31T04:46:28.489Z</dcterms:created>
  <dcterms:modified xsi:type="dcterms:W3CDTF">2026-08-31T04:46:28.490Z</dcterms:modified>
</cp:coreProperties>
</file>

<file path=docProps/custom.xml><?xml version="1.0" encoding="utf-8"?>
<Properties xmlns="http://schemas.openxmlformats.org/officeDocument/2006/custom-properties" xmlns:vt="http://schemas.openxmlformats.org/officeDocument/2006/docPropsVTypes"/>
</file>