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Guía del Facilitador · Sesión 4</w:t>
      </w:r>
    </w:p>
    <w:p>
      <w:pPr>
        <w:spacing w:after="360"/>
        <w:jc w:val="center"/>
      </w:pPr>
      <w:r>
        <w:rPr>
          <w:rFonts w:ascii="Calibri" w:cs="Calibri" w:eastAsia="Calibri" w:hAnsi="Calibri"/>
          <w:color w:val="595959"/>
          <w:sz w:val="24"/>
          <w:szCs w:val="24"/>
        </w:rPr>
        <w:t xml:space="preserve">Taller "Instalar IA en el equipo: proceso, Definition of Done y Operating Rhythm" · Programa Mallplaza · CONFIDENCIAL</w:t>
      </w:r>
    </w:p>
    <w:p>
      <w:pPr>
        <w:spacing w:after="300" w:line="276"/>
        <w:jc w:val="both"/>
      </w:pPr>
      <w:r>
        <w:rPr>
          <w:rFonts w:ascii="Calibri" w:cs="Calibri" w:eastAsia="Calibri" w:hAnsi="Calibri"/>
          <w:b/>
          <w:bCs/>
          <w:i w:val="false"/>
          <w:iCs w:val="false"/>
          <w:sz w:val="20"/>
          <w:szCs w:val="20"/>
        </w:rPr>
        <w:t xml:space="preserve">DOCUMENTO CONFIDENCIAL DEL FACILITADOR. No distribuir a los participantes. Contiene la rúbrica de evaluación, los desafíos plantados en la transcripción de prueba y los errores esperables del taller.</w:t>
      </w:r>
    </w:p>
    <w:p>
      <w:pPr>
        <w:pStyle w:val="Heading1"/>
        <w:spacing w:after="200" w:before="320"/>
      </w:pPr>
      <w:r>
        <w:rPr>
          <w:rFonts w:ascii="Calibri" w:cs="Calibri" w:eastAsia="Calibri" w:hAnsi="Calibri"/>
          <w:b/>
          <w:bCs/>
          <w:color w:val="1F3864"/>
          <w:sz w:val="30"/>
          <w:szCs w:val="30"/>
        </w:rPr>
        <w:t xml:space="preserve">1. Objetivo del ejercicio</w:t>
      </w:r>
    </w:p>
    <w:p>
      <w:pPr>
        <w:spacing w:after="160" w:line="276"/>
        <w:jc w:val="both"/>
      </w:pPr>
      <w:r>
        <w:rPr>
          <w:rFonts w:ascii="Calibri" w:cs="Calibri" w:eastAsia="Calibri" w:hAnsi="Calibri"/>
          <w:b w:val="false"/>
          <w:bCs w:val="false"/>
          <w:i w:val="false"/>
          <w:iCs w:val="false"/>
          <w:sz w:val="22"/>
          <w:szCs w:val="22"/>
        </w:rPr>
        <w:t xml:space="preserve">Que cada equipo pase de "yo uso IA" a "mi equipo opera con IA" construyendo, en una sesión, el sistema mínimo completo: un proceso real rediseñado, una Definition of Done escrita en criterios verificables, una Gema operativa que la lleva embebida, un repositorio de equipo en NotebookLM y un Operating Rhythm que define cuándo se usa, quién valida y qué se mide.</w:t>
      </w:r>
    </w:p>
    <w:p>
      <w:pPr>
        <w:spacing w:after="160" w:line="276"/>
        <w:jc w:val="both"/>
      </w:pPr>
      <w:r>
        <w:rPr>
          <w:rFonts w:ascii="Calibri" w:cs="Calibri" w:eastAsia="Calibri" w:hAnsi="Calibri"/>
          <w:b w:val="false"/>
          <w:bCs w:val="false"/>
          <w:i w:val="false"/>
          <w:iCs w:val="false"/>
          <w:sz w:val="22"/>
          <w:szCs w:val="22"/>
        </w:rPr>
        <w:t xml:space="preserve">La tesis que el ejercicio demuestra en la práctica: instalar IA no es repartir accesos, es un trabajo de diseño. Y la habilidad diferencial es escribir criterios de aceptación que un tercero pueda aplicar sin preguntar nada.</w:t>
      </w:r>
    </w:p>
    <w:p>
      <w:pPr>
        <w:pStyle w:val="Heading1"/>
        <w:spacing w:after="200" w:before="320"/>
      </w:pPr>
      <w:r>
        <w:rPr>
          <w:rFonts w:ascii="Calibri" w:cs="Calibri" w:eastAsia="Calibri" w:hAnsi="Calibri"/>
          <w:b/>
          <w:bCs/>
          <w:color w:val="1F3864"/>
          <w:sz w:val="30"/>
          <w:szCs w:val="30"/>
        </w:rPr>
        <w:t xml:space="preserve">2.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Material</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Uso</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Doc F · Cuaderno de Trabajo del Equipo</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Una copia por grupo; guía las 6 fases con plantillas</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Doc G1 · Formato estándar de minuta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Fuente 1 del repositorio NotebookLM</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Doc G2 · Política de reuniones y minutas</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Fuente 2 del repositorio NotebookLM</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Doc G3 · Ejemplo de minuta publicable</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Fuente 3 del repositorio NotebookLM</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Doc H · Transcripción de prueba (simula Granola)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Input de la prueba de fuego de la Fase 5</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Los grupos que traigan sus propios documentos maestros (formato de reporte, política interna, ejemplo bueno) pueden usarlos en lugar del set G; en ese caso la prueba de fuego se hace con un input real de su proceso. El set G garantiza que ningún grupo se quede bloqueado por falta de material.</w:t>
      </w:r>
    </w:p>
    <w:p>
      <w:pPr>
        <w:pStyle w:val="Heading1"/>
        <w:spacing w:after="200" w:before="320"/>
      </w:pPr>
      <w:r>
        <w:rPr>
          <w:rFonts w:ascii="Calibri" w:cs="Calibri" w:eastAsia="Calibri" w:hAnsi="Calibri"/>
          <w:b/>
          <w:bCs/>
          <w:color w:val="1F3864"/>
          <w:sz w:val="30"/>
          <w:szCs w:val="30"/>
        </w:rPr>
        <w:t xml:space="preserve">3. Estructura y tiempos (75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Fase</w:t>
            </w:r>
          </w:p>
        </w:tc>
        <w:tc>
          <w:tcPr>
            <w:tcW w:type="dxa" w:w="30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Contenido</w:t>
            </w:r>
          </w:p>
        </w:tc>
        <w:tc>
          <w:tcPr>
            <w:tcW w:type="dxa" w:w="2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Tiempo</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 Elegir y mapear</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Proceso semanal real, descompuesto en 4 a 7 pasos</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 min</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 · Clasificar</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Cada paso: agente, asistente o aplicativo, con justificación</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 min</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 · Definition of Done</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Criterios de aceptación binarios y verificables</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 min</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 · Construir el sistema</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Gema con DoD embebida + repositorio en NotebookLM</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 min</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 · Prueba de fuego cruzada</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El grupo vecino evalúa el output solo contra la DoD</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 min</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 · Operating Rhythm y medición</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Cuándo se usa, quién valida, qué se mide</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 min</w:t>
            </w:r>
          </w:p>
        </w:tc>
      </w:tr>
    </w:tbl>
    <w:p>
      <w:pPr>
        <w:pStyle w:val="Heading1"/>
        <w:spacing w:after="200" w:before="320"/>
      </w:pPr>
      <w:r>
        <w:rPr>
          <w:rFonts w:ascii="Calibri" w:cs="Calibri" w:eastAsia="Calibri" w:hAnsi="Calibri"/>
          <w:b/>
          <w:bCs/>
          <w:color w:val="1F3864"/>
          <w:sz w:val="30"/>
          <w:szCs w:val="30"/>
        </w:rPr>
        <w:t xml:space="preserve">4. Rúbrica: qué es una Definition of Done bien escrita</w:t>
      </w:r>
    </w:p>
    <w:p>
      <w:pPr>
        <w:spacing w:after="160" w:line="276"/>
        <w:jc w:val="both"/>
      </w:pPr>
      <w:r>
        <w:rPr>
          <w:rFonts w:ascii="Calibri" w:cs="Calibri" w:eastAsia="Calibri" w:hAnsi="Calibri"/>
          <w:b w:val="false"/>
          <w:bCs w:val="false"/>
          <w:i w:val="false"/>
          <w:iCs w:val="false"/>
          <w:sz w:val="22"/>
          <w:szCs w:val="22"/>
        </w:rPr>
        <w:t xml:space="preserve">El estándar es uno solo: cada criterio debe poder responderse con sí o no por una persona que no participó en su redacción, sin hacer preguntas. Aplique esta rúbrica en la Fase 5 y en la puesta en común: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Dimensión</w:t>
            </w:r>
          </w:p>
        </w:tc>
        <w:tc>
          <w:tcPr>
            <w:tcW w:type="dxa" w:w="30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Bien escrita</w:t>
            </w:r>
          </w:p>
        </w:tc>
        <w:tc>
          <w:tcPr>
            <w:tcW w:type="dxa" w:w="2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Mal escrita (señal de alerta)</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Verificabilidad</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"Todo acuerdo tiene responsable con cargo y fecha"</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"Los acuerdos quedan claros"</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Medibilidad</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"Extensión máxima 1 página"</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 concisa"</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Anclaje a fuente</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"Toda cifra indica su origen"</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 información es confiable"</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Formato</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"Contiene las 4 secciones del formato estándar en orden"</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"Sigue el formato"</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Cumplimiento de política</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 incluye datos comerciales de tenants individuales"</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"Respeta la confidencialidad"</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Manejo de vacíos</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 que no pudo verificarse aparece en la sección Alertas"</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(ausente: el caso no está previsto)</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Regla de oro para la Fase 5: si el grupo evaluador responde "no puedo decidir" en algún criterio, el criterio está mal escrito y el grupo autor debe reescribirlo en la misma sesión. "No puedo decidir" no es un fracaso: es el hallazgo más valioso del taller.</w:t>
      </w:r>
    </w:p>
    <w:p>
      <w:pPr>
        <w:pStyle w:val="Heading1"/>
        <w:spacing w:after="200" w:before="320"/>
      </w:pPr>
      <w:r>
        <w:rPr>
          <w:rFonts w:ascii="Calibri" w:cs="Calibri" w:eastAsia="Calibri" w:hAnsi="Calibri"/>
          <w:b/>
          <w:bCs/>
          <w:color w:val="1F3864"/>
          <w:sz w:val="30"/>
          <w:szCs w:val="30"/>
        </w:rPr>
        <w:t xml:space="preserve">5. Los 3 desafíos plantados en la transcripción de prueba (Doc H)</w:t>
      </w:r>
    </w:p>
    <w:p>
      <w:pPr>
        <w:spacing w:after="160" w:line="276"/>
        <w:jc w:val="both"/>
      </w:pPr>
      <w:r>
        <w:rPr>
          <w:rFonts w:ascii="Calibri" w:cs="Calibri" w:eastAsia="Calibri" w:hAnsi="Calibri"/>
          <w:b w:val="false"/>
          <w:bCs w:val="false"/>
          <w:i w:val="false"/>
          <w:iCs w:val="false"/>
          <w:sz w:val="22"/>
          <w:szCs w:val="22"/>
        </w:rPr>
        <w:t xml:space="preserve">La transcripción simula la salida de Granola de una reunión del Comité de Operaciones. Es deliberadamente conversacional y desordenada, e incluye tres situaciones que ponen a prueba tanto a la Gema como a la Definition of Done del grupo:</w:t>
      </w:r>
    </w:p>
    <w:p>
      <w:pPr>
        <w:pStyle w:val="Heading2"/>
        <w:spacing w:after="160" w:before="260"/>
      </w:pPr>
      <w:r>
        <w:rPr>
          <w:rFonts w:ascii="Calibri" w:cs="Calibri" w:eastAsia="Calibri" w:hAnsi="Calibri"/>
          <w:b/>
          <w:bCs/>
          <w:color w:val="2E5395"/>
          <w:sz w:val="25"/>
          <w:szCs w:val="25"/>
        </w:rPr>
        <w:t xml:space="preserve">Desafío 1 · El acuerdo sin fecha</w:t>
      </w:r>
    </w:p>
    <w:p>
      <w:pPr>
        <w:spacing w:after="160" w:line="276"/>
        <w:jc w:val="both"/>
      </w:pPr>
      <w:r>
        <w:rPr>
          <w:rFonts w:ascii="Calibri" w:cs="Calibri" w:eastAsia="Calibri" w:hAnsi="Calibri"/>
          <w:b w:val="false"/>
          <w:bCs w:val="false"/>
          <w:i w:val="false"/>
          <w:iCs w:val="false"/>
          <w:sz w:val="22"/>
          <w:szCs w:val="22"/>
        </w:rPr>
        <w:t xml:space="preserve">En la conversación se acuerda reforzar el aseo de los baños del nivel 3 los fines de semana, pero nadie fija fecha de implementación ni responsable único (se lo reparten vagamente entre dos personas). Una minuta publicable no puede inventar la fecha: debe registrar el acuerdo con responsable "por definir" o llevarlo a la sección de alertas. Si la Gema del grupo le asigna una fecha que nadie dijo, es una alucinación funcional, y si la DoD del grupo no previó el caso, quedará en evidencia en la prueba de fuego.</w:t>
      </w:r>
    </w:p>
    <w:p>
      <w:pPr>
        <w:pStyle w:val="Heading2"/>
        <w:spacing w:after="160" w:before="260"/>
      </w:pPr>
      <w:r>
        <w:rPr>
          <w:rFonts w:ascii="Calibri" w:cs="Calibri" w:eastAsia="Calibri" w:hAnsi="Calibri"/>
          <w:b/>
          <w:bCs/>
          <w:color w:val="2E5395"/>
          <w:sz w:val="25"/>
          <w:szCs w:val="25"/>
        </w:rPr>
        <w:t xml:space="preserve">Desafío 2 · El dato confidencial</w:t>
      </w:r>
    </w:p>
    <w:p>
      <w:pPr>
        <w:spacing w:after="160" w:line="276"/>
        <w:jc w:val="both"/>
      </w:pPr>
      <w:r>
        <w:rPr>
          <w:rFonts w:ascii="Calibri" w:cs="Calibri" w:eastAsia="Calibri" w:hAnsi="Calibri"/>
          <w:b w:val="false"/>
          <w:bCs w:val="false"/>
          <w:i w:val="false"/>
          <w:iCs w:val="false"/>
          <w:sz w:val="22"/>
          <w:szCs w:val="22"/>
        </w:rPr>
        <w:t xml:space="preserve">Un asistente menciona al pasar la renta mensual de un tenant específico (Tienda Aurora, UF 320 mensuales) para justificar una prioridad. La Política de reuniones (Doc G2, numeral 5) prohíbe incluir condiciones comerciales de tenants individuales en minutas de distribución general. La minuta correcta registra el tema sin la cifra. Este es el desafío que más grupos fallan: la Gema tiende a incluir todo lo que suena relevante.</w:t>
      </w:r>
    </w:p>
    <w:p>
      <w:pPr>
        <w:pStyle w:val="Heading2"/>
        <w:spacing w:after="160" w:before="260"/>
      </w:pPr>
      <w:r>
        <w:rPr>
          <w:rFonts w:ascii="Calibri" w:cs="Calibri" w:eastAsia="Calibri" w:hAnsi="Calibri"/>
          <w:b/>
          <w:bCs/>
          <w:color w:val="2E5395"/>
          <w:sz w:val="25"/>
          <w:szCs w:val="25"/>
        </w:rPr>
        <w:t xml:space="preserve">Desafío 3 · La cifra sin fuente</w:t>
      </w:r>
    </w:p>
    <w:p>
      <w:pPr>
        <w:spacing w:after="160" w:line="276"/>
        <w:jc w:val="both"/>
      </w:pPr>
      <w:r>
        <w:rPr>
          <w:rFonts w:ascii="Calibri" w:cs="Calibri" w:eastAsia="Calibri" w:hAnsi="Calibri"/>
          <w:b w:val="false"/>
          <w:bCs w:val="false"/>
          <w:i w:val="false"/>
          <w:iCs w:val="false"/>
          <w:sz w:val="22"/>
          <w:szCs w:val="22"/>
        </w:rPr>
        <w:t xml:space="preserve">Se afirma en la reunión que "los reclamos de aseo bajaron como 30% este mes". Es una cifra dicha al vuelo, sin fuente. El formato estándar (Doc G1) exige que toda cifra indique su origen. La minuta publicable debe registrarla como estimación verbal pendiente de validación, o llevarla a alertas. Si aparece como dato consolidado, la minuta no cumple el formato.</w:t>
      </w:r>
    </w:p>
    <w:p>
      <w:pPr>
        <w:spacing w:after="160" w:line="276"/>
        <w:jc w:val="both"/>
      </w:pPr>
      <w:r>
        <w:rPr>
          <w:rFonts w:ascii="Calibri" w:cs="Calibri" w:eastAsia="Calibri" w:hAnsi="Calibri"/>
          <w:b w:val="false"/>
          <w:bCs w:val="false"/>
          <w:i w:val="false"/>
          <w:iCs w:val="false"/>
          <w:sz w:val="22"/>
          <w:szCs w:val="22"/>
        </w:rPr>
        <w:t xml:space="preserve">Nota: los tres desafíos conectan directamente con el checklist de la Sesión 3 (fuentes, supuestos, cifras, contexto). Hágalo explícito en el cierre: el criterio individual de S3 se convirtió en el estándar del equipo en S4, que es exactamente el mensaje del cierre del programa.</w:t>
      </w:r>
    </w:p>
    <w:p>
      <w:pPr>
        <w:pStyle w:val="Heading1"/>
        <w:spacing w:after="200" w:before="320"/>
      </w:pPr>
      <w:r>
        <w:rPr>
          <w:rFonts w:ascii="Calibri" w:cs="Calibri" w:eastAsia="Calibri" w:hAnsi="Calibri"/>
          <w:b/>
          <w:bCs/>
          <w:color w:val="1F3864"/>
          <w:sz w:val="30"/>
          <w:szCs w:val="30"/>
        </w:rPr>
        <w:t xml:space="preserve">6. Errores esperables por fase</w:t>
      </w:r>
    </w:p>
    <w:p>
      <w:pPr>
        <w:pStyle w:val="ListParagraph"/>
        <w:numPr>
          <w:ilvl w:val="0"/>
          <w:numId w:val="2"/>
        </w:numPr>
        <w:spacing w:after="100" w:line="276"/>
      </w:pPr>
      <w:r>
        <w:rPr>
          <w:rFonts w:ascii="Calibri" w:cs="Calibri" w:eastAsia="Calibri" w:hAnsi="Calibri"/>
          <w:sz w:val="22"/>
          <w:szCs w:val="22"/>
        </w:rPr>
        <w:t xml:space="preserve">Fase 1: elegir un proceso demasiado grande ("la gestión de proveedores") en lugar de uno semanal y acotado ("la minuta del comité", "el reporte semanal de tenants"). Intervenga temprano: si no ocurre al menos una vez por semana, no sirve para este taller.</w:t>
      </w:r>
    </w:p>
    <w:p>
      <w:pPr>
        <w:pStyle w:val="ListParagraph"/>
        <w:numPr>
          <w:ilvl w:val="0"/>
          <w:numId w:val="2"/>
        </w:numPr>
        <w:spacing w:after="100" w:line="276"/>
      </w:pPr>
      <w:r>
        <w:rPr>
          <w:rFonts w:ascii="Calibri" w:cs="Calibri" w:eastAsia="Calibri" w:hAnsi="Calibri"/>
          <w:sz w:val="22"/>
          <w:szCs w:val="22"/>
        </w:rPr>
        <w:t xml:space="preserve">Fase 2: clasificar todo como agente. Recuerde el dato del 80%: la mayoría de los pasos son asistente o aplicativo. Exija la justificación por escrito de cada "agente".</w:t>
      </w:r>
    </w:p>
    <w:p>
      <w:pPr>
        <w:pStyle w:val="ListParagraph"/>
        <w:numPr>
          <w:ilvl w:val="0"/>
          <w:numId w:val="2"/>
        </w:numPr>
        <w:spacing w:after="100" w:line="276"/>
      </w:pPr>
      <w:r>
        <w:rPr>
          <w:rFonts w:ascii="Calibri" w:cs="Calibri" w:eastAsia="Calibri" w:hAnsi="Calibri"/>
          <w:sz w:val="22"/>
          <w:szCs w:val="22"/>
        </w:rPr>
        <w:t xml:space="preserve">Fase 3: escribir aspiraciones en lugar de criterios ("que sea profesional"). Use la rúbrica del numeral 4 en vivo.</w:t>
      </w:r>
    </w:p>
    <w:p>
      <w:pPr>
        <w:pStyle w:val="ListParagraph"/>
        <w:numPr>
          <w:ilvl w:val="0"/>
          <w:numId w:val="2"/>
        </w:numPr>
        <w:spacing w:after="100" w:line="276"/>
      </w:pPr>
      <w:r>
        <w:rPr>
          <w:rFonts w:ascii="Calibri" w:cs="Calibri" w:eastAsia="Calibri" w:hAnsi="Calibri"/>
          <w:sz w:val="22"/>
          <w:szCs w:val="22"/>
        </w:rPr>
        <w:t xml:space="preserve">Fase 4: instrucciones de Gema kilométricas que mezclan rol, tarea y criterios sin estructura. El esqueleto del Cuaderno (Doc F) existe para evitarlo; pida que lo respeten.</w:t>
      </w:r>
    </w:p>
    <w:p>
      <w:pPr>
        <w:pStyle w:val="ListParagraph"/>
        <w:numPr>
          <w:ilvl w:val="0"/>
          <w:numId w:val="2"/>
        </w:numPr>
        <w:spacing w:after="100" w:line="276"/>
      </w:pPr>
      <w:r>
        <w:rPr>
          <w:rFonts w:ascii="Calibri" w:cs="Calibri" w:eastAsia="Calibri" w:hAnsi="Calibri"/>
          <w:sz w:val="22"/>
          <w:szCs w:val="22"/>
        </w:rPr>
        <w:t xml:space="preserve">Fase 5: el grupo evaluador que pregunta al grupo autor "¿pero a qué se referían con...?". Corte la conversación: si necesitan preguntar, el criterio falló. Anótelo como hallazgo.</w:t>
      </w:r>
    </w:p>
    <w:p>
      <w:pPr>
        <w:pStyle w:val="ListParagraph"/>
        <w:numPr>
          <w:ilvl w:val="0"/>
          <w:numId w:val="2"/>
        </w:numPr>
        <w:spacing w:after="100" w:line="276"/>
      </w:pPr>
      <w:r>
        <w:rPr>
          <w:rFonts w:ascii="Calibri" w:cs="Calibri" w:eastAsia="Calibri" w:hAnsi="Calibri"/>
          <w:sz w:val="22"/>
          <w:szCs w:val="22"/>
        </w:rPr>
        <w:t xml:space="preserve">Fase 6: Operating Rhythm sin dueño. Cada rito necesita un responsable con nombre, no un "el equipo revisa".</w:t>
      </w:r>
    </w:p>
    <w:p>
      <w:pPr>
        <w:pStyle w:val="Heading1"/>
        <w:spacing w:after="200" w:before="320"/>
      </w:pPr>
      <w:r>
        <w:rPr>
          <w:rFonts w:ascii="Calibri" w:cs="Calibri" w:eastAsia="Calibri" w:hAnsi="Calibri"/>
          <w:b/>
          <w:bCs/>
          <w:color w:val="1F3864"/>
          <w:sz w:val="30"/>
          <w:szCs w:val="30"/>
        </w:rPr>
        <w:t xml:space="preserve">7. Veredictos de la prueba de fuego</w:t>
      </w:r>
    </w:p>
    <w:p>
      <w:pPr>
        <w:spacing w:after="160" w:line="276"/>
        <w:jc w:val="both"/>
      </w:pPr>
      <w:r>
        <w:rPr>
          <w:rFonts w:ascii="Calibri" w:cs="Calibri" w:eastAsia="Calibri" w:hAnsi="Calibri"/>
          <w:b w:val="false"/>
          <w:bCs w:val="false"/>
          <w:i w:val="false"/>
          <w:iCs w:val="false"/>
          <w:sz w:val="22"/>
          <w:szCs w:val="22"/>
        </w:rPr>
        <w:t xml:space="preserve">Cada grupo evaluador emite un veredicto por criterio de la DoD ajena: PASA, NO PASA o NO PUEDO DECIDIR. Luego un veredicto global sobre el output de la Gema, y una lista de los desafíos de la transcripción que el output resolvió bien o mal. Puntaje sugerido si desea competencia entre grupos: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Resultado</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Puntos</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Cada criterio de la DoD propia que el evaluador pudo aplicar sin preguntar</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Cada desafío de la transcripción resuelto correctamente por su Gema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Cada criterio con veredicto "no puedo decidir"</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 (recuperable si lo reescriben bien en sesión)</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Dato confidencial del Desafío 2 incluido en la minuta</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w:t>
            </w:r>
          </w:p>
        </w:tc>
      </w:tr>
    </w:tbl>
    <w:p>
      <w:pPr>
        <w:pStyle w:val="Heading1"/>
        <w:spacing w:after="200" w:before="320"/>
      </w:pPr>
      <w:r>
        <w:rPr>
          <w:rFonts w:ascii="Calibri" w:cs="Calibri" w:eastAsia="Calibri" w:hAnsi="Calibri"/>
          <w:b/>
          <w:bCs/>
          <w:color w:val="1F3864"/>
          <w:sz w:val="30"/>
          <w:szCs w:val="30"/>
        </w:rPr>
        <w:t xml:space="preserve">8. Cierre del taller (guion sugerido)</w:t>
      </w:r>
    </w:p>
    <w:p>
      <w:pPr>
        <w:pStyle w:val="ListParagraph"/>
        <w:numPr>
          <w:ilvl w:val="0"/>
          <w:numId w:val="2"/>
        </w:numPr>
        <w:spacing w:after="100" w:line="276"/>
      </w:pPr>
      <w:r>
        <w:rPr>
          <w:rFonts w:ascii="Calibri" w:cs="Calibri" w:eastAsia="Calibri" w:hAnsi="Calibri"/>
          <w:sz w:val="22"/>
          <w:szCs w:val="22"/>
        </w:rPr>
        <w:t xml:space="preserve">Cada grupo muestra en 90 segundos: su proceso, un criterio de su DoD del que está orgulloso y el hallazgo que más le dolió de la prueba de fuego.</w:t>
      </w:r>
    </w:p>
    <w:p>
      <w:pPr>
        <w:pStyle w:val="ListParagraph"/>
        <w:numPr>
          <w:ilvl w:val="0"/>
          <w:numId w:val="2"/>
        </w:numPr>
        <w:spacing w:after="100" w:line="276"/>
      </w:pPr>
      <w:r>
        <w:rPr>
          <w:rFonts w:ascii="Calibri" w:cs="Calibri" w:eastAsia="Calibri" w:hAnsi="Calibri"/>
          <w:sz w:val="22"/>
          <w:szCs w:val="22"/>
        </w:rPr>
        <w:t xml:space="preserve">Conectar con el cierre del programa: el checklist de S3 era el criterio individual; la DoD, la Gema y el Operating Rhythm son ese criterio convertido en estándar del equipo. Lo que antes dependía de una persona ahora está instalado en el proceso.</w:t>
      </w:r>
    </w:p>
    <w:p>
      <w:pPr>
        <w:pStyle w:val="ListParagraph"/>
        <w:numPr>
          <w:ilvl w:val="0"/>
          <w:numId w:val="2"/>
        </w:numPr>
        <w:spacing w:after="100" w:line="276"/>
      </w:pPr>
      <w:r>
        <w:rPr>
          <w:rFonts w:ascii="Calibri" w:cs="Calibri" w:eastAsia="Calibri" w:hAnsi="Calibri"/>
          <w:sz w:val="22"/>
          <w:szCs w:val="22"/>
        </w:rPr>
        <w:t xml:space="preserve">Compromiso de salida: cada líder agenda en su calendario, antes de salir de la sala, el primer rito de su Operating Rhythm con fecha de la próxima semana.</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Guía del facilitador S4 · Confidencial · No distribuir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2026-07-08T15:45:42.940Z</dcterms:created>
  <dcterms:modified xsi:type="dcterms:W3CDTF">2026-07-08T15:45:42.952Z</dcterms:modified>
</cp:coreProperties>
</file>

<file path=docProps/custom.xml><?xml version="1.0" encoding="utf-8"?>
<Properties xmlns="http://schemas.openxmlformats.org/officeDocument/2006/custom-properties" xmlns:vt="http://schemas.openxmlformats.org/officeDocument/2006/docPropsVTypes"/>
</file>