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6"/>
          <w:szCs w:val="36"/>
        </w:rPr>
        <w:t xml:space="preserve">Política de Reuniones y Minutas</w:t>
      </w:r>
    </w:p>
    <w:p>
      <w:pPr>
        <w:spacing w:after="360"/>
        <w:jc w:val="center"/>
      </w:pPr>
      <w:r>
        <w:rPr>
          <w:rFonts w:ascii="Calibri" w:cs="Calibri" w:eastAsia="Calibri" w:hAnsi="Calibri"/>
          <w:color w:val="595959"/>
          <w:sz w:val="24"/>
          <w:szCs w:val="24"/>
        </w:rPr>
        <w:t xml:space="preserve">Mallplaza Egaña · Documento maestro N° 2 del repositorio</w:t>
      </w:r>
    </w:p>
    <w:p>
      <w:pPr>
        <w:spacing w:after="300" w:line="276"/>
        <w:jc w:val="both"/>
      </w:pPr>
      <w:r>
        <w:rPr>
          <w:rFonts w:ascii="Calibri" w:cs="Calibri" w:eastAsia="Calibri" w:hAnsi="Calibri"/>
          <w:b w:val="false"/>
          <w:bCs w:val="false"/>
          <w:i/>
          <w:iCs/>
          <w:sz w:val="18"/>
          <w:szCs w:val="18"/>
        </w:rPr>
        <w:t xml:space="preserve">Documento ficticio con fines exclusivamente formativos. Programa Liderazgo y Gestión Estratégica con IA. Los nombres, cifras y hechos no corresponden a procesos reales.</w:t>
      </w:r>
    </w:p>
    <w:p>
      <w:pPr>
        <w:pStyle w:val="Heading1"/>
        <w:spacing w:after="200" w:before="320"/>
      </w:pPr>
      <w:r>
        <w:rPr>
          <w:rFonts w:ascii="Calibri" w:cs="Calibri" w:eastAsia="Calibri" w:hAnsi="Calibri"/>
          <w:b/>
          <w:bCs/>
          <w:color w:val="1F3864"/>
          <w:sz w:val="30"/>
          <w:szCs w:val="30"/>
        </w:rPr>
        <w:t xml:space="preserve">1. Alcance</w:t>
      </w:r>
    </w:p>
    <w:p>
      <w:pPr>
        <w:spacing w:after="160" w:line="276"/>
        <w:jc w:val="both"/>
      </w:pPr>
      <w:r>
        <w:rPr>
          <w:rFonts w:ascii="Calibri" w:cs="Calibri" w:eastAsia="Calibri" w:hAnsi="Calibri"/>
          <w:b w:val="false"/>
          <w:bCs w:val="false"/>
          <w:i w:val="false"/>
          <w:iCs w:val="false"/>
          <w:sz w:val="22"/>
          <w:szCs w:val="22"/>
        </w:rPr>
        <w:t xml:space="preserve">Esta política regula la convocatoria, conducción y documentación de las reuniones de gestión de Mallplaza Egaña, incluyendo el Comité de Operaciones, y es vinculante para todo el personal que participe en ellas.</w:t>
      </w:r>
    </w:p>
    <w:p>
      <w:pPr>
        <w:pStyle w:val="Heading1"/>
        <w:spacing w:after="200" w:before="320"/>
      </w:pPr>
      <w:r>
        <w:rPr>
          <w:rFonts w:ascii="Calibri" w:cs="Calibri" w:eastAsia="Calibri" w:hAnsi="Calibri"/>
          <w:b/>
          <w:bCs/>
          <w:color w:val="1F3864"/>
          <w:sz w:val="30"/>
          <w:szCs w:val="30"/>
        </w:rPr>
        <w:t xml:space="preserve">2. Convocatoria y conducción</w:t>
      </w:r>
    </w:p>
    <w:p>
      <w:pPr>
        <w:pStyle w:val="ListParagraph"/>
        <w:numPr>
          <w:ilvl w:val="0"/>
          <w:numId w:val="2"/>
        </w:numPr>
        <w:spacing w:after="100" w:line="276"/>
      </w:pPr>
      <w:r>
        <w:rPr>
          <w:rFonts w:ascii="Calibri" w:cs="Calibri" w:eastAsia="Calibri" w:hAnsi="Calibri"/>
          <w:sz w:val="22"/>
          <w:szCs w:val="22"/>
        </w:rPr>
        <w:t xml:space="preserve">Toda reunión debe tener agenda previa, distribuida con al menos 24 horas de anticipación.</w:t>
      </w:r>
    </w:p>
    <w:p>
      <w:pPr>
        <w:pStyle w:val="ListParagraph"/>
        <w:numPr>
          <w:ilvl w:val="0"/>
          <w:numId w:val="2"/>
        </w:numPr>
        <w:spacing w:after="100" w:line="276"/>
      </w:pPr>
      <w:r>
        <w:rPr>
          <w:rFonts w:ascii="Calibri" w:cs="Calibri" w:eastAsia="Calibri" w:hAnsi="Calibri"/>
          <w:sz w:val="22"/>
          <w:szCs w:val="22"/>
        </w:rPr>
        <w:t xml:space="preserve">Quien convoca es responsable de la minuta, sin perjuicio de que delegue su redacción.</w:t>
      </w:r>
    </w:p>
    <w:p>
      <w:pPr>
        <w:pStyle w:val="ListParagraph"/>
        <w:numPr>
          <w:ilvl w:val="0"/>
          <w:numId w:val="2"/>
        </w:numPr>
        <w:spacing w:after="100" w:line="276"/>
      </w:pPr>
      <w:r>
        <w:rPr>
          <w:rFonts w:ascii="Calibri" w:cs="Calibri" w:eastAsia="Calibri" w:hAnsi="Calibri"/>
          <w:sz w:val="22"/>
          <w:szCs w:val="22"/>
        </w:rPr>
        <w:t xml:space="preserve">Las reuniones del Comité de Operaciones tienen una duración máxima de 60 minutos.</w:t>
      </w:r>
    </w:p>
    <w:p>
      <w:pPr>
        <w:pStyle w:val="Heading1"/>
        <w:spacing w:after="200" w:before="320"/>
      </w:pPr>
      <w:r>
        <w:rPr>
          <w:rFonts w:ascii="Calibri" w:cs="Calibri" w:eastAsia="Calibri" w:hAnsi="Calibri"/>
          <w:b/>
          <w:bCs/>
          <w:color w:val="1F3864"/>
          <w:sz w:val="30"/>
          <w:szCs w:val="30"/>
        </w:rPr>
        <w:t xml:space="preserve">3. Clasificación de acuerdos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Tipo</w:t>
            </w:r>
          </w:p>
        </w:tc>
        <w:tc>
          <w:tcPr>
            <w:tcW w:type="dxa" w:w="4760"/>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Definición</w:t>
            </w:r>
          </w:p>
        </w:tc>
      </w:tr>
      <w:tr>
        <w:tc>
          <w:tcPr>
            <w:tcW w:type="dxa" w:w="46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Decisión</w:t>
            </w:r>
          </w:p>
        </w:tc>
        <w:tc>
          <w:tcPr>
            <w:tcW w:type="dxa" w:w="47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Resolución que cierra un tema; no requiere seguimiento posterior</w:t>
            </w:r>
          </w:p>
        </w:tc>
      </w:tr>
      <w:tr>
        <w:tc>
          <w:tcPr>
            <w:tcW w:type="dxa" w:w="46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Acción</w:t>
            </w:r>
          </w:p>
        </w:tc>
        <w:tc>
          <w:tcPr>
            <w:tcW w:type="dxa" w:w="47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Tarea concreta con responsable único y fecha compromiso</w:t>
            </w:r>
          </w:p>
        </w:tc>
      </w:tr>
      <w:tr>
        <w:tc>
          <w:tcPr>
            <w:tcW w:type="dxa" w:w="46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Seguimiento</w:t>
            </w:r>
          </w:p>
        </w:tc>
        <w:tc>
          <w:tcPr>
            <w:tcW w:type="dxa" w:w="47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Tema que permanece abierto y se revisa en la siguiente sesión</w:t>
            </w:r>
          </w:p>
        </w:tc>
      </w:tr>
    </w:tbl>
    <w:p>
      <w:pPr>
        <w:pStyle w:val="Heading1"/>
        <w:spacing w:after="200" w:before="320"/>
      </w:pPr>
      <w:r>
        <w:rPr>
          <w:rFonts w:ascii="Calibri" w:cs="Calibri" w:eastAsia="Calibri" w:hAnsi="Calibri"/>
          <w:b/>
          <w:bCs/>
          <w:color w:val="1F3864"/>
          <w:sz w:val="30"/>
          <w:szCs w:val="30"/>
        </w:rPr>
        <w:t xml:space="preserve">4. Estados de pendientes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Estado</w:t>
            </w:r>
          </w:p>
        </w:tc>
        <w:tc>
          <w:tcPr>
            <w:tcW w:type="dxa" w:w="4760"/>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Criterio</w:t>
            </w:r>
          </w:p>
        </w:tc>
      </w:tr>
      <w:tr>
        <w:tc>
          <w:tcPr>
            <w:tcW w:type="dxa" w:w="46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Al día</w:t>
            </w:r>
          </w:p>
        </w:tc>
        <w:tc>
          <w:tcPr>
            <w:tcW w:type="dxa" w:w="47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La fecha compromiso no ha vencido y el avance es consistente</w:t>
            </w:r>
          </w:p>
        </w:tc>
      </w:tr>
      <w:tr>
        <w:tc>
          <w:tcPr>
            <w:tcW w:type="dxa" w:w="46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En riesgo</w:t>
            </w:r>
          </w:p>
        </w:tc>
        <w:tc>
          <w:tcPr>
            <w:tcW w:type="dxa" w:w="47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La fecha compromiso está a menos de 5 días hábiles y el avance es parcial</w:t>
            </w:r>
          </w:p>
        </w:tc>
      </w:tr>
      <w:tr>
        <w:tc>
          <w:tcPr>
            <w:tcW w:type="dxa" w:w="46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Atrasado</w:t>
            </w:r>
          </w:p>
        </w:tc>
        <w:tc>
          <w:tcPr>
            <w:tcW w:type="dxa" w:w="47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La fecha compromiso venció sin cierre</w:t>
            </w:r>
          </w:p>
        </w:tc>
      </w:tr>
    </w:tbl>
    <w:p>
      <w:pPr>
        <w:pStyle w:val="Heading1"/>
        <w:spacing w:after="200" w:before="320"/>
      </w:pPr>
      <w:r>
        <w:rPr>
          <w:rFonts w:ascii="Calibri" w:cs="Calibri" w:eastAsia="Calibri" w:hAnsi="Calibri"/>
          <w:b/>
          <w:bCs/>
          <w:color w:val="1F3864"/>
          <w:sz w:val="30"/>
          <w:szCs w:val="30"/>
        </w:rPr>
        <w:t xml:space="preserve">5. Confidencialidad del contenido</w:t>
      </w:r>
    </w:p>
    <w:p>
      <w:pPr>
        <w:spacing w:after="160" w:line="276"/>
        <w:jc w:val="both"/>
      </w:pPr>
      <w:r>
        <w:rPr>
          <w:rFonts w:ascii="Calibri" w:cs="Calibri" w:eastAsia="Calibri" w:hAnsi="Calibri"/>
          <w:sz w:val="22"/>
          <w:szCs w:val="22"/>
        </w:rPr>
        <w:t xml:space="preserve">Las minutas de distribución general </w:t>
      </w:r>
      <w:r>
        <w:rPr>
          <w:rFonts w:ascii="Calibri" w:cs="Calibri" w:eastAsia="Calibri" w:hAnsi="Calibri"/>
          <w:b/>
          <w:bCs/>
          <w:sz w:val="22"/>
          <w:szCs w:val="22"/>
        </w:rPr>
        <w:t xml:space="preserve">no pueden incluir condiciones comerciales de tenants individuales</w:t>
      </w:r>
      <w:r>
        <w:rPr>
          <w:rFonts w:ascii="Calibri" w:cs="Calibri" w:eastAsia="Calibri" w:hAnsi="Calibri"/>
          <w:sz w:val="22"/>
          <w:szCs w:val="22"/>
        </w:rPr>
        <w:t xml:space="preserve"> (rentas, descuentos, condiciones contractuales, estados de deuda), ni remuneraciones del personal, ni información de procesos legales en curso. Si un tema de esa naturaleza se discute en la reunión, la minuta lo registra de manera genérica (por ejemplo: "se revisó la situación comercial de un tenant del nivel 2") y el detalle se gestiona por los canales confidenciales que correspondan.</w:t>
      </w:r>
    </w:p>
    <w:p>
      <w:pPr>
        <w:spacing w:after="160" w:line="276"/>
        <w:jc w:val="both"/>
      </w:pPr>
      <w:r>
        <w:rPr>
          <w:rFonts w:ascii="Calibri" w:cs="Calibri" w:eastAsia="Calibri" w:hAnsi="Calibri"/>
          <w:b w:val="false"/>
          <w:bCs w:val="false"/>
          <w:i w:val="false"/>
          <w:iCs w:val="false"/>
          <w:sz w:val="22"/>
          <w:szCs w:val="22"/>
        </w:rPr>
        <w:t xml:space="preserve">El incumplimiento de esta regla constituye una falta a la política de manejo de información de la compañía, cualquiera sea el medio por el que la minuta haya sido generada, incluyendo herramientas de inteligencia artificial.</w:t>
      </w:r>
    </w:p>
    <w:p>
      <w:pPr>
        <w:pStyle w:val="Heading1"/>
        <w:spacing w:after="200" w:before="320"/>
      </w:pPr>
      <w:r>
        <w:rPr>
          <w:rFonts w:ascii="Calibri" w:cs="Calibri" w:eastAsia="Calibri" w:hAnsi="Calibri"/>
          <w:b/>
          <w:bCs/>
          <w:color w:val="1F3864"/>
          <w:sz w:val="30"/>
          <w:szCs w:val="30"/>
        </w:rPr>
        <w:t xml:space="preserve">6. Distribución y archivo</w:t>
      </w:r>
    </w:p>
    <w:p>
      <w:pPr>
        <w:pStyle w:val="ListParagraph"/>
        <w:numPr>
          <w:ilvl w:val="0"/>
          <w:numId w:val="2"/>
        </w:numPr>
        <w:spacing w:after="100" w:line="276"/>
      </w:pPr>
      <w:r>
        <w:rPr>
          <w:rFonts w:ascii="Calibri" w:cs="Calibri" w:eastAsia="Calibri" w:hAnsi="Calibri"/>
          <w:sz w:val="22"/>
          <w:szCs w:val="22"/>
        </w:rPr>
        <w:t xml:space="preserve">Distribución dentro de las 24 horas siguientes al término de la reunión, a los asistentes y ausentes convocados.</w:t>
      </w:r>
    </w:p>
    <w:p>
      <w:pPr>
        <w:pStyle w:val="ListParagraph"/>
        <w:numPr>
          <w:ilvl w:val="0"/>
          <w:numId w:val="2"/>
        </w:numPr>
        <w:spacing w:after="100" w:line="276"/>
      </w:pPr>
      <w:r>
        <w:rPr>
          <w:rFonts w:ascii="Calibri" w:cs="Calibri" w:eastAsia="Calibri" w:hAnsi="Calibri"/>
          <w:sz w:val="22"/>
          <w:szCs w:val="22"/>
        </w:rPr>
        <w:t xml:space="preserve">Las minutas se archivan en el repositorio oficial del equipo y constituyen el registro válido de los acuerdos.</w:t>
      </w:r>
    </w:p>
    <w:p>
      <w:pPr>
        <w:pStyle w:val="ListParagraph"/>
        <w:numPr>
          <w:ilvl w:val="0"/>
          <w:numId w:val="2"/>
        </w:numPr>
        <w:spacing w:after="100" w:line="276"/>
      </w:pPr>
      <w:r>
        <w:rPr>
          <w:rFonts w:ascii="Calibri" w:cs="Calibri" w:eastAsia="Calibri" w:hAnsi="Calibri"/>
          <w:sz w:val="22"/>
          <w:szCs w:val="22"/>
        </w:rPr>
        <w:t xml:space="preserve">Las correcciones posteriores a la distribución se registran como fe de erratas en la sesión siguiente.</w:t>
      </w:r>
    </w:p>
    <w:sectPr>
      <w:headerReference w:type="default" r:id="rId7"/>
      <w:footerReference w:type="default" r:id="rId8"/>
      <w:pgSz w:w="12240" w:h="15840" w:orient="portrait"/>
      <w:pgMar w:top="1240" w:right="1440" w:bottom="12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Página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de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rFonts w:ascii="Calibri" w:cs="Calibri" w:eastAsia="Calibri" w:hAnsi="Calibri"/>
        <w:color w:val="808080"/>
        <w:sz w:val="16"/>
        <w:szCs w:val="16"/>
      </w:rPr>
      <w:t xml:space="preserve">Política de reuniones y minutas · Documento de entrenamiento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2026-07-08T15:46:00.982Z</dcterms:created>
  <dcterms:modified xsi:type="dcterms:W3CDTF">2026-07-08T15:46:00.982Z</dcterms:modified>
</cp:coreProperties>
</file>

<file path=docProps/custom.xml><?xml version="1.0" encoding="utf-8"?>
<Properties xmlns="http://schemas.openxmlformats.org/officeDocument/2006/custom-properties" xmlns:vt="http://schemas.openxmlformats.org/officeDocument/2006/docPropsVTypes"/>
</file>