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Bases Administrativas y Técnicas</w:t>
      </w:r>
    </w:p>
    <w:p>
      <w:pPr>
        <w:spacing w:after="360"/>
        <w:jc w:val="center"/>
      </w:pPr>
      <w:r>
        <w:rPr>
          <w:rFonts w:ascii="Calibri" w:cs="Calibri" w:eastAsia="Calibri" w:hAnsi="Calibri"/>
          <w:color w:val="595959"/>
          <w:sz w:val="24"/>
          <w:szCs w:val="24"/>
        </w:rPr>
        <w:t xml:space="preserve">Licitación Privada N° LP-2026-041 · Servicio Integral de Aseo y Mantención de Áreas Comunes · Mallplaza Egaña</w:t>
      </w:r>
    </w:p>
    <w:p>
      <w:pPr>
        <w:spacing w:after="300" w:line="276"/>
        <w:jc w:val="both"/>
      </w:pPr>
      <w:r>
        <w:rPr>
          <w:rFonts w:ascii="Calibri" w:cs="Calibri" w:eastAsia="Calibri" w:hAnsi="Calibri"/>
          <w:b w:val="false"/>
          <w:bCs w:val="false"/>
          <w:i/>
          <w:iCs/>
          <w:sz w:val="18"/>
          <w:szCs w:val="18"/>
        </w:rPr>
        <w:t xml:space="preserve">Documento ficticio con fines exclusivamente formativos. Programa Liderazgo y Gestión Estratégica con IA. Los nombres, cifras y hechos no corresponden a procesos reales.</w:t>
      </w:r>
    </w:p>
    <w:p>
      <w:pPr>
        <w:pStyle w:val="Heading1"/>
        <w:spacing w:after="200" w:before="320"/>
      </w:pPr>
      <w:r>
        <w:rPr>
          <w:rFonts w:ascii="Calibri" w:cs="Calibri" w:eastAsia="Calibri" w:hAnsi="Calibri"/>
          <w:b/>
          <w:bCs/>
          <w:color w:val="1F3864"/>
          <w:sz w:val="30"/>
          <w:szCs w:val="30"/>
        </w:rPr>
        <w:t xml:space="preserve">1. Antecedentes generales</w:t>
      </w:r>
    </w:p>
    <w:p>
      <w:pPr>
        <w:spacing w:after="160" w:line="276"/>
        <w:jc w:val="both"/>
      </w:pPr>
      <w:r>
        <w:rPr>
          <w:rFonts w:ascii="Calibri" w:cs="Calibri" w:eastAsia="Calibri" w:hAnsi="Calibri"/>
          <w:b w:val="false"/>
          <w:bCs w:val="false"/>
          <w:i w:val="false"/>
          <w:iCs w:val="false"/>
          <w:sz w:val="22"/>
          <w:szCs w:val="22"/>
        </w:rPr>
        <w:t xml:space="preserve">Mallplaza Egaña, en adelante "el Mandante", invita a empresas especializadas a participar en la Licitación Privada N° LP-2026-041 para la contratación del Servicio Integral de Aseo y Mantención de Áreas Comunes del centro comercial, ubicado en la comuna de La Reina, Santiago de Chile.</w:t>
      </w:r>
    </w:p>
    <w:p>
      <w:pPr>
        <w:spacing w:after="160" w:line="276"/>
        <w:jc w:val="both"/>
      </w:pPr>
      <w:r>
        <w:rPr>
          <w:rFonts w:ascii="Calibri" w:cs="Calibri" w:eastAsia="Calibri" w:hAnsi="Calibri"/>
          <w:b w:val="false"/>
          <w:bCs w:val="false"/>
          <w:i w:val="false"/>
          <w:iCs w:val="false"/>
          <w:sz w:val="22"/>
          <w:szCs w:val="22"/>
        </w:rPr>
        <w:t xml:space="preserve">El presente documento contiene las Bases Administrativas y Técnicas que regulan el proceso. Su sola participación implica la aceptación íntegra e incondicional de estas Bases. Cualquier propuesta que contradiga, omita o modifique unilateralmente las condiciones aquí establecidas podrá ser declarada inadmisible por la Comisión Evaluadora.</w:t>
      </w:r>
    </w:p>
    <w:p>
      <w:pPr>
        <w:spacing w:after="160" w:line="276"/>
        <w:jc w:val="both"/>
      </w:pPr>
      <w:r>
        <w:rPr>
          <w:rFonts w:ascii="Calibri" w:cs="Calibri" w:eastAsia="Calibri" w:hAnsi="Calibri"/>
          <w:b w:val="false"/>
          <w:bCs w:val="false"/>
          <w:i w:val="false"/>
          <w:iCs w:val="false"/>
          <w:sz w:val="22"/>
          <w:szCs w:val="22"/>
        </w:rPr>
        <w:t xml:space="preserve">El centro comercial cuenta con una superficie arrendable (GLA) de 78.500 m², cinco niveles comerciales, dos niveles de estacionamientos subterráneos con 2.350 plazas, un boulevard gastronómico, un patio de comidas con capacidad para 1.100 personas y un flujo promedio de 1,45 millones de visitas mensuales.</w:t>
      </w:r>
    </w:p>
    <w:p>
      <w:pPr>
        <w:pStyle w:val="Heading1"/>
        <w:spacing w:after="200" w:before="320"/>
      </w:pPr>
      <w:r>
        <w:rPr>
          <w:rFonts w:ascii="Calibri" w:cs="Calibri" w:eastAsia="Calibri" w:hAnsi="Calibri"/>
          <w:b/>
          <w:bCs/>
          <w:color w:val="1F3864"/>
          <w:sz w:val="30"/>
          <w:szCs w:val="30"/>
        </w:rPr>
        <w:t xml:space="preserve">2. Objeto de la licitación</w:t>
      </w:r>
    </w:p>
    <w:p>
      <w:pPr>
        <w:spacing w:after="160" w:line="276"/>
        <w:jc w:val="both"/>
      </w:pPr>
      <w:r>
        <w:rPr>
          <w:rFonts w:ascii="Calibri" w:cs="Calibri" w:eastAsia="Calibri" w:hAnsi="Calibri"/>
          <w:b w:val="false"/>
          <w:bCs w:val="false"/>
          <w:i w:val="false"/>
          <w:iCs w:val="false"/>
          <w:sz w:val="22"/>
          <w:szCs w:val="22"/>
        </w:rPr>
        <w:t xml:space="preserve">El servicio comprende la ejecución integral, continua y permanente de las labores de aseo, limpieza, sanitización y mantención básica de las áreas comunes del centro comercial, incluyendo, sin que la enumeración sea taxativa:</w:t>
      </w:r>
    </w:p>
    <w:p>
      <w:pPr>
        <w:pStyle w:val="ListParagraph"/>
        <w:numPr>
          <w:ilvl w:val="0"/>
          <w:numId w:val="2"/>
        </w:numPr>
        <w:spacing w:after="100" w:line="276"/>
      </w:pPr>
      <w:r>
        <w:rPr>
          <w:rFonts w:ascii="Calibri" w:cs="Calibri" w:eastAsia="Calibri" w:hAnsi="Calibri"/>
          <w:sz w:val="22"/>
          <w:szCs w:val="22"/>
        </w:rPr>
        <w:t xml:space="preserve">Limpieza de pisos, muros, barandas, ascensores, escaleras mecánicas y mobiliario de áreas comunes en los cinco niveles comerciales.</w:t>
      </w:r>
    </w:p>
    <w:p>
      <w:pPr>
        <w:pStyle w:val="ListParagraph"/>
        <w:numPr>
          <w:ilvl w:val="0"/>
          <w:numId w:val="2"/>
        </w:numPr>
        <w:spacing w:after="100" w:line="276"/>
      </w:pPr>
      <w:r>
        <w:rPr>
          <w:rFonts w:ascii="Calibri" w:cs="Calibri" w:eastAsia="Calibri" w:hAnsi="Calibri"/>
          <w:sz w:val="22"/>
          <w:szCs w:val="22"/>
        </w:rPr>
        <w:t xml:space="preserve">Aseo profundo y reposición de insumos en la totalidad de los servicios higiénicos de uso público (14 núcleos de baños, incluyendo baños familiares y de accesibilidad universal).</w:t>
      </w:r>
    </w:p>
    <w:p>
      <w:pPr>
        <w:pStyle w:val="ListParagraph"/>
        <w:numPr>
          <w:ilvl w:val="0"/>
          <w:numId w:val="2"/>
        </w:numPr>
        <w:spacing w:after="100" w:line="276"/>
      </w:pPr>
      <w:r>
        <w:rPr>
          <w:rFonts w:ascii="Calibri" w:cs="Calibri" w:eastAsia="Calibri" w:hAnsi="Calibri"/>
          <w:sz w:val="22"/>
          <w:szCs w:val="22"/>
        </w:rPr>
        <w:t xml:space="preserve">Limpieza del patio de comidas en horario continuado, incluyendo retiro de bandejas, limpieza de mesas y manejo de derrames.</w:t>
      </w:r>
    </w:p>
    <w:p>
      <w:pPr>
        <w:pStyle w:val="ListParagraph"/>
        <w:numPr>
          <w:ilvl w:val="0"/>
          <w:numId w:val="2"/>
        </w:numPr>
        <w:spacing w:after="100" w:line="276"/>
      </w:pPr>
      <w:r>
        <w:rPr>
          <w:rFonts w:ascii="Calibri" w:cs="Calibri" w:eastAsia="Calibri" w:hAnsi="Calibri"/>
          <w:sz w:val="22"/>
          <w:szCs w:val="22"/>
        </w:rPr>
        <w:t xml:space="preserve">Barrido y lavado mecanizado de estacionamientos subterráneos, con una frecuencia mínima de lavado integral quincenal.</w:t>
      </w:r>
    </w:p>
    <w:p>
      <w:pPr>
        <w:pStyle w:val="ListParagraph"/>
        <w:numPr>
          <w:ilvl w:val="0"/>
          <w:numId w:val="2"/>
        </w:numPr>
        <w:spacing w:after="100" w:line="276"/>
      </w:pPr>
      <w:r>
        <w:rPr>
          <w:rFonts w:ascii="Calibri" w:cs="Calibri" w:eastAsia="Calibri" w:hAnsi="Calibri"/>
          <w:sz w:val="22"/>
          <w:szCs w:val="22"/>
        </w:rPr>
        <w:t xml:space="preserve">Limpieza de cristales y fachadas interiores hasta 4 metros de altura; los trabajos en altura superior se coordinarán como servicios extraordinarios.</w:t>
      </w:r>
    </w:p>
    <w:p>
      <w:pPr>
        <w:pStyle w:val="ListParagraph"/>
        <w:numPr>
          <w:ilvl w:val="0"/>
          <w:numId w:val="2"/>
        </w:numPr>
        <w:spacing w:after="100" w:line="276"/>
      </w:pPr>
      <w:r>
        <w:rPr>
          <w:rFonts w:ascii="Calibri" w:cs="Calibri" w:eastAsia="Calibri" w:hAnsi="Calibri"/>
          <w:sz w:val="22"/>
          <w:szCs w:val="22"/>
        </w:rPr>
        <w:t xml:space="preserve">Manejo, segregación y traslado de residuos hasta la sala de basura central, conforme al plan de reciclaje del Mandante.</w:t>
      </w:r>
    </w:p>
    <w:p>
      <w:pPr>
        <w:pStyle w:val="ListParagraph"/>
        <w:numPr>
          <w:ilvl w:val="0"/>
          <w:numId w:val="2"/>
        </w:numPr>
        <w:spacing w:after="100" w:line="276"/>
      </w:pPr>
      <w:r>
        <w:rPr>
          <w:rFonts w:ascii="Calibri" w:cs="Calibri" w:eastAsia="Calibri" w:hAnsi="Calibri"/>
          <w:sz w:val="22"/>
          <w:szCs w:val="22"/>
        </w:rPr>
        <w:t xml:space="preserve">Atención de emergencias de aseo (derrames, filtraciones menores, incidentes sanitarios) con tiempo de respuesta máximo de 10 minutos en horario de funcionamiento del mall.</w:t>
      </w:r>
    </w:p>
    <w:p>
      <w:pPr>
        <w:pStyle w:val="Heading1"/>
        <w:spacing w:after="200" w:before="320"/>
      </w:pPr>
      <w:r>
        <w:rPr>
          <w:rFonts w:ascii="Calibri" w:cs="Calibri" w:eastAsia="Calibri" w:hAnsi="Calibri"/>
          <w:b/>
          <w:bCs/>
          <w:color w:val="1F3864"/>
          <w:sz w:val="30"/>
          <w:szCs w:val="30"/>
        </w:rPr>
        <w:t xml:space="preserve">3. Presupuesto máximo disponible</w:t>
      </w:r>
    </w:p>
    <w:p>
      <w:pPr>
        <w:spacing w:after="160" w:line="276"/>
        <w:jc w:val="both"/>
      </w:pPr>
      <w:r>
        <w:rPr>
          <w:rFonts w:ascii="Calibri" w:cs="Calibri" w:eastAsia="Calibri" w:hAnsi="Calibri"/>
          <w:sz w:val="22"/>
          <w:szCs w:val="22"/>
        </w:rPr>
        <w:t xml:space="preserve">El presupuesto máximo anual disponible para el servicio es de </w:t>
      </w:r>
      <w:r>
        <w:rPr>
          <w:rFonts w:ascii="Calibri" w:cs="Calibri" w:eastAsia="Calibri" w:hAnsi="Calibri"/>
          <w:b/>
          <w:bCs/>
          <w:sz w:val="22"/>
          <w:szCs w:val="22"/>
        </w:rPr>
        <w:t xml:space="preserve">UF 5.200 (cinco mil doscientas Unidades de Fomento), impuestos incluidos</w:t>
      </w:r>
      <w:r>
        <w:rPr>
          <w:rFonts w:ascii="Calibri" w:cs="Calibri" w:eastAsia="Calibri" w:hAnsi="Calibri"/>
          <w:sz w:val="22"/>
          <w:szCs w:val="22"/>
        </w:rPr>
        <w:t xml:space="preserve">. Las ofertas económicas que excedan este monto serán declaradas inadmisibles sin evaluación posterior. El precio ofertado deberá expresarse en UF, con un valor mensual uniforme, y comprenderá la totalidad de los costos del servicio: remuneraciones, leyes sociales, insumos, maquinaria, uniformes, supervisión, gastos generales y utilidad.</w:t>
      </w:r>
    </w:p>
    <w:p>
      <w:pPr>
        <w:spacing w:after="160" w:line="276"/>
        <w:jc w:val="both"/>
      </w:pPr>
      <w:r>
        <w:rPr>
          <w:rFonts w:ascii="Calibri" w:cs="Calibri" w:eastAsia="Calibri" w:hAnsi="Calibri"/>
          <w:b w:val="false"/>
          <w:bCs w:val="false"/>
          <w:i w:val="false"/>
          <w:iCs w:val="false"/>
          <w:sz w:val="22"/>
          <w:szCs w:val="22"/>
        </w:rPr>
        <w:t xml:space="preserve">No se aceptarán ofertas con precios variables, escalonados ni sujetos a reajustes distintos de la propia variación de la UF.</w:t>
      </w:r>
    </w:p>
    <w:p>
      <w:pPr>
        <w:pStyle w:val="Heading1"/>
        <w:spacing w:after="200" w:before="320"/>
      </w:pPr>
      <w:r>
        <w:rPr>
          <w:rFonts w:ascii="Calibri" w:cs="Calibri" w:eastAsia="Calibri" w:hAnsi="Calibri"/>
          <w:b/>
          <w:bCs/>
          <w:color w:val="1F3864"/>
          <w:sz w:val="30"/>
          <w:szCs w:val="30"/>
        </w:rPr>
        <w:t xml:space="preserve">4. Plazo y vigencia del contrato</w:t>
      </w:r>
    </w:p>
    <w:p>
      <w:pPr>
        <w:spacing w:after="160" w:line="276"/>
        <w:jc w:val="both"/>
      </w:pPr>
      <w:r>
        <w:rPr>
          <w:rFonts w:ascii="Calibri" w:cs="Calibri" w:eastAsia="Calibri" w:hAnsi="Calibri"/>
          <w:sz w:val="22"/>
          <w:szCs w:val="22"/>
        </w:rPr>
        <w:t xml:space="preserve">El contrato tendrá una vigencia de </w:t>
      </w:r>
      <w:r>
        <w:rPr>
          <w:rFonts w:ascii="Calibri" w:cs="Calibri" w:eastAsia="Calibri" w:hAnsi="Calibri"/>
          <w:b/>
          <w:bCs/>
          <w:sz w:val="22"/>
          <w:szCs w:val="22"/>
        </w:rPr>
        <w:t xml:space="preserve">36 meses</w:t>
      </w:r>
      <w:r>
        <w:rPr>
          <w:rFonts w:ascii="Calibri" w:cs="Calibri" w:eastAsia="Calibri" w:hAnsi="Calibri"/>
          <w:sz w:val="22"/>
          <w:szCs w:val="22"/>
        </w:rPr>
        <w:t xml:space="preserve">, con inicio de servicio el </w:t>
      </w:r>
      <w:r>
        <w:rPr>
          <w:rFonts w:ascii="Calibri" w:cs="Calibri" w:eastAsia="Calibri" w:hAnsi="Calibri"/>
          <w:b/>
          <w:bCs/>
          <w:sz w:val="22"/>
          <w:szCs w:val="22"/>
        </w:rPr>
        <w:t xml:space="preserve">1 de septiembre de 2026</w:t>
      </w:r>
      <w:r>
        <w:rPr>
          <w:rFonts w:ascii="Calibri" w:cs="Calibri" w:eastAsia="Calibri" w:hAnsi="Calibri"/>
          <w:sz w:val="22"/>
          <w:szCs w:val="22"/>
        </w:rPr>
        <w:t xml:space="preserve"> y término el 31 de agosto de 2029, renovable por períodos de 12 meses previo acuerdo escrito de las partes con al menos 90 días de anticipación al vencimiento.</w:t>
      </w:r>
    </w:p>
    <w:p>
      <w:pPr>
        <w:spacing w:after="160" w:line="276"/>
        <w:jc w:val="both"/>
      </w:pPr>
      <w:r>
        <w:rPr>
          <w:rFonts w:ascii="Calibri" w:cs="Calibri" w:eastAsia="Calibri" w:hAnsi="Calibri"/>
          <w:b w:val="false"/>
          <w:bCs w:val="false"/>
          <w:i w:val="false"/>
          <w:iCs w:val="false"/>
          <w:sz w:val="22"/>
          <w:szCs w:val="22"/>
        </w:rPr>
        <w:t xml:space="preserve">El adjudicatario deberá encontrarse plenamente operativo, con la totalidad de la dotación contratada, acreditada e inducida, en la fecha de inicio del servicio. No se contemplan períodos de marcha blanca con dotación parcial.</w:t>
      </w:r>
    </w:p>
    <w:p>
      <w:pPr>
        <w:pStyle w:val="Heading2"/>
        <w:spacing w:after="160" w:before="260"/>
      </w:pPr>
      <w:r>
        <w:rPr>
          <w:rFonts w:ascii="Calibri" w:cs="Calibri" w:eastAsia="Calibri" w:hAnsi="Calibri"/>
          <w:b/>
          <w:bCs/>
          <w:color w:val="2E5395"/>
          <w:sz w:val="25"/>
          <w:szCs w:val="25"/>
        </w:rPr>
        <w:t xml:space="preserve">4.1 Cronograma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Hito</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Fecha</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Publicación de bases e invitación</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 de julio de 2026</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Visita a terreno obligatoria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 de julio de 2026, 09:00 h</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Recepción de consultas</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hasta el 17 de julio de 2026</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Respuestas y aclaraciones</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22 de julio de 2026</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Recepción de ofertas</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31 de julio de 2026, 12:00 h</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Adjudicación estimada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 de agosto de 2026</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Firma de contrato</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 de agosto de 2026</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Inicio del servicio</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de septiembre de 2026</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La asistencia a la visita a terreno es requisito de admisibilidad. En dicha visita se levantará un acta firmada por los asistentes; solo lo consignado en el acta y en las aclaraciones oficiales formará parte de las Bases. Los acuerdos verbales que no consten en dichos documentos carecen de todo valor contractual.</w:t>
      </w:r>
    </w:p>
    <w:p>
      <w:pPr>
        <w:pStyle w:val="Heading1"/>
        <w:spacing w:after="200" w:before="320"/>
      </w:pPr>
      <w:r>
        <w:rPr>
          <w:rFonts w:ascii="Calibri" w:cs="Calibri" w:eastAsia="Calibri" w:hAnsi="Calibri"/>
          <w:b/>
          <w:bCs/>
          <w:color w:val="1F3864"/>
          <w:sz w:val="30"/>
          <w:szCs w:val="30"/>
        </w:rPr>
        <w:t xml:space="preserve">5. Dotación y organización del servicio</w:t>
      </w:r>
    </w:p>
    <w:p>
      <w:pPr>
        <w:spacing w:after="160" w:line="276"/>
        <w:jc w:val="both"/>
      </w:pPr>
      <w:r>
        <w:rPr>
          <w:rFonts w:ascii="Calibri" w:cs="Calibri" w:eastAsia="Calibri" w:hAnsi="Calibri"/>
          <w:sz w:val="22"/>
          <w:szCs w:val="22"/>
        </w:rPr>
        <w:t xml:space="preserve">El proponente deberá considerar una dotación mínima de </w:t>
      </w:r>
      <w:r>
        <w:rPr>
          <w:rFonts w:ascii="Calibri" w:cs="Calibri" w:eastAsia="Calibri" w:hAnsi="Calibri"/>
          <w:b/>
          <w:bCs/>
          <w:sz w:val="22"/>
          <w:szCs w:val="22"/>
        </w:rPr>
        <w:t xml:space="preserve">36 operarios de aseo en régimen permanente</w:t>
      </w:r>
      <w:r>
        <w:rPr>
          <w:rFonts w:ascii="Calibri" w:cs="Calibri" w:eastAsia="Calibri" w:hAnsi="Calibri"/>
          <w:sz w:val="22"/>
          <w:szCs w:val="22"/>
        </w:rPr>
        <w:t xml:space="preserve">, distribuidos en turnos que cubran el horario de funcionamiento del centro comercial (10:00 a 22:00 horas, los 365 días del año) y las labores nocturnas de aseo profundo. Adicionalmente deberá contemplar, como mínimo: 1 jefe de contrato con dedicación exclusiva, 3 supervisores de turno y 1 prevencionista de riesgos con dedicación mínima de media jornada.</w:t>
      </w:r>
    </w:p>
    <w:p>
      <w:pPr>
        <w:spacing w:after="160" w:line="276"/>
        <w:jc w:val="both"/>
      </w:pPr>
      <w:r>
        <w:rPr>
          <w:rFonts w:ascii="Calibri" w:cs="Calibri" w:eastAsia="Calibri" w:hAnsi="Calibri"/>
          <w:b w:val="false"/>
          <w:bCs w:val="false"/>
          <w:i w:val="false"/>
          <w:iCs w:val="false"/>
          <w:sz w:val="22"/>
          <w:szCs w:val="22"/>
        </w:rPr>
        <w:t xml:space="preserve">La distribución de turnos propuesta deberá presentarse en detalle, indicando dotación por franja horaria, cobertura de fines de semana y festivos, y mecanismo de reemplazo de ausentismo, el cual no podrá implicar una cobertura efectiva inferior al 95% de la dotación comprometida en ningún día del mes.</w:t>
      </w:r>
    </w:p>
    <w:p>
      <w:pPr>
        <w:spacing w:after="160" w:line="276"/>
        <w:jc w:val="both"/>
      </w:pPr>
      <w:r>
        <w:rPr>
          <w:rFonts w:ascii="Calibri" w:cs="Calibri" w:eastAsia="Calibri" w:hAnsi="Calibri"/>
          <w:sz w:val="22"/>
          <w:szCs w:val="22"/>
        </w:rPr>
        <w:t xml:space="preserve">Toda la dotación deberá estar contratada en conformidad a la legislación laboral vigente, incluyendo la </w:t>
      </w:r>
      <w:r>
        <w:rPr>
          <w:rFonts w:ascii="Calibri" w:cs="Calibri" w:eastAsia="Calibri" w:hAnsi="Calibri"/>
          <w:b/>
          <w:bCs/>
          <w:sz w:val="22"/>
          <w:szCs w:val="22"/>
        </w:rPr>
        <w:t xml:space="preserve">Ley N° 21.561, que a la fecha de inicio del servicio establece una jornada ordinaria máxima de 44 horas semanales</w:t>
      </w:r>
      <w:r>
        <w:rPr>
          <w:rFonts w:ascii="Calibri" w:cs="Calibri" w:eastAsia="Calibri" w:hAnsi="Calibri"/>
          <w:sz w:val="22"/>
          <w:szCs w:val="22"/>
        </w:rPr>
        <w:t xml:space="preserve">, la Ley N° 20.123 sobre subcontratación, y la normativa de higiene y seguridad aplicable (D.S. N° 44 de 2024 del Ministerio del Trabajo y Previsión Social). El Mandante ejercerá los derechos de información y retención que le confiere la ley.</w:t>
      </w:r>
    </w:p>
    <w:p>
      <w:pPr>
        <w:pStyle w:val="Heading1"/>
        <w:spacing w:after="200" w:before="320"/>
      </w:pPr>
      <w:r>
        <w:rPr>
          <w:rFonts w:ascii="Calibri" w:cs="Calibri" w:eastAsia="Calibri" w:hAnsi="Calibri"/>
          <w:b/>
          <w:bCs/>
          <w:color w:val="1F3864"/>
          <w:sz w:val="30"/>
          <w:szCs w:val="30"/>
        </w:rPr>
        <w:t xml:space="preserve">6. Insumos, equipamiento e instalaciones</w:t>
      </w:r>
    </w:p>
    <w:p>
      <w:pPr>
        <w:spacing w:after="160" w:line="276"/>
        <w:jc w:val="both"/>
      </w:pPr>
      <w:r>
        <w:rPr>
          <w:rFonts w:ascii="Calibri" w:cs="Calibri" w:eastAsia="Calibri" w:hAnsi="Calibri"/>
          <w:b/>
          <w:bCs/>
          <w:sz w:val="22"/>
          <w:szCs w:val="22"/>
        </w:rPr>
        <w:t xml:space="preserve">Serán de cargo exclusivo del proveedor</w:t>
      </w:r>
      <w:r>
        <w:rPr>
          <w:rFonts w:ascii="Calibri" w:cs="Calibri" w:eastAsia="Calibri" w:hAnsi="Calibri"/>
          <w:sz w:val="22"/>
          <w:szCs w:val="22"/>
        </w:rPr>
        <w:t xml:space="preserve"> la totalidad de los insumos de aseo (detergentes, sanitizantes, bolsas, papel higiénico, toalla de papel, jabón), la maquinaria (abrillantadoras, fregadoras, hidrolavadoras, aspiradoras industriales), los uniformes y elementos de protección personal, y los equipos de comunicación de su personal.</w:t>
      </w:r>
    </w:p>
    <w:p>
      <w:pPr>
        <w:spacing w:after="160" w:line="276"/>
        <w:jc w:val="both"/>
      </w:pPr>
      <w:r>
        <w:rPr>
          <w:rFonts w:ascii="Calibri" w:cs="Calibri" w:eastAsia="Calibri" w:hAnsi="Calibri"/>
          <w:sz w:val="22"/>
          <w:szCs w:val="22"/>
        </w:rPr>
        <w:t xml:space="preserve">El Mandante facilitará, a título de comodato y para uso exclusivo del contrato, una bodega de </w:t>
      </w:r>
      <w:r>
        <w:rPr>
          <w:rFonts w:ascii="Calibri" w:cs="Calibri" w:eastAsia="Calibri" w:hAnsi="Calibri"/>
          <w:b/>
          <w:bCs/>
          <w:sz w:val="22"/>
          <w:szCs w:val="22"/>
        </w:rPr>
        <w:t xml:space="preserve">35 m²</w:t>
      </w:r>
      <w:r>
        <w:rPr>
          <w:rFonts w:ascii="Calibri" w:cs="Calibri" w:eastAsia="Calibri" w:hAnsi="Calibri"/>
          <w:sz w:val="22"/>
          <w:szCs w:val="22"/>
        </w:rPr>
        <w:t xml:space="preserve"> en el nivel -2 para almacenamiento de insumos y maquinaria. </w:t>
      </w:r>
      <w:r>
        <w:rPr>
          <w:rFonts w:ascii="Calibri" w:cs="Calibri" w:eastAsia="Calibri" w:hAnsi="Calibri"/>
          <w:b/>
          <w:bCs/>
          <w:sz w:val="22"/>
          <w:szCs w:val="22"/>
        </w:rPr>
        <w:t xml:space="preserve">Los consumos de agua y energía eléctrica asociados a la operación del servicio serán de cargo del proveedor</w:t>
      </w:r>
      <w:r>
        <w:rPr>
          <w:rFonts w:ascii="Calibri" w:cs="Calibri" w:eastAsia="Calibri" w:hAnsi="Calibri"/>
          <w:sz w:val="22"/>
          <w:szCs w:val="22"/>
        </w:rPr>
        <w:t xml:space="preserve"> y se facturarán mensualmente mediante remarcadores. No existen otras dependencias, consumos ni facilidades comprometidas por el Mandante, cualquiera sea lo que se converse en la visita a terreno, salvo que conste expresamente en el acta o en las aclaraciones oficiales.</w:t>
      </w:r>
    </w:p>
    <w:p>
      <w:pPr>
        <w:pStyle w:val="Heading1"/>
        <w:spacing w:after="200" w:before="320"/>
      </w:pPr>
      <w:r>
        <w:rPr>
          <w:rFonts w:ascii="Calibri" w:cs="Calibri" w:eastAsia="Calibri" w:hAnsi="Calibri"/>
          <w:b/>
          <w:bCs/>
          <w:color w:val="1F3864"/>
          <w:sz w:val="30"/>
          <w:szCs w:val="30"/>
        </w:rPr>
        <w:t xml:space="preserve">7. Niveles de servicio (SLA) y multas</w:t>
      </w:r>
    </w:p>
    <w:p>
      <w:pPr>
        <w:spacing w:after="160" w:line="276"/>
        <w:jc w:val="both"/>
      </w:pPr>
      <w:r>
        <w:rPr>
          <w:rFonts w:ascii="Calibri" w:cs="Calibri" w:eastAsia="Calibri" w:hAnsi="Calibri"/>
          <w:b w:val="false"/>
          <w:bCs w:val="false"/>
          <w:i w:val="false"/>
          <w:iCs w:val="false"/>
          <w:sz w:val="22"/>
          <w:szCs w:val="22"/>
        </w:rPr>
        <w:t xml:space="preserve">El servicio se gestionará mediante los siguientes indicadores, medidos mensualmente por el administrador del contrato con apoyo de inspecciones aleatorias y del sistema de tickets del 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60"/>
      </w:tblGrid>
      <w:tr>
        <w:trPr>
          <w:tblHeader/>
        </w:trPr>
        <w:tc>
          <w:tcPr>
            <w:tcW w:type="dxa" w:w="32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Indicador</w:t>
            </w:r>
          </w:p>
        </w:tc>
        <w:tc>
          <w:tcPr>
            <w:tcW w:type="dxa" w:w="21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Meta</w:t>
            </w:r>
          </w:p>
        </w:tc>
        <w:tc>
          <w:tcPr>
            <w:tcW w:type="dxa" w:w="21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Tolerancia</w:t>
            </w:r>
          </w:p>
        </w:tc>
        <w:tc>
          <w:tcPr>
            <w:tcW w:type="dxa" w:w="1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Multa</w:t>
            </w:r>
          </w:p>
        </w:tc>
      </w:tr>
      <w:tr>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Cumplimiento de rondas de aseo programadas</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98%</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95%–98%</w:t>
            </w:r>
          </w:p>
        </w:tc>
        <w:tc>
          <w:tcPr>
            <w:tcW w:type="dxa" w:w="1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UF 5 por punto</w:t>
            </w:r>
          </w:p>
        </w:tc>
      </w:tr>
      <w:tr>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Tiempo de respuesta a emergencias</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10 min</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10–15 min</w:t>
            </w:r>
          </w:p>
        </w:tc>
        <w:tc>
          <w:tcPr>
            <w:tcW w:type="dxa" w:w="1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UF 3 por evento</w:t>
            </w:r>
          </w:p>
        </w:tc>
      </w:tr>
      <w:tr>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Cobertura efectiva de dotación diaria</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95%</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92%–95%</w:t>
            </w:r>
          </w:p>
        </w:tc>
        <w:tc>
          <w:tcPr>
            <w:tcW w:type="dxa" w:w="1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UF 8 por punto</w:t>
            </w:r>
          </w:p>
        </w:tc>
      </w:tr>
      <w:tr>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Resultado de inspección de calidad mensual</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90 pts</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85–90 pts</w:t>
            </w:r>
          </w:p>
        </w:tc>
        <w:tc>
          <w:tcPr>
            <w:tcW w:type="dxa" w:w="1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UF 10 por punto</w:t>
            </w:r>
          </w:p>
        </w:tc>
      </w:tr>
      <w:tr>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Reclamos de visitantes atribuibles a aseo</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 12 al mes</w:t>
            </w:r>
          </w:p>
        </w:tc>
        <w:tc>
          <w:tcPr>
            <w:tcW w:type="dxa" w:w="21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13–18</w:t>
            </w:r>
          </w:p>
        </w:tc>
        <w:tc>
          <w:tcPr>
            <w:tcW w:type="dxa" w:w="1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UF 2 por reclamo</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La acumulación de multas superiores a UF 40 en un mes, o el incumplimiento de la meta de cobertura de dotación durante tres meses consecutivos, facultará al Mandante para poner término anticipado al contrato, sin perjuicio del cobro de la garantía de fiel cumplimiento.</w:t>
      </w:r>
    </w:p>
    <w:p>
      <w:pPr>
        <w:pStyle w:val="Heading1"/>
        <w:spacing w:after="200" w:before="320"/>
      </w:pPr>
      <w:r>
        <w:rPr>
          <w:rFonts w:ascii="Calibri" w:cs="Calibri" w:eastAsia="Calibri" w:hAnsi="Calibri"/>
          <w:b/>
          <w:bCs/>
          <w:color w:val="1F3864"/>
          <w:sz w:val="30"/>
          <w:szCs w:val="30"/>
        </w:rPr>
        <w:t xml:space="preserve">8. Garantías</w:t>
      </w:r>
    </w:p>
    <w:p>
      <w:pPr>
        <w:pStyle w:val="Heading2"/>
        <w:spacing w:after="160" w:before="260"/>
      </w:pPr>
      <w:r>
        <w:rPr>
          <w:rFonts w:ascii="Calibri" w:cs="Calibri" w:eastAsia="Calibri" w:hAnsi="Calibri"/>
          <w:b/>
          <w:bCs/>
          <w:color w:val="2E5395"/>
          <w:sz w:val="25"/>
          <w:szCs w:val="25"/>
        </w:rPr>
        <w:t xml:space="preserve">8.1 Garantía de seriedad de la oferta</w:t>
      </w:r>
    </w:p>
    <w:p>
      <w:pPr>
        <w:spacing w:after="160" w:line="276"/>
        <w:jc w:val="both"/>
      </w:pPr>
      <w:r>
        <w:rPr>
          <w:rFonts w:ascii="Calibri" w:cs="Calibri" w:eastAsia="Calibri" w:hAnsi="Calibri"/>
          <w:b w:val="false"/>
          <w:bCs w:val="false"/>
          <w:i w:val="false"/>
          <w:iCs w:val="false"/>
          <w:sz w:val="22"/>
          <w:szCs w:val="22"/>
        </w:rPr>
        <w:t xml:space="preserve">Boleta de garantía bancaria o certificado de fianza a la vista, pagadera a nombre del Mandante, por un monto de UF 100, con vigencia mínima de 90 días corridos desde la fecha de recepción de ofertas. Se devolverá a los oferentes no adjudicados dentro de los 15 días siguientes a la adjudicación.</w:t>
      </w:r>
    </w:p>
    <w:p>
      <w:pPr>
        <w:pStyle w:val="Heading2"/>
        <w:spacing w:after="160" w:before="260"/>
      </w:pPr>
      <w:r>
        <w:rPr>
          <w:rFonts w:ascii="Calibri" w:cs="Calibri" w:eastAsia="Calibri" w:hAnsi="Calibri"/>
          <w:b/>
          <w:bCs/>
          <w:color w:val="2E5395"/>
          <w:sz w:val="25"/>
          <w:szCs w:val="25"/>
        </w:rPr>
        <w:t xml:space="preserve">8.2 Garantía de fiel cumplimiento del contrato</w:t>
      </w:r>
    </w:p>
    <w:p>
      <w:pPr>
        <w:spacing w:after="160" w:line="276"/>
        <w:jc w:val="both"/>
      </w:pPr>
      <w:r>
        <w:rPr>
          <w:rFonts w:ascii="Calibri" w:cs="Calibri" w:eastAsia="Calibri" w:hAnsi="Calibri"/>
          <w:sz w:val="22"/>
          <w:szCs w:val="22"/>
        </w:rPr>
        <w:t xml:space="preserve">El adjudicatario deberá entregar, en forma previa a la firma del contrato, una </w:t>
      </w:r>
      <w:r>
        <w:rPr>
          <w:rFonts w:ascii="Calibri" w:cs="Calibri" w:eastAsia="Calibri" w:hAnsi="Calibri"/>
          <w:b/>
          <w:bCs/>
          <w:sz w:val="22"/>
          <w:szCs w:val="22"/>
        </w:rPr>
        <w:t xml:space="preserve">boleta de garantía de fiel cumplimiento equivalente al 10% del valor anual del contrato</w:t>
      </w:r>
      <w:r>
        <w:rPr>
          <w:rFonts w:ascii="Calibri" w:cs="Calibri" w:eastAsia="Calibri" w:hAnsi="Calibri"/>
          <w:sz w:val="22"/>
          <w:szCs w:val="22"/>
        </w:rPr>
        <w:t xml:space="preserve">, con vigencia igual al plazo del contrato más 90 días corridos. Su no presentación oportuna dejará sin efecto la adjudicación, pudiendo el Mandante adjudicar al oferente que ocupe el siguiente lugar en la evaluación. </w:t>
      </w:r>
      <w:r>
        <w:rPr>
          <w:rFonts w:ascii="Calibri" w:cs="Calibri" w:eastAsia="Calibri" w:hAnsi="Calibri"/>
          <w:b/>
          <w:bCs/>
          <w:sz w:val="22"/>
          <w:szCs w:val="22"/>
        </w:rPr>
        <w:t xml:space="preserve">Las ofertas deberán declarar expresamente el compromiso de constituir ambas garantías; la omisión de esta declaración será observada en la evaluación de admisibilidad.</w:t>
      </w:r>
    </w:p>
    <w:p>
      <w:pPr>
        <w:pStyle w:val="Heading1"/>
        <w:spacing w:after="200" w:before="320"/>
      </w:pPr>
      <w:r>
        <w:rPr>
          <w:rFonts w:ascii="Calibri" w:cs="Calibri" w:eastAsia="Calibri" w:hAnsi="Calibri"/>
          <w:b/>
          <w:bCs/>
          <w:color w:val="1F3864"/>
          <w:sz w:val="30"/>
          <w:szCs w:val="30"/>
        </w:rPr>
        <w:t xml:space="preserve">9. Criterios de evaluación</w:t>
      </w:r>
    </w:p>
    <w:p>
      <w:pPr>
        <w:spacing w:after="160" w:line="276"/>
        <w:jc w:val="both"/>
      </w:pPr>
      <w:r>
        <w:rPr>
          <w:rFonts w:ascii="Calibri" w:cs="Calibri" w:eastAsia="Calibri" w:hAnsi="Calibri"/>
          <w:b w:val="false"/>
          <w:bCs w:val="false"/>
          <w:i w:val="false"/>
          <w:iCs w:val="false"/>
          <w:sz w:val="22"/>
          <w:szCs w:val="22"/>
        </w:rPr>
        <w:t xml:space="preserve">Las ofertas admisibles serán evaluadas con nota de 1,0 a 7,0 en cada criterio, ponderadas según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Criterio</w:t>
            </w:r>
          </w:p>
        </w:tc>
        <w:tc>
          <w:tcPr>
            <w:tcW w:type="dxa" w:w="30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Ponderación</w:t>
            </w:r>
          </w:p>
        </w:tc>
        <w:tc>
          <w:tcPr>
            <w:tcW w:type="dxa" w:w="2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Descripción resumida</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Oferta económica</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40%</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Menor precio anual en UF</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Propuesta técnica y plan operativo</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35%</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Dotación, turnos, maquinaria, plan de calidad</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Experiencia comprobable</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Contratos similares en retail o alto flujo, con certificados</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Sostenibilidad y economía circular</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Insumos biodegradables, gestión hídrica, reciclaje</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La experiencia solo se considerará comprobable si se acompaña de certificados emitidos por los mandantes respectivos, indicando período, superficie atendida y evaluación del servicio. Las declaraciones de experiencia sin respaldo documental recibirán nota 1,0 en el criterio. El Mandante no mantiene ni publica rankings de proveedores; toda referencia a evaluaciones internas de Mallplaza deberá acreditarse mediante certificado emitido por la Gerencia de Operaciones respectiva.</w:t>
      </w:r>
    </w:p>
    <w:p>
      <w:pPr>
        <w:pStyle w:val="Heading1"/>
        <w:spacing w:after="200" w:before="320"/>
      </w:pPr>
      <w:r>
        <w:rPr>
          <w:rFonts w:ascii="Calibri" w:cs="Calibri" w:eastAsia="Calibri" w:hAnsi="Calibri"/>
          <w:b/>
          <w:bCs/>
          <w:color w:val="1F3864"/>
          <w:sz w:val="30"/>
          <w:szCs w:val="30"/>
        </w:rPr>
        <w:t xml:space="preserve">10. Contenido mínimo de la oferta</w:t>
      </w:r>
    </w:p>
    <w:p>
      <w:pPr>
        <w:spacing w:after="160" w:line="276"/>
        <w:jc w:val="both"/>
      </w:pPr>
      <w:r>
        <w:rPr>
          <w:rFonts w:ascii="Calibri" w:cs="Calibri" w:eastAsia="Calibri" w:hAnsi="Calibri"/>
          <w:b w:val="false"/>
          <w:bCs w:val="false"/>
          <w:i w:val="false"/>
          <w:iCs w:val="false"/>
          <w:sz w:val="22"/>
          <w:szCs w:val="22"/>
        </w:rPr>
        <w:t xml:space="preserve">La propuesta deberá presentarse en dos sobres digitales separados (técnico y económico) y contener, a lo menos:</w:t>
      </w:r>
    </w:p>
    <w:p>
      <w:pPr>
        <w:pStyle w:val="ListParagraph"/>
        <w:numPr>
          <w:ilvl w:val="0"/>
          <w:numId w:val="2"/>
        </w:numPr>
        <w:spacing w:after="100" w:line="276"/>
      </w:pPr>
      <w:r>
        <w:rPr>
          <w:rFonts w:ascii="Calibri" w:cs="Calibri" w:eastAsia="Calibri" w:hAnsi="Calibri"/>
          <w:sz w:val="22"/>
          <w:szCs w:val="22"/>
        </w:rPr>
        <w:t xml:space="preserve">Identificación completa del oferente, escritura de constitución y certificado de vigencia.</w:t>
      </w:r>
    </w:p>
    <w:p>
      <w:pPr>
        <w:pStyle w:val="ListParagraph"/>
        <w:numPr>
          <w:ilvl w:val="0"/>
          <w:numId w:val="2"/>
        </w:numPr>
        <w:spacing w:after="100" w:line="276"/>
      </w:pPr>
      <w:r>
        <w:rPr>
          <w:rFonts w:ascii="Calibri" w:cs="Calibri" w:eastAsia="Calibri" w:hAnsi="Calibri"/>
          <w:sz w:val="22"/>
          <w:szCs w:val="22"/>
        </w:rPr>
        <w:t xml:space="preserve">Declaración jurada de aceptación íntegra de las Bases y de inexistencia de inhabilidades.</w:t>
      </w:r>
    </w:p>
    <w:p>
      <w:pPr>
        <w:pStyle w:val="ListParagraph"/>
        <w:numPr>
          <w:ilvl w:val="0"/>
          <w:numId w:val="2"/>
        </w:numPr>
        <w:spacing w:after="100" w:line="276"/>
      </w:pPr>
      <w:r>
        <w:rPr>
          <w:rFonts w:ascii="Calibri" w:cs="Calibri" w:eastAsia="Calibri" w:hAnsi="Calibri"/>
          <w:sz w:val="22"/>
          <w:szCs w:val="22"/>
        </w:rPr>
        <w:t xml:space="preserve">Plan operativo detallado: organigrama, dotación por turno, rutinas y frecuencias de aseo por zona.</w:t>
      </w:r>
    </w:p>
    <w:p>
      <w:pPr>
        <w:pStyle w:val="ListParagraph"/>
        <w:numPr>
          <w:ilvl w:val="0"/>
          <w:numId w:val="2"/>
        </w:numPr>
        <w:spacing w:after="100" w:line="276"/>
      </w:pPr>
      <w:r>
        <w:rPr>
          <w:rFonts w:ascii="Calibri" w:cs="Calibri" w:eastAsia="Calibri" w:hAnsi="Calibri"/>
          <w:sz w:val="22"/>
          <w:szCs w:val="22"/>
        </w:rPr>
        <w:t xml:space="preserve">Listado de maquinaria y equipamiento, con año de fabricación y plan de mantención.</w:t>
      </w:r>
    </w:p>
    <w:p>
      <w:pPr>
        <w:pStyle w:val="ListParagraph"/>
        <w:numPr>
          <w:ilvl w:val="0"/>
          <w:numId w:val="2"/>
        </w:numPr>
        <w:spacing w:after="100" w:line="276"/>
      </w:pPr>
      <w:r>
        <w:rPr>
          <w:rFonts w:ascii="Calibri" w:cs="Calibri" w:eastAsia="Calibri" w:hAnsi="Calibri"/>
          <w:sz w:val="22"/>
          <w:szCs w:val="22"/>
        </w:rPr>
        <w:t xml:space="preserve">Certificados de experiencia conforme al numeral 9.</w:t>
      </w:r>
    </w:p>
    <w:p>
      <w:pPr>
        <w:pStyle w:val="ListParagraph"/>
        <w:numPr>
          <w:ilvl w:val="0"/>
          <w:numId w:val="2"/>
        </w:numPr>
        <w:spacing w:after="100" w:line="276"/>
      </w:pPr>
      <w:r>
        <w:rPr>
          <w:rFonts w:ascii="Calibri" w:cs="Calibri" w:eastAsia="Calibri" w:hAnsi="Calibri"/>
          <w:sz w:val="22"/>
          <w:szCs w:val="22"/>
        </w:rPr>
        <w:t xml:space="preserve">Compromiso expreso de constitución de las garantías del numeral 8.</w:t>
      </w:r>
    </w:p>
    <w:p>
      <w:pPr>
        <w:pStyle w:val="ListParagraph"/>
        <w:numPr>
          <w:ilvl w:val="0"/>
          <w:numId w:val="2"/>
        </w:numPr>
        <w:spacing w:after="100" w:line="276"/>
      </w:pPr>
      <w:r>
        <w:rPr>
          <w:rFonts w:ascii="Calibri" w:cs="Calibri" w:eastAsia="Calibri" w:hAnsi="Calibri"/>
          <w:sz w:val="22"/>
          <w:szCs w:val="22"/>
        </w:rPr>
        <w:t xml:space="preserve">Oferta económica en UF, desglosada en los ítems principales de costo.</w:t>
      </w:r>
    </w:p>
    <w:p>
      <w:pPr>
        <w:spacing w:after="160" w:line="276"/>
        <w:jc w:val="both"/>
      </w:pPr>
      <w:r>
        <w:rPr>
          <w:rFonts w:ascii="Calibri" w:cs="Calibri" w:eastAsia="Calibri" w:hAnsi="Calibri"/>
          <w:b w:val="false"/>
          <w:bCs w:val="false"/>
          <w:i w:val="false"/>
          <w:iCs w:val="false"/>
          <w:sz w:val="22"/>
          <w:szCs w:val="22"/>
        </w:rPr>
        <w:t xml:space="preserve">La omisión de cualquiera de estos contenidos facultará a la Comisión Evaluadora para declarar la oferta inadmisible o para asignar nota mínima en el criterio correspondiente, según la naturaleza de la omisión.</w:t>
      </w:r>
    </w:p>
    <w:p>
      <w:pPr>
        <w:pStyle w:val="Heading1"/>
        <w:spacing w:after="200" w:before="320"/>
      </w:pPr>
      <w:r>
        <w:rPr>
          <w:rFonts w:ascii="Calibri" w:cs="Calibri" w:eastAsia="Calibri" w:hAnsi="Calibri"/>
          <w:b/>
          <w:bCs/>
          <w:color w:val="1F3864"/>
          <w:sz w:val="30"/>
          <w:szCs w:val="30"/>
        </w:rPr>
        <w:t xml:space="preserve">11. Administración del contrato</w:t>
      </w:r>
    </w:p>
    <w:p>
      <w:pPr>
        <w:spacing w:after="160" w:line="276"/>
        <w:jc w:val="both"/>
      </w:pPr>
      <w:r>
        <w:rPr>
          <w:rFonts w:ascii="Calibri" w:cs="Calibri" w:eastAsia="Calibri" w:hAnsi="Calibri"/>
          <w:b w:val="false"/>
          <w:bCs w:val="false"/>
          <w:i w:val="false"/>
          <w:iCs w:val="false"/>
          <w:sz w:val="22"/>
          <w:szCs w:val="22"/>
        </w:rPr>
        <w:t xml:space="preserve">El contrato será administrado por la Subgerencia de Operaciones del centro comercial. Se realizará una reunión mensual de gestión con revisión de indicadores, plan de mejoras y cierre de no conformidades, cuya acta formará parte del expediente del contrato. El proveedor deberá disponer de un sistema de registro de rondas con verificación digital (código QR o similar) en los puntos críticos definidos por el Mandante, cuyos reportes estarán disponibles en línea para el administrador del contrato.</w:t>
      </w:r>
    </w:p>
    <w:p>
      <w:pPr>
        <w:spacing w:after="160" w:line="276"/>
        <w:jc w:val="both"/>
      </w:pPr>
      <w:r>
        <w:rPr>
          <w:rFonts w:ascii="Calibri" w:cs="Calibri" w:eastAsia="Calibri" w:hAnsi="Calibri"/>
          <w:b w:val="false"/>
          <w:bCs w:val="false"/>
          <w:i w:val="false"/>
          <w:iCs w:val="false"/>
          <w:sz w:val="22"/>
          <w:szCs w:val="22"/>
        </w:rPr>
        <w:t xml:space="preserve">Santiago, 6 de julio de 2026. Subgerencia de Operaciones, Mallplaza Egaña (documento ficticio de entrenamiento).</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LP-2026-041 · Bases de Licitación · Documento de entrenamiento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2026-07-08T15:33:26.070Z</dcterms:created>
  <dcterms:modified xsi:type="dcterms:W3CDTF">2026-07-08T15:33:26.086Z</dcterms:modified>
</cp:coreProperties>
</file>

<file path=docProps/custom.xml><?xml version="1.0" encoding="utf-8"?>
<Properties xmlns="http://schemas.openxmlformats.org/officeDocument/2006/custom-properties" xmlns:vt="http://schemas.openxmlformats.org/officeDocument/2006/docPropsVTypes"/>
</file>