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Propuesta Técnica y Económica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Licitación Privada N° LP-2026-041 · Servicios Integrales Limpex SpA · Aseo y Mantención de Áreas Comunes, Mallplaza Egaña</w:t>
      </w:r>
    </w:p>
    <w:p>
      <w:pPr>
        <w:spacing w:after="30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Documento ficticio con fines exclusivamente formativos. Programa Liderazgo y Gestión Estratégica con IA. Los nombres, cifras y hechos no corresponden a procesos reales.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Presentación de la empresa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Servicios Integrales Limpex SpA es una empresa chilena con 17 años de trayectoria en servicios de aseo industrial y comercial, con presencia en las regiones Metropolitana, de Valparaíso y del Biobío. Nuestra propuesta de valor se sustenta en tres pilares: excelencia operacional medible, tecnología aplicada a la supervisión y un modelo de gestión de personas que nos ha permitido mantener una rotación anual inferior al 18%, muy por debajo del promedio de la industria.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Atendemos actualmente más de 420.000 m² de superficie en contratos activos, con una dotación total de 1.150 colaboradores. Contamos con certificaciones ISO 9001:2015 e ISO 14001:2015 vigentes, y con un departamento propio de prevención de riesgos con cobertura nacional.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Nos enorgullece señalar que Limpex fue evaluada con nota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6,8 sobre 7,0 en el último Ranking de Proveedores de Mallplaza 2025</w:t>
      </w:r>
      <w:r>
        <w:rPr>
          <w:rFonts w:ascii="Calibri" w:cs="Calibri" w:eastAsia="Calibri" w:hAnsi="Calibri"/>
          <w:sz w:val="22"/>
          <w:szCs w:val="22"/>
        </w:rPr>
        <w:t xml:space="preserve">, lo que refleja el estándar de servicio que proponemos replicar en Mallplaza Egaña.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Comprensión del requerimiento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Hemos estudiado en detalle las Bases de la Licitación Privada N° LP-2026-041 y participado en la visita a terreno del 14 de julio de 2026. Comprendemos que el desafío central de Mallplaza Egaña no es solo mantener estándares visibles de limpieza en un activo de 78.500 m² de GLA con 1,45 millones de visitas mensuales, sino hacerlo de manera consistente en los momentos de mayor exigencia: fines de semana, festivos, eventos y temporada navideña.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Sabemos, además, que la experiencia del visitante es una prioridad estratégica: el propio Reporte de Experiencia del Visitante del primer trimestre de 2026 muestra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NPS de limpieza actual del mall es de 42</w:t>
      </w:r>
      <w:r>
        <w:rPr>
          <w:rFonts w:ascii="Calibri" w:cs="Calibri" w:eastAsia="Calibri" w:hAnsi="Calibri"/>
          <w:sz w:val="22"/>
          <w:szCs w:val="22"/>
        </w:rPr>
        <w:t xml:space="preserve">, cifra que nuestra propuesta se compromete a elevar mediante un modelo de aseo por microzonas con verificación digital.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Propuesta técnica y plan operativo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3.1 Modelo operativo por microzonas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Dividimos el centro comercial en 24 microzonas con rutinas, frecuencias y responsables definidos. Cada microzona cuenta con puntos de control QR que registran hora, operario y checklist de tareas. El supervisor de turno recibe alertas en tiempo real ante rondas atrasadas, y el administrador del contrato de Mallplaza accede a un panel en línea con el cumplimiento diario.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patio de comidas opera bajo un esquema reforzado de cobertura continua entre 12:00 y 21:30 horas, con brigada exclusiva de retiro de bandejas y respuesta a derrames con estándar de 8 minutos, por debajo del máximo exigido de 10 minutos.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3.2 Dotación propuesta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Nuestra propuesta contempla una dotación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42 operarios de aseo en régimen permanente</w:t>
      </w:r>
      <w:r>
        <w:rPr>
          <w:rFonts w:ascii="Calibri" w:cs="Calibri" w:eastAsia="Calibri" w:hAnsi="Calibri"/>
          <w:sz w:val="22"/>
          <w:szCs w:val="22"/>
        </w:rPr>
        <w:t xml:space="preserve">, superando el mínimo exigido de 36, más 1 jefe de contrato con dedicación exclusiva, 3 supervisores de turno y 1 prevencionista de riesgos con media jornada. La distribución por turnos es la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Horario</w:t>
            </w:r>
          </w:p>
        </w:tc>
        <w:tc>
          <w:tcPr>
            <w:tcW w:type="dxa" w:w="23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Días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Operarios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Mañana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07:00 – 15:30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Lunes a domingo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Tarde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14:30 – 23:00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Lunes a domingo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Nocturno (aseo profundo)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23:00 – 06:30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Lunes a domingo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nuestro personal se encuentra contratado conforme a la legislación laboral vigente,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jornadas ordinarias de 45 horas semanales según lo establecido en el Código del Trabajo</w:t>
      </w:r>
      <w:r>
        <w:rPr>
          <w:rFonts w:ascii="Calibri" w:cs="Calibri" w:eastAsia="Calibri" w:hAnsi="Calibri"/>
          <w:sz w:val="22"/>
          <w:szCs w:val="22"/>
        </w:rPr>
        <w:t xml:space="preserve">, pago íntegro de cotizaciones y seguro complementario de salud de cargo de la empresa. El mecanismo de reemplazo de ausentismo se gestiona mediante un pool de 6 operarios volantes compartidos con contratos cercanos, garantizando una cobertura efectiva superior al 95% de la dotación comprometida.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3.3 Maquinaria y equipamiento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2 fregadoras hombre a bordo (2023) para pisos de niveles comerciales.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3 fregadoras de conductor a pie (2022–2024) para pasillos y patio de comidas.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2 barredoras mecanizadas (2023) para estacionamientos subterráneos.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1 hidrolavadora industrial de agua caliente para lavado quincenal de estacionamientos.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4 aspiradoras industriales, 2 abrillantadoras y equipamiento menor completo por microzona.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Toda la maquinaria cuenta con plan de mantención preventiva trimestral y equipo de respaldo ante fallas, con reposición máxima en 48 horas.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3.4 Plan de sostenibilidad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85% de nuestros insumos químicos corresponde a líneas biodegradables con certificación de terceros. Proponemos un plan de gestión hídrica con fregadoras de bajo consumo (reducción estimada de 30% frente a lavado tradicional) y colaboración activa con el plan de reciclaje del mall, incluyendo capacitación semestral de nuestra dotación en segregación de residuos.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Supuestos de la propuesta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presente oferta económica se construyó sobre los siguientes supuestos operacionales: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Acceso a los andenes de carga para retiro de residuos en horarios coordinados con la administración.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Conforme a lo conversado con el equipo de operaciones durante la visita a terreno, el Mandante facilitará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bodega de 60 m² en el nivel -2 y el consumo de agua asociado a la operación del servicio será de cargo de Mallplaza</w:t>
      </w:r>
      <w:r>
        <w:rPr>
          <w:rFonts w:ascii="Calibri" w:cs="Calibri" w:eastAsia="Calibri" w:hAnsi="Calibri"/>
          <w:sz w:val="22"/>
          <w:szCs w:val="22"/>
        </w:rPr>
        <w:t xml:space="preserve">, lo que nos permite trasladar ese ahorro directamente al precio ofertado.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Los servicios extraordinarios (limpieza en altura sobre 4 metros, eventos especiales fuera de programa) se cotizarán caso a caso y no forman parte del precio base.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Experiencia comprobable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Acompañamos certificados de los siguientes contratos vigentes o recientemente finalizados: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Mandante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29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Superficie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Centro comercial Portal Oriente (ficticio)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2021 – vigente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62.000 m²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 centers Grupo Andes Retail (ficticio)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2019 – 2025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activos, 34.000 m²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Edificio corporativo Torre Pacífico (ficticio)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2020 – vigente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41.000 m²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 de buses Alameda Sur (ficticio)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2022 – vigente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28.000 m²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el contrato de Portal Oriente, comparable en flujo y formato a Mallplaza Egaña, el resultado de inspección de calidad mensual promedió 93,4 puntos durante 2025, y los reclamos de visitantes atribuibles a aseo se redujeron de 21 a 9 mensuales en el primer año de servicio.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Plan de implementación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 acuerdo con el cronograma establecido en las Bases, nuestro plan de implementación contempla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inicio del servicio el 1 de octubre de 2026</w:t>
      </w:r>
      <w:r>
        <w:rPr>
          <w:rFonts w:ascii="Calibri" w:cs="Calibri" w:eastAsia="Calibri" w:hAnsi="Calibri"/>
          <w:sz w:val="22"/>
          <w:szCs w:val="22"/>
        </w:rPr>
        <w:t xml:space="preserve">, con la siguiente secuencia: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47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1 (desde firma de contrato)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Reclutamiento final, exámenes preocupacionales, acreditación de personal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2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Inducción general, capacitación en protocolos Mallplaza, entrega de uniformes y EPP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3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Instalación de puntos QR, traslado de maquinaria, marcha blanca nocturna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Operación completa con dotación total y panel de control activo</w:t>
            </w:r>
          </w:p>
        </w:tc>
      </w:tr>
    </w:tbl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Oferta económica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Nuestro precio por el servicio integral descrito asciende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UF 5.450 anuales, impuestos incluidos</w:t>
      </w:r>
      <w:r>
        <w:rPr>
          <w:rFonts w:ascii="Calibri" w:cs="Calibri" w:eastAsia="Calibri" w:hAnsi="Calibri"/>
          <w:sz w:val="22"/>
          <w:szCs w:val="22"/>
        </w:rPr>
        <w:t xml:space="preserve"> (UF 454,17 mensuales), cifra que se sitúa por debajo del presupuesto máximo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UF 5.600 indicado en las Bases</w:t>
      </w:r>
      <w:r>
        <w:rPr>
          <w:rFonts w:ascii="Calibri" w:cs="Calibri" w:eastAsia="Calibri" w:hAnsi="Calibri"/>
          <w:sz w:val="22"/>
          <w:szCs w:val="22"/>
        </w:rPr>
        <w:t xml:space="preserve"> y que refleja las eficiencias de nuestro modelo por microzonas y los ahorros derivados de los supuestos operacionales del numeral 4.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desglose referencial del precio anual es el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Ítem</w:t>
            </w:r>
          </w:p>
        </w:tc>
        <w:tc>
          <w:tcPr>
            <w:tcW w:type="dxa" w:w="47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Participación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Remuneraciones y leyes sociales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Insumos y materiales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Maquinaria, mantención y depreciación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Uniformes, EPP y capacitación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generales y utilidad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</w:tr>
    </w:tbl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precio se expresará y facturará en UF, con valor mensual uniforme, sin reajustes adicionales.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Compromiso de servicio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Limpex se compromete a cumplir y superar los niveles de servicio definidos en el numeral 7 de las Bases, aceptando el régimen de multas asociado. Nuestro jefe de contrato participará en la reunión mensual de gestión con reporte de indicadores, plan de mejoras y cierre de no conformidades. Estamos convencidos de que la combinación de dotación reforzada, tecnología de verificación y un equipo humano estable convierte a Limpex en el socio adecuado para elevar el estándar de experiencia de Mallplaza Egaña.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Atentamente, Gerencia Comercial, Servicios Integrales Limpex SpA. Santiago, 30 de julio de 2026 (documento ficticio de entrenamiento).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LP-2026-041 · Propuesta Limpex SpA · Documento de entrenamiento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2026-07-08T15:33:26.530Z</dcterms:created>
  <dcterms:modified xsi:type="dcterms:W3CDTF">2026-07-08T15:33:26.530Z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