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Reporte de Experiencia del Visitante</w:t>
      </w:r>
    </w:p>
    <w:p>
      <w:pPr>
        <w:spacing w:after="360"/>
        <w:jc w:val="center"/>
      </w:pPr>
      <w:r>
        <w:rPr>
          <w:rFonts w:ascii="Calibri" w:cs="Calibri" w:eastAsia="Calibri" w:hAnsi="Calibri"/>
          <w:color w:val="595959"/>
          <w:sz w:val="24"/>
          <w:szCs w:val="24"/>
        </w:rPr>
        <w:t xml:space="preserve">NPS y Atributos de Experiencia · Primer Trimestre 2026 · Mallplaza Egaña</w:t>
      </w:r>
    </w:p>
    <w:p>
      <w:pPr>
        <w:spacing w:after="300" w:line="276"/>
        <w:jc w:val="both"/>
      </w:pPr>
      <w:r>
        <w:rPr>
          <w:rFonts w:ascii="Calibri" w:cs="Calibri" w:eastAsia="Calibri" w:hAnsi="Calibri"/>
          <w:b w:val="false"/>
          <w:bCs w:val="false"/>
          <w:i/>
          <w:iCs/>
          <w:sz w:val="18"/>
          <w:szCs w:val="18"/>
        </w:rPr>
        <w:t xml:space="preserve">Documento ficticio con fines exclusivamente formativos. Programa Liderazgo y Gestión Estratégica con IA. Los nombres, cifras y hechos no corresponden a procesos reales.</w:t>
      </w:r>
    </w:p>
    <w:p>
      <w:pPr>
        <w:pStyle w:val="Heading1"/>
        <w:spacing w:after="200" w:before="320"/>
      </w:pPr>
      <w:r>
        <w:rPr>
          <w:rFonts w:ascii="Calibri" w:cs="Calibri" w:eastAsia="Calibri" w:hAnsi="Calibri"/>
          <w:b/>
          <w:bCs/>
          <w:color w:val="1F3864"/>
          <w:sz w:val="30"/>
          <w:szCs w:val="30"/>
        </w:rPr>
        <w:t xml:space="preserve">1. Resumen ejecutivo</w:t>
      </w:r>
    </w:p>
    <w:p>
      <w:pPr>
        <w:spacing w:after="160" w:line="276"/>
        <w:jc w:val="both"/>
      </w:pPr>
      <w:r>
        <w:rPr>
          <w:rFonts w:ascii="Calibri" w:cs="Calibri" w:eastAsia="Calibri" w:hAnsi="Calibri"/>
          <w:sz w:val="22"/>
          <w:szCs w:val="22"/>
        </w:rPr>
        <w:t xml:space="preserve">Durante el primer trimestre de 2026, el Net Promoter Score (NPS) general de Mallplaza Egaña alcanzó </w:t>
      </w:r>
      <w:r>
        <w:rPr>
          <w:rFonts w:ascii="Calibri" w:cs="Calibri" w:eastAsia="Calibri" w:hAnsi="Calibri"/>
          <w:b/>
          <w:bCs/>
          <w:sz w:val="22"/>
          <w:szCs w:val="22"/>
        </w:rPr>
        <w:t xml:space="preserve">42 puntos</w:t>
      </w:r>
      <w:r>
        <w:rPr>
          <w:rFonts w:ascii="Calibri" w:cs="Calibri" w:eastAsia="Calibri" w:hAnsi="Calibri"/>
          <w:sz w:val="22"/>
          <w:szCs w:val="22"/>
        </w:rPr>
        <w:t xml:space="preserve">, manteniéndose dentro del rango objetivo definido para el año (40–48). La medición se realizó sobre una muestra de </w:t>
      </w:r>
      <w:r>
        <w:rPr>
          <w:rFonts w:ascii="Calibri" w:cs="Calibri" w:eastAsia="Calibri" w:hAnsi="Calibri"/>
          <w:b/>
          <w:bCs/>
          <w:sz w:val="22"/>
          <w:szCs w:val="22"/>
        </w:rPr>
        <w:t xml:space="preserve">1.480 encuestas válidas</w:t>
      </w:r>
      <w:r>
        <w:rPr>
          <w:rFonts w:ascii="Calibri" w:cs="Calibri" w:eastAsia="Calibri" w:hAnsi="Calibri"/>
          <w:sz w:val="22"/>
          <w:szCs w:val="22"/>
        </w:rPr>
        <w:t xml:space="preserve">, aplicadas de manera presencial y digital entre el 5 de enero y el 29 de marzo de 2026, con cuotas por día de semana, franja horaria y perfil de visitante.</w:t>
      </w:r>
    </w:p>
    <w:p>
      <w:pPr>
        <w:spacing w:after="160" w:line="276"/>
        <w:jc w:val="both"/>
      </w:pPr>
      <w:r>
        <w:rPr>
          <w:rFonts w:ascii="Calibri" w:cs="Calibri" w:eastAsia="Calibri" w:hAnsi="Calibri"/>
          <w:b w:val="false"/>
          <w:bCs w:val="false"/>
          <w:i w:val="false"/>
          <w:iCs w:val="false"/>
          <w:sz w:val="22"/>
          <w:szCs w:val="22"/>
        </w:rPr>
        <w:t xml:space="preserve">Los atributos mejor evaluados del trimestre fueron seguridad percibida y variedad de la oferta gastronómica. Los atributos con mayor espacio de mejora fueron disponibilidad de estacionamientos en horario punta y estado de los servicios higiénicos, este último directamente vinculado a la operación de aseo.</w:t>
      </w:r>
    </w:p>
    <w:p>
      <w:pPr>
        <w:pStyle w:val="Heading1"/>
        <w:spacing w:after="200" w:before="320"/>
      </w:pPr>
      <w:r>
        <w:rPr>
          <w:rFonts w:ascii="Calibri" w:cs="Calibri" w:eastAsia="Calibri" w:hAnsi="Calibri"/>
          <w:b/>
          <w:bCs/>
          <w:color w:val="1F3864"/>
          <w:sz w:val="30"/>
          <w:szCs w:val="30"/>
        </w:rPr>
        <w:t xml:space="preserve">2. Metodología</w:t>
      </w:r>
    </w:p>
    <w:p>
      <w:pPr>
        <w:spacing w:after="160" w:line="276"/>
        <w:jc w:val="both"/>
      </w:pPr>
      <w:r>
        <w:rPr>
          <w:rFonts w:ascii="Calibri" w:cs="Calibri" w:eastAsia="Calibri" w:hAnsi="Calibri"/>
          <w:b w:val="false"/>
          <w:bCs w:val="false"/>
          <w:i w:val="false"/>
          <w:iCs w:val="false"/>
          <w:sz w:val="22"/>
          <w:szCs w:val="22"/>
        </w:rPr>
        <w:t xml:space="preserve">La encuesta utiliza la pregunta estándar de recomendación en escala 0 a 10, complementada con evaluación de 12 atributos de experiencia en escala 1 a 7 y preguntas abiertas de verbatim. Se consideran promotores las notas 9 y 10, pasivos las notas 7 y 8, y detractores las notas 0 a 6. El error muestral estimado es de ±2,5 puntos porcentuales con 95% de confianza. El trabajo de campo fue ejecutado por la consultora externa Métrica Austral (ficticia), con supervisión del equipo de Experiencia de Mallplaza.</w:t>
      </w:r>
    </w:p>
    <w:p>
      <w:pPr>
        <w:pStyle w:val="Heading1"/>
        <w:spacing w:after="200" w:before="320"/>
      </w:pPr>
      <w:r>
        <w:rPr>
          <w:rFonts w:ascii="Calibri" w:cs="Calibri" w:eastAsia="Calibri" w:hAnsi="Calibri"/>
          <w:b/>
          <w:bCs/>
          <w:color w:val="1F3864"/>
          <w:sz w:val="30"/>
          <w:szCs w:val="30"/>
        </w:rPr>
        <w:t xml:space="preserve">3. Resultado NPS del trimestre</w:t>
      </w:r>
    </w:p>
    <w:p>
      <w:pPr>
        <w:spacing w:after="160" w:line="276"/>
        <w:jc w:val="both"/>
      </w:pPr>
      <w:r>
        <w:rPr>
          <w:rFonts w:ascii="Calibri" w:cs="Calibri" w:eastAsia="Calibri" w:hAnsi="Calibri"/>
          <w:b w:val="false"/>
          <w:bCs w:val="false"/>
          <w:i w:val="false"/>
          <w:iCs w:val="false"/>
          <w:sz w:val="22"/>
          <w:szCs w:val="22"/>
        </w:rPr>
        <w:t xml:space="preserve">La composición de la muestra según categoría de recomendación fue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Categoría</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Participación</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N° de casos</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Promotores (nota 9–10)</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770</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Pasivos (nota 7–8)</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28%</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414</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Detractores (nota 0–6)</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296</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sz w:val="22"/>
          <w:szCs w:val="22"/>
        </w:rPr>
        <w:t xml:space="preserve">Con esta composición, el NPS general del trimestre se reporta en </w:t>
      </w:r>
      <w:r>
        <w:rPr>
          <w:rFonts w:ascii="Calibri" w:cs="Calibri" w:eastAsia="Calibri" w:hAnsi="Calibri"/>
          <w:b/>
          <w:bCs/>
          <w:sz w:val="22"/>
          <w:szCs w:val="22"/>
        </w:rPr>
        <w:t xml:space="preserve">42 puntos</w:t>
      </w:r>
      <w:r>
        <w:rPr>
          <w:rFonts w:ascii="Calibri" w:cs="Calibri" w:eastAsia="Calibri" w:hAnsi="Calibri"/>
          <w:sz w:val="22"/>
          <w:szCs w:val="22"/>
        </w:rPr>
        <w:t xml:space="preserve">, cifra levemente superior a la del trimestre anterior (Q4 2025: 39 puntos) y consistente con la tendencia de recuperación observada desde mediados de 2025.</w:t>
      </w:r>
    </w:p>
    <w:p>
      <w:pPr>
        <w:pStyle w:val="Heading2"/>
        <w:spacing w:after="160" w:before="260"/>
      </w:pPr>
      <w:r>
        <w:rPr>
          <w:rFonts w:ascii="Calibri" w:cs="Calibri" w:eastAsia="Calibri" w:hAnsi="Calibri"/>
          <w:b/>
          <w:bCs/>
          <w:color w:val="2E5395"/>
          <w:sz w:val="25"/>
          <w:szCs w:val="25"/>
        </w:rPr>
        <w:t xml:space="preserve">3.1 Evolución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Trimestre</w:t>
            </w:r>
          </w:p>
        </w:tc>
        <w:tc>
          <w:tcPr>
            <w:tcW w:type="dxa" w:w="47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NPS general</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Q1 2025</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Q2 2025</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36</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Q3 2025</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38</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Q4 2025</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39</w:t>
            </w:r>
          </w:p>
        </w:tc>
      </w:tr>
      <w:tr>
        <w:tc>
          <w:tcPr>
            <w:tcW w:type="dxa" w:w="46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Q1 2026</w:t>
            </w:r>
          </w:p>
        </w:tc>
        <w:tc>
          <w:tcPr>
            <w:tcW w:type="dxa" w:w="47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42</w:t>
            </w:r>
          </w:p>
        </w:tc>
      </w:tr>
    </w:tbl>
    <w:p>
      <w:pPr>
        <w:pStyle w:val="Heading1"/>
        <w:spacing w:after="200" w:before="320"/>
      </w:pPr>
      <w:r>
        <w:rPr>
          <w:rFonts w:ascii="Calibri" w:cs="Calibri" w:eastAsia="Calibri" w:hAnsi="Calibri"/>
          <w:b/>
          <w:bCs/>
          <w:color w:val="1F3864"/>
          <w:sz w:val="30"/>
          <w:szCs w:val="30"/>
        </w:rPr>
        <w:t xml:space="preserve">4. Evaluación de atributos de experiencia</w:t>
      </w:r>
    </w:p>
    <w:p>
      <w:pPr>
        <w:spacing w:after="160" w:line="276"/>
        <w:jc w:val="both"/>
      </w:pPr>
      <w:r>
        <w:rPr>
          <w:rFonts w:ascii="Calibri" w:cs="Calibri" w:eastAsia="Calibri" w:hAnsi="Calibri"/>
          <w:b w:val="false"/>
          <w:bCs w:val="false"/>
          <w:i w:val="false"/>
          <w:iCs w:val="false"/>
          <w:sz w:val="22"/>
          <w:szCs w:val="22"/>
        </w:rPr>
        <w:t xml:space="preserve">Los 12 atributos se evalúan en escala 1 a 7 y se reportan como porcentaje de evaluaciones positivas (notas 6 y 7). Los resultados del trimestre, ordenados de mayor a menor,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Atributo</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 positivo Q1 2026</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Variación vs Q4 2025</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Seguridad percibida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84%</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Variedad gastronómica</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82%</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Iluminación y ambientación</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79%</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sin variación</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Señalética y orientación</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76%</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Limpieza general del mall</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71%</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Atención en tiendas</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70%</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Climatización</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69%</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Estado de servicios higiénicos</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58%</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 pp</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Disponibilidad de estacionamientos</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54%</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 pp</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sz w:val="22"/>
          <w:szCs w:val="22"/>
        </w:rPr>
        <w:t xml:space="preserve">Cabe precisar que la medición de limpieza corresponde a un </w:t>
      </w:r>
      <w:r>
        <w:rPr>
          <w:rFonts w:ascii="Calibri" w:cs="Calibri" w:eastAsia="Calibri" w:hAnsi="Calibri"/>
          <w:b/>
          <w:bCs/>
          <w:sz w:val="22"/>
          <w:szCs w:val="22"/>
        </w:rPr>
        <w:t xml:space="preserve">atributo de satisfacción (porcentaje de evaluaciones positivas)</w:t>
      </w:r>
      <w:r>
        <w:rPr>
          <w:rFonts w:ascii="Calibri" w:cs="Calibri" w:eastAsia="Calibri" w:hAnsi="Calibri"/>
          <w:sz w:val="22"/>
          <w:szCs w:val="22"/>
        </w:rPr>
        <w:t xml:space="preserve"> y no a un NPS específico del servicio de aseo. El estudio no calcula NPS por atributo; el único NPS reportado es el general del mall.</w:t>
      </w:r>
    </w:p>
    <w:p>
      <w:pPr>
        <w:pStyle w:val="Heading1"/>
        <w:spacing w:after="200" w:before="320"/>
      </w:pPr>
      <w:r>
        <w:rPr>
          <w:rFonts w:ascii="Calibri" w:cs="Calibri" w:eastAsia="Calibri" w:hAnsi="Calibri"/>
          <w:b/>
          <w:bCs/>
          <w:color w:val="1F3864"/>
          <w:sz w:val="30"/>
          <w:szCs w:val="30"/>
        </w:rPr>
        <w:t xml:space="preserve">5. Análisis de verbatims vinculados a aseo</w:t>
      </w:r>
    </w:p>
    <w:p>
      <w:pPr>
        <w:spacing w:after="160" w:line="276"/>
        <w:jc w:val="both"/>
      </w:pPr>
      <w:r>
        <w:rPr>
          <w:rFonts w:ascii="Calibri" w:cs="Calibri" w:eastAsia="Calibri" w:hAnsi="Calibri"/>
          <w:b w:val="false"/>
          <w:bCs w:val="false"/>
          <w:i w:val="false"/>
          <w:iCs w:val="false"/>
          <w:sz w:val="22"/>
          <w:szCs w:val="22"/>
        </w:rPr>
        <w:t xml:space="preserve">De los 296 detractores del trimestre, 61 casos (21%) mencionaron espontáneamente temas de limpieza en sus comentarios abiertos. Los patrones más frecuentes fueron:</w:t>
      </w:r>
    </w:p>
    <w:p>
      <w:pPr>
        <w:pStyle w:val="ListParagraph"/>
        <w:numPr>
          <w:ilvl w:val="0"/>
          <w:numId w:val="2"/>
        </w:numPr>
        <w:spacing w:after="100" w:line="276"/>
      </w:pPr>
      <w:r>
        <w:rPr>
          <w:rFonts w:ascii="Calibri" w:cs="Calibri" w:eastAsia="Calibri" w:hAnsi="Calibri"/>
          <w:sz w:val="22"/>
          <w:szCs w:val="22"/>
        </w:rPr>
        <w:t xml:space="preserve">Baños del nivel 3 con congestión y demora en reposición de insumos los fines de semana por la tarde (28 menciones).</w:t>
      </w:r>
    </w:p>
    <w:p>
      <w:pPr>
        <w:pStyle w:val="ListParagraph"/>
        <w:numPr>
          <w:ilvl w:val="0"/>
          <w:numId w:val="2"/>
        </w:numPr>
        <w:spacing w:after="100" w:line="276"/>
      </w:pPr>
      <w:r>
        <w:rPr>
          <w:rFonts w:ascii="Calibri" w:cs="Calibri" w:eastAsia="Calibri" w:hAnsi="Calibri"/>
          <w:sz w:val="22"/>
          <w:szCs w:val="22"/>
        </w:rPr>
        <w:t xml:space="preserve">Mesas del patio de comidas sin despejar en horario de almuerzo de fin de semana (17 menciones).</w:t>
      </w:r>
    </w:p>
    <w:p>
      <w:pPr>
        <w:pStyle w:val="ListParagraph"/>
        <w:numPr>
          <w:ilvl w:val="0"/>
          <w:numId w:val="2"/>
        </w:numPr>
        <w:spacing w:after="100" w:line="276"/>
      </w:pPr>
      <w:r>
        <w:rPr>
          <w:rFonts w:ascii="Calibri" w:cs="Calibri" w:eastAsia="Calibri" w:hAnsi="Calibri"/>
          <w:sz w:val="22"/>
          <w:szCs w:val="22"/>
        </w:rPr>
        <w:t xml:space="preserve">Derrames en pasillos del nivel 1 con demora en atención durante eventos (9 menciones).</w:t>
      </w:r>
    </w:p>
    <w:p>
      <w:pPr>
        <w:pStyle w:val="ListParagraph"/>
        <w:numPr>
          <w:ilvl w:val="0"/>
          <w:numId w:val="2"/>
        </w:numPr>
        <w:spacing w:after="100" w:line="276"/>
      </w:pPr>
      <w:r>
        <w:rPr>
          <w:rFonts w:ascii="Calibri" w:cs="Calibri" w:eastAsia="Calibri" w:hAnsi="Calibri"/>
          <w:sz w:val="22"/>
          <w:szCs w:val="22"/>
        </w:rPr>
        <w:t xml:space="preserve">Olores en estacionamiento nivel -2, sector poniente (7 menciones).</w:t>
      </w:r>
    </w:p>
    <w:p>
      <w:pPr>
        <w:spacing w:after="160" w:line="276"/>
        <w:jc w:val="both"/>
      </w:pPr>
      <w:r>
        <w:rPr>
          <w:rFonts w:ascii="Calibri" w:cs="Calibri" w:eastAsia="Calibri" w:hAnsi="Calibri"/>
          <w:b w:val="false"/>
          <w:bCs w:val="false"/>
          <w:i w:val="false"/>
          <w:iCs w:val="false"/>
          <w:sz w:val="22"/>
          <w:szCs w:val="22"/>
        </w:rPr>
        <w:t xml:space="preserve">El equipo de Experiencia recomienda que el próximo contrato de aseo contemple refuerzos específicos de dotación en fines de semana para núcleos de baños de mayor demanda y patio de comidas, y que los indicadores del contrato incluyan la evolución del atributo de limpieza y del atributo de estado de servicios higiénicos como métricas de contexto, sin perjuicio de los SLA operacionales.</w:t>
      </w:r>
    </w:p>
    <w:p>
      <w:pPr>
        <w:pStyle w:val="Heading1"/>
        <w:spacing w:after="200" w:before="320"/>
      </w:pPr>
      <w:r>
        <w:rPr>
          <w:rFonts w:ascii="Calibri" w:cs="Calibri" w:eastAsia="Calibri" w:hAnsi="Calibri"/>
          <w:b/>
          <w:bCs/>
          <w:color w:val="1F3864"/>
          <w:sz w:val="30"/>
          <w:szCs w:val="30"/>
        </w:rPr>
        <w:t xml:space="preserve">6. Reclamos formales del trimestre</w:t>
      </w:r>
    </w:p>
    <w:p>
      <w:pPr>
        <w:spacing w:after="160" w:line="276"/>
        <w:jc w:val="both"/>
      </w:pPr>
      <w:r>
        <w:rPr>
          <w:rFonts w:ascii="Calibri" w:cs="Calibri" w:eastAsia="Calibri" w:hAnsi="Calibri"/>
          <w:b w:val="false"/>
          <w:bCs w:val="false"/>
          <w:i w:val="false"/>
          <w:iCs w:val="false"/>
          <w:sz w:val="22"/>
          <w:szCs w:val="22"/>
        </w:rPr>
        <w:t xml:space="preserve">A través de los canales formales (módulo de atención, aplicación y correo), se registraron los siguientes reclamos vinculados a aseo: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Mes</w:t>
            </w:r>
          </w:p>
        </w:tc>
        <w:tc>
          <w:tcPr>
            <w:tcW w:type="dxa" w:w="300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Reclamos de aseo</w:t>
            </w:r>
          </w:p>
        </w:tc>
        <w:tc>
          <w:tcPr>
            <w:tcW w:type="dxa" w:w="2960"/>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Total reclamos del mall</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Enero 2026</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96</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Febrero 2026</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84</w:t>
            </w:r>
          </w:p>
        </w:tc>
      </w:tr>
      <w:tr>
        <w:tc>
          <w:tcPr>
            <w:tcW w:type="dxa" w:w="34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Marzo 2026</w:t>
            </w:r>
          </w:p>
        </w:tc>
        <w:tc>
          <w:tcPr>
            <w:tcW w:type="dxa" w:w="300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16</w:t>
            </w:r>
          </w:p>
        </w:tc>
        <w:tc>
          <w:tcPr>
            <w:tcW w:type="dxa" w:w="2960"/>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102</w:t>
            </w:r>
          </w:p>
        </w:tc>
      </w:tr>
    </w:tbl>
    <w:p>
      <w:pPr>
        <w:spacing w:after="10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val="false"/>
          <w:bCs w:val="false"/>
          <w:i w:val="false"/>
          <w:iCs w:val="false"/>
          <w:sz w:val="22"/>
          <w:szCs w:val="22"/>
        </w:rPr>
        <w:t xml:space="preserve">El promedio mensual de reclamos de aseo del trimestre (13,7) se ubica por sobre la meta definida en las bases del nuevo contrato (máximo 12 mensuales), lo que refuerza la necesidad de elevar el estándar operacional del servicio.</w:t>
      </w:r>
    </w:p>
    <w:p>
      <w:pPr>
        <w:pStyle w:val="Heading1"/>
        <w:spacing w:after="200" w:before="320"/>
      </w:pPr>
      <w:r>
        <w:rPr>
          <w:rFonts w:ascii="Calibri" w:cs="Calibri" w:eastAsia="Calibri" w:hAnsi="Calibri"/>
          <w:b/>
          <w:bCs/>
          <w:color w:val="1F3864"/>
          <w:sz w:val="30"/>
          <w:szCs w:val="30"/>
        </w:rPr>
        <w:t xml:space="preserve">7. Conclusiones</w:t>
      </w:r>
    </w:p>
    <w:p>
      <w:pPr>
        <w:pStyle w:val="ListParagraph"/>
        <w:numPr>
          <w:ilvl w:val="0"/>
          <w:numId w:val="2"/>
        </w:numPr>
        <w:spacing w:after="100" w:line="276"/>
      </w:pPr>
      <w:r>
        <w:rPr>
          <w:rFonts w:ascii="Calibri" w:cs="Calibri" w:eastAsia="Calibri" w:hAnsi="Calibri"/>
          <w:sz w:val="22"/>
          <w:szCs w:val="22"/>
        </w:rPr>
        <w:t xml:space="preserve">El NPS general del mall mantiene una tendencia positiva y se sitúa dentro del rango objetivo anual.</w:t>
      </w:r>
    </w:p>
    <w:p>
      <w:pPr>
        <w:pStyle w:val="ListParagraph"/>
        <w:numPr>
          <w:ilvl w:val="0"/>
          <w:numId w:val="2"/>
        </w:numPr>
        <w:spacing w:after="100" w:line="276"/>
      </w:pPr>
      <w:r>
        <w:rPr>
          <w:rFonts w:ascii="Calibri" w:cs="Calibri" w:eastAsia="Calibri" w:hAnsi="Calibri"/>
          <w:sz w:val="22"/>
          <w:szCs w:val="22"/>
        </w:rPr>
        <w:t xml:space="preserve">La limpieza general retrocedió 2 puntos porcentuales y el estado de los servicios higiénicos 4, siendo este último el segundo atributo peor evaluado del trimestre.</w:t>
      </w:r>
    </w:p>
    <w:p>
      <w:pPr>
        <w:pStyle w:val="ListParagraph"/>
        <w:numPr>
          <w:ilvl w:val="0"/>
          <w:numId w:val="2"/>
        </w:numPr>
        <w:spacing w:after="100" w:line="276"/>
      </w:pPr>
      <w:r>
        <w:rPr>
          <w:rFonts w:ascii="Calibri" w:cs="Calibri" w:eastAsia="Calibri" w:hAnsi="Calibri"/>
          <w:sz w:val="22"/>
          <w:szCs w:val="22"/>
        </w:rPr>
        <w:t xml:space="preserve">El nuevo contrato de aseo es la principal palanca disponible para revertir la tendencia de ambos atributos durante el segundo semestre de 2026.</w:t>
      </w:r>
    </w:p>
    <w:p>
      <w:pPr>
        <w:spacing w:after="160" w:line="276"/>
        <w:jc w:val="both"/>
      </w:pPr>
      <w:r>
        <w:rPr>
          <w:rFonts w:ascii="Calibri" w:cs="Calibri" w:eastAsia="Calibri" w:hAnsi="Calibri"/>
          <w:b w:val="false"/>
          <w:bCs w:val="false"/>
          <w:i w:val="false"/>
          <w:iCs w:val="false"/>
          <w:sz w:val="22"/>
          <w:szCs w:val="22"/>
        </w:rPr>
        <w:t xml:space="preserve">Gerencia de Experiencia del Visitante, Mallplaza Egaña. Abril de 2026 (documento ficticio de entrenamiento).</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808080"/>
        <w:sz w:val="16"/>
        <w:szCs w:val="16"/>
      </w:rPr>
      <w:t xml:space="preserve">Reporte NPS Q1 2026 · Documento de entrenamiento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2026-07-08T15:33:26.786Z</dcterms:created>
  <dcterms:modified xsi:type="dcterms:W3CDTF">2026-07-08T15:33:26.786Z</dcterms:modified>
</cp:coreProperties>
</file>

<file path=docProps/custom.xml><?xml version="1.0" encoding="utf-8"?>
<Properties xmlns="http://schemas.openxmlformats.org/officeDocument/2006/custom-properties" xmlns:vt="http://schemas.openxmlformats.org/officeDocument/2006/docPropsVTypes"/>
</file>