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Pauta de Corrección del Facilitador</w:t>
      </w:r>
    </w:p>
    <w:p>
      <w:pPr>
        <w:spacing w:after="360"/>
        <w:jc w:val="center"/>
      </w:pPr>
      <w:r>
        <w:rPr>
          <w:rFonts w:ascii="Calibri" w:cs="Calibri" w:eastAsia="Calibri" w:hAnsi="Calibri"/>
          <w:color w:val="595959"/>
          <w:sz w:val="24"/>
          <w:szCs w:val="24"/>
        </w:rPr>
        <w:t xml:space="preserve">Ejercicio "La licitación con trampas" · Sesión 3 · Programa Mallplaza · CONFIDENCIAL</w:t>
      </w:r>
    </w:p>
    <w:p>
      <w:pPr>
        <w:spacing w:after="300" w:line="276"/>
        <w:jc w:val="both"/>
      </w:pPr>
      <w:r>
        <w:rPr>
          <w:rFonts w:ascii="Calibri" w:cs="Calibri" w:eastAsia="Calibri" w:hAnsi="Calibri"/>
          <w:b/>
          <w:bCs/>
          <w:i w:val="false"/>
          <w:iCs w:val="false"/>
          <w:sz w:val="20"/>
          <w:szCs w:val="20"/>
        </w:rPr>
        <w:t xml:space="preserve">DOCUMENTO CONFIDENCIAL DEL FACILITADOR. No distribuir a los participantes. Contiene la ubicación exacta de los 9 defectos plantados en el set de documentos del ejercicio "La licitación con trampas".</w:t>
      </w:r>
    </w:p>
    <w:p>
      <w:pPr>
        <w:pStyle w:val="Heading1"/>
        <w:spacing w:after="200" w:before="320"/>
      </w:pPr>
      <w:r>
        <w:rPr>
          <w:rFonts w:ascii="Calibri" w:cs="Calibri" w:eastAsia="Calibri" w:hAnsi="Calibri"/>
          <w:b/>
          <w:bCs/>
          <w:color w:val="1F3864"/>
          <w:sz w:val="30"/>
          <w:szCs w:val="30"/>
        </w:rPr>
        <w:t xml:space="preserve">Mecánica del ejercicio (resumen)</w:t>
      </w:r>
    </w:p>
    <w:p>
      <w:pPr>
        <w:pStyle w:val="ListParagraph"/>
        <w:numPr>
          <w:ilvl w:val="0"/>
          <w:numId w:val="2"/>
        </w:numPr>
        <w:spacing w:after="100" w:line="276"/>
      </w:pPr>
      <w:r>
        <w:rPr>
          <w:rFonts w:ascii="Calibri" w:cs="Calibri" w:eastAsia="Calibri" w:hAnsi="Calibri"/>
          <w:sz w:val="22"/>
          <w:szCs w:val="22"/>
        </w:rPr>
        <w:t xml:space="preserve">Cada grupo carga los 3 documentos en NotebookLM y pide a Gemini una recomendación ejecutiva de adjudicación (aceptar, rechazar o condicionar la propuesta de Limpex).</w:t>
      </w:r>
    </w:p>
    <w:p>
      <w:pPr>
        <w:pStyle w:val="ListParagraph"/>
        <w:numPr>
          <w:ilvl w:val="0"/>
          <w:numId w:val="2"/>
        </w:numPr>
        <w:spacing w:after="100" w:line="276"/>
      </w:pPr>
      <w:r>
        <w:rPr>
          <w:rFonts w:ascii="Calibri" w:cs="Calibri" w:eastAsia="Calibri" w:hAnsi="Calibri"/>
          <w:sz w:val="22"/>
          <w:szCs w:val="22"/>
        </w:rPr>
        <w:t xml:space="preserve">Los grupos intercambian outputs: nadie audita el propio.</w:t>
      </w:r>
    </w:p>
    <w:p>
      <w:pPr>
        <w:pStyle w:val="ListParagraph"/>
        <w:numPr>
          <w:ilvl w:val="0"/>
          <w:numId w:val="2"/>
        </w:numPr>
        <w:spacing w:after="100" w:line="276"/>
      </w:pPr>
      <w:r>
        <w:rPr>
          <w:rFonts w:ascii="Calibri" w:cs="Calibri" w:eastAsia="Calibri" w:hAnsi="Calibri"/>
          <w:sz w:val="22"/>
          <w:szCs w:val="22"/>
        </w:rPr>
        <w:t xml:space="preserve">El grupo auditor aplica el checklist de 7 puntos de la Sesión 3 y clasifica cada afirmación relevante en: trazable, inventada, o trazable a fuente contaminada.</w:t>
      </w:r>
    </w:p>
    <w:p>
      <w:pPr>
        <w:pStyle w:val="ListParagraph"/>
        <w:numPr>
          <w:ilvl w:val="0"/>
          <w:numId w:val="2"/>
        </w:numPr>
        <w:spacing w:after="100" w:line="276"/>
      </w:pPr>
      <w:r>
        <w:rPr>
          <w:rFonts w:ascii="Calibri" w:cs="Calibri" w:eastAsia="Calibri" w:hAnsi="Calibri"/>
          <w:sz w:val="22"/>
          <w:szCs w:val="22"/>
        </w:rPr>
        <w:t xml:space="preserve">Puntaje: +10 por trampa detectada y correctamente explicada, +5 por trampa detectada sin explicar la contradicción exacta, -5 por falso positivo (acusar de defecto algo que las fuentes sí respaldan).</w:t>
      </w:r>
    </w:p>
    <w:p>
      <w:pPr>
        <w:pStyle w:val="ListParagraph"/>
        <w:numPr>
          <w:ilvl w:val="0"/>
          <w:numId w:val="2"/>
        </w:numPr>
        <w:spacing w:after="100" w:line="276"/>
      </w:pPr>
      <w:r>
        <w:rPr>
          <w:rFonts w:ascii="Calibri" w:cs="Calibri" w:eastAsia="Calibri" w:hAnsi="Calibri"/>
          <w:sz w:val="22"/>
          <w:szCs w:val="22"/>
        </w:rPr>
        <w:t xml:space="preserve">Puntaje máximo: 90 puntos. Un grupo que detecte 6 o más trampas sin falsos positivos tiene un desempeño sobresaliente.</w:t>
      </w:r>
    </w:p>
    <w:p>
      <w:pPr>
        <w:pStyle w:val="Heading1"/>
        <w:spacing w:after="200" w:before="320"/>
      </w:pPr>
      <w:r>
        <w:rPr>
          <w:rFonts w:ascii="Calibri" w:cs="Calibri" w:eastAsia="Calibri" w:hAnsi="Calibri"/>
          <w:b/>
          <w:bCs/>
          <w:color w:val="1F3864"/>
          <w:sz w:val="30"/>
          <w:szCs w:val="30"/>
        </w:rPr>
        <w:t xml:space="preserve">Pauta de corrección: las 9 trampas</w:t>
      </w:r>
    </w:p>
    <w:p>
      <w:pPr>
        <w:pStyle w:val="Heading2"/>
        <w:spacing w:after="160" w:before="260"/>
      </w:pPr>
      <w:r>
        <w:rPr>
          <w:rFonts w:ascii="Calibri" w:cs="Calibri" w:eastAsia="Calibri" w:hAnsi="Calibri"/>
          <w:b/>
          <w:bCs/>
          <w:color w:val="2E5395"/>
          <w:sz w:val="25"/>
          <w:szCs w:val="25"/>
        </w:rPr>
        <w:t xml:space="preserve">Trampa 1 · Tope presupuestario inventado y oferta inadmisible</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(Propuesta Limpex), numeral 7, Oferta económica. Contrastar con Doc A, numeral 3.</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Limpex oferta UF 5.450 anuales y afirma estar bajo un presupuesto máximo de "UF 5.600 indicado en las Bases". Las Bases fijan UF 5.200. La oferta excede el tope real y cita una cifra que no existe en ninguna fuente. Es la trampa más grave: la oferta es inadmisible.</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Cifras (4) y Fuentes (1).</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 Detección parcial (notar que 5.450 &gt; 5.200 sin advertir el tope inventado de 5.600): 5 puntos.</w:t>
      </w:r>
    </w:p>
    <w:p>
      <w:pPr>
        <w:pStyle w:val="Heading2"/>
        <w:spacing w:after="160" w:before="260"/>
      </w:pPr>
      <w:r>
        <w:rPr>
          <w:rFonts w:ascii="Calibri" w:cs="Calibri" w:eastAsia="Calibri" w:hAnsi="Calibri"/>
          <w:b/>
          <w:bCs/>
          <w:color w:val="2E5395"/>
          <w:sz w:val="25"/>
          <w:szCs w:val="25"/>
        </w:rPr>
        <w:t xml:space="preserve">Trampa 2 · Dotación internamente inconsistente</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numeral 3.2. El texto declara 42 operarios; la tabla de turnos suma 18 + 14 + 6 = 38.</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Contradicción interna dentro del mismo documento. Sigue cumpliendo el mínimo de 36 de las Bases, pero la promesa comercial de "dotación reforzada de 42" no cuadra con el plan operativo. Un resumen de IA tenderá a repetir "42" sin sumar la tabla.</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Cifras (4).</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2"/>
        <w:spacing w:after="160" w:before="260"/>
      </w:pPr>
      <w:r>
        <w:rPr>
          <w:rFonts w:ascii="Calibri" w:cs="Calibri" w:eastAsia="Calibri" w:hAnsi="Calibri"/>
          <w:b/>
          <w:bCs/>
          <w:color w:val="2E5395"/>
          <w:sz w:val="25"/>
          <w:szCs w:val="25"/>
        </w:rPr>
        <w:t xml:space="preserve">Trampa 3 · Normativa laboral obsoleta</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numeral 3.2, párrafo posterior a la tabla de turnos. Contrastar con Doc A, numeral 5.</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Limpex declara jornadas de 45 horas semanales "según el Código del Trabajo". Las Bases exigen expresamente cumplimiento de la Ley 21.561, que a la fecha de inicio del servicio establece una jornada máxima de 44 horas. La cláusula suena correcta y segura, pero está desactualizada y contradice un requisito explícito.</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Tono vs. fondo (6) y Fuentes (1).</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2"/>
        <w:spacing w:after="160" w:before="260"/>
      </w:pPr>
      <w:r>
        <w:rPr>
          <w:rFonts w:ascii="Calibri" w:cs="Calibri" w:eastAsia="Calibri" w:hAnsi="Calibri"/>
          <w:b/>
          <w:bCs/>
          <w:color w:val="2E5395"/>
          <w:sz w:val="25"/>
          <w:szCs w:val="25"/>
        </w:rPr>
        <w:t xml:space="preserve">Trampa 4 · Supuesto sin respaldo que abarata la oferta</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numeral 4, Supuestos de la propuesta. Contrastar con Doc A, numeral 6.</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Limpex asume bodega de 60 m² y agua de cargo de Mallplaza "según lo conversado en la visita a terreno". Las Bases establecen bodega de 35 m² y consumos de agua y energía de cargo del proveedor, y advierten que los acuerdos verbales de la visita carecen de valor si no constan en acta. El precio ofertado descansa en un supuesto inválido.</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Supuestos (3) y Contexto (5).</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2"/>
        <w:spacing w:after="160" w:before="260"/>
      </w:pPr>
      <w:r>
        <w:rPr>
          <w:rFonts w:ascii="Calibri" w:cs="Calibri" w:eastAsia="Calibri" w:hAnsi="Calibri"/>
          <w:b/>
          <w:bCs/>
          <w:color w:val="2E5395"/>
          <w:sz w:val="25"/>
          <w:szCs w:val="25"/>
        </w:rPr>
        <w:t xml:space="preserve">Trampa 5 · Dato prestigioso que no existe en ninguna fuente</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numeral 1, Presentación de la empresa.</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El "Ranking de Proveedores de Mallplaza 2025" con nota 6,8/7,0 no aparece en ningún documento del set. Las Bases (numeral 9) señalan además que el Mandante no mantiene rankings de proveedores y que toda evaluación interna debe acreditarse con certificado. Si el grupo pregunta a NotebookLM por el ranking, debería responder que no lo encuentra en las fuentes.</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Fuentes (1) y Tono vs. fondo (6).</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2"/>
        <w:spacing w:after="160" w:before="260"/>
      </w:pPr>
      <w:r>
        <w:rPr>
          <w:rFonts w:ascii="Calibri" w:cs="Calibri" w:eastAsia="Calibri" w:hAnsi="Calibri"/>
          <w:b/>
          <w:bCs/>
          <w:color w:val="2E5395"/>
          <w:sz w:val="25"/>
          <w:szCs w:val="25"/>
        </w:rPr>
        <w:t xml:space="preserve">Trampa 6 · Métrica cruzada: NPS que no es NPS</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numeral 2. Contrastar con Doc C, numerales 1, 3 y 4.</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Limpex afirma que "el NPS de limpieza actual del mall es de 42". El 42 es el NPS general del mall; la limpieza se mide como atributo de satisfacción y marca 71% de evaluaciones positivas. El propio reporte aclara que no se calcula NPS por atributo. Es el error de cifra bien citada pero mal interpretada: la cifra existe, el concepto no.</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Cifras (4) y Fuentes (1).</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 Es la trampa más sutil del set; considérela el diferenciador entre grupos buenos y sobresalientes.</w:t>
      </w:r>
    </w:p>
    <w:p>
      <w:pPr>
        <w:pStyle w:val="Heading2"/>
        <w:spacing w:after="160" w:before="260"/>
      </w:pPr>
      <w:r>
        <w:rPr>
          <w:rFonts w:ascii="Calibri" w:cs="Calibri" w:eastAsia="Calibri" w:hAnsi="Calibri"/>
          <w:b/>
          <w:bCs/>
          <w:color w:val="2E5395"/>
          <w:sz w:val="25"/>
          <w:szCs w:val="25"/>
        </w:rPr>
        <w:t xml:space="preserve">Trampa 7 · Fecha de inicio contradictoria</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numeral 6, Plan de implementación. Contrastar con Doc A, numerales 4 y 4.1.</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Limpex declara inicio del servicio el 1 de octubre de 2026 "de acuerdo con el cronograma establecido en las Bases". Las Bases fijan el 1 de septiembre de 2026 y exigen dotación completa desde el primer día, sin marcha blanca parcial. El plan de 4 semanas de Limpex además incluye una "marcha blanca nocturna", en tensión con ese requisito.</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Fuentes (1) y Omisiones (2).</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2"/>
        <w:spacing w:after="160" w:before="260"/>
      </w:pPr>
      <w:r>
        <w:rPr>
          <w:rFonts w:ascii="Calibri" w:cs="Calibri" w:eastAsia="Calibri" w:hAnsi="Calibri"/>
          <w:b/>
          <w:bCs/>
          <w:color w:val="2E5395"/>
          <w:sz w:val="25"/>
          <w:szCs w:val="25"/>
        </w:rPr>
        <w:t xml:space="preserve">Trampa 8 · Omisión crítica: las garantías</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B, documento completo. Contrastar con Doc A, numerales 8 y 10.</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Las Bases exigen que la oferta declare expresamente el compromiso de constituir la garantía de seriedad (UF 100) y la de fiel cumplimiento (10% del valor anual). La propuesta de Limpex no menciona ninguna de las dos en todo el documento. Es la trampa de omisión: no hay nada falso que subrayar, hay algo crítico que falta. Los grupos que solo verifican lo escrito no la encontrarán.</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Omisiones (2) y Firma (7).</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2"/>
        <w:spacing w:after="160" w:before="260"/>
      </w:pPr>
      <w:r>
        <w:rPr>
          <w:rFonts w:ascii="Calibri" w:cs="Calibri" w:eastAsia="Calibri" w:hAnsi="Calibri"/>
          <w:b/>
          <w:bCs/>
          <w:color w:val="2E5395"/>
          <w:sz w:val="25"/>
          <w:szCs w:val="25"/>
        </w:rPr>
        <w:t xml:space="preserve">Trampa 9 · Inconsistencia aritmética dentro del reporte NPS</w:t>
      </w:r>
    </w:p>
    <w:p>
      <w:pPr>
        <w:spacing w:after="160" w:line="276"/>
        <w:jc w:val="both"/>
      </w:pPr>
      <w:r>
        <w:rPr>
          <w:rFonts w:ascii="Calibri" w:cs="Calibri" w:eastAsia="Calibri" w:hAnsi="Calibri"/>
          <w:b/>
          <w:bCs/>
          <w:sz w:val="22"/>
          <w:szCs w:val="22"/>
        </w:rPr>
        <w:t xml:space="preserve">Ubicación: </w:t>
      </w:r>
      <w:r>
        <w:rPr>
          <w:rFonts w:ascii="Calibri" w:cs="Calibri" w:eastAsia="Calibri" w:hAnsi="Calibri"/>
          <w:sz w:val="22"/>
          <w:szCs w:val="22"/>
        </w:rPr>
        <w:t xml:space="preserve">Doc C, numeral 3. La tabla indica 52% promotores y 20% detractores.</w:t>
      </w:r>
    </w:p>
    <w:p>
      <w:pPr>
        <w:spacing w:after="160" w:line="276"/>
        <w:jc w:val="both"/>
      </w:pPr>
      <w:r>
        <w:rPr>
          <w:rFonts w:ascii="Calibri" w:cs="Calibri" w:eastAsia="Calibri" w:hAnsi="Calibri"/>
          <w:b/>
          <w:bCs/>
          <w:sz w:val="22"/>
          <w:szCs w:val="22"/>
        </w:rPr>
        <w:t xml:space="preserve">Defecto: </w:t>
      </w:r>
      <w:r>
        <w:rPr>
          <w:rFonts w:ascii="Calibri" w:cs="Calibri" w:eastAsia="Calibri" w:hAnsi="Calibri"/>
          <w:sz w:val="22"/>
          <w:szCs w:val="22"/>
        </w:rPr>
        <w:t xml:space="preserve">Con esa composición, el NPS aritmético es 52 - 20 = 32, no los 42 puntos que el reporte declara en el resumen ejecutivo y en la serie trimestral. Defecto interno de la fuente "oficial": demuestra que ni siquiera los documentos del mandante están libres de error, y que citar una fuente no exime de verificar la cifra.</w:t>
      </w:r>
    </w:p>
    <w:p>
      <w:pPr>
        <w:spacing w:after="160" w:line="276"/>
        <w:jc w:val="both"/>
      </w:pPr>
      <w:r>
        <w:rPr>
          <w:rFonts w:ascii="Calibri" w:cs="Calibri" w:eastAsia="Calibri" w:hAnsi="Calibri"/>
          <w:b/>
          <w:bCs/>
          <w:sz w:val="22"/>
          <w:szCs w:val="22"/>
        </w:rPr>
        <w:t xml:space="preserve">Punto del checklist: </w:t>
      </w:r>
      <w:r>
        <w:rPr>
          <w:rFonts w:ascii="Calibri" w:cs="Calibri" w:eastAsia="Calibri" w:hAnsi="Calibri"/>
          <w:sz w:val="22"/>
          <w:szCs w:val="22"/>
        </w:rPr>
        <w:t xml:space="preserve">Cifras (4) y Fuentes (1).</w:t>
      </w:r>
    </w:p>
    <w:p>
      <w:pPr>
        <w:spacing w:after="240" w:line="276"/>
        <w:jc w:val="both"/>
      </w:pPr>
      <w:r>
        <w:rPr>
          <w:rFonts w:ascii="Calibri" w:cs="Calibri" w:eastAsia="Calibri" w:hAnsi="Calibri"/>
          <w:b/>
          <w:bCs/>
          <w:sz w:val="22"/>
          <w:szCs w:val="22"/>
        </w:rPr>
        <w:t xml:space="preserve">Puntaje sugerido: </w:t>
      </w:r>
      <w:r>
        <w:rPr>
          <w:rFonts w:ascii="Calibri" w:cs="Calibri" w:eastAsia="Calibri" w:hAnsi="Calibri"/>
          <w:sz w:val="22"/>
          <w:szCs w:val="22"/>
        </w:rPr>
        <w:t xml:space="preserve">10 puntos.</w:t>
      </w:r>
    </w:p>
    <w:p>
      <w:pPr>
        <w:pStyle w:val="Heading1"/>
        <w:spacing w:after="200" w:before="320"/>
      </w:pPr>
      <w:r>
        <w:rPr>
          <w:rFonts w:ascii="Calibri" w:cs="Calibri" w:eastAsia="Calibri" w:hAnsi="Calibri"/>
          <w:b/>
          <w:bCs/>
          <w:color w:val="1F3864"/>
          <w:sz w:val="30"/>
          <w:szCs w:val="30"/>
        </w:rPr>
        <w:t xml:space="preserve">Errores esperables que NO son trampas (control de falsos positivos)</w:t>
      </w:r>
    </w:p>
    <w:p>
      <w:pPr>
        <w:spacing w:after="160" w:line="276"/>
        <w:jc w:val="both"/>
      </w:pPr>
      <w:r>
        <w:rPr>
          <w:rFonts w:ascii="Calibri" w:cs="Calibri" w:eastAsia="Calibri" w:hAnsi="Calibri"/>
          <w:b w:val="false"/>
          <w:bCs w:val="false"/>
          <w:i w:val="false"/>
          <w:iCs w:val="false"/>
          <w:sz w:val="22"/>
          <w:szCs w:val="22"/>
        </w:rPr>
        <w:t xml:space="preserve">Los siguientes puntos suelen ser acusados por los grupos y están correctos; cada acusación descuenta 5 puntos:</w:t>
      </w:r>
    </w:p>
    <w:p>
      <w:pPr>
        <w:pStyle w:val="ListParagraph"/>
        <w:numPr>
          <w:ilvl w:val="0"/>
          <w:numId w:val="2"/>
        </w:numPr>
        <w:spacing w:after="100" w:line="276"/>
      </w:pPr>
      <w:r>
        <w:rPr>
          <w:rFonts w:ascii="Calibri" w:cs="Calibri" w:eastAsia="Calibri" w:hAnsi="Calibri"/>
          <w:sz w:val="22"/>
          <w:szCs w:val="22"/>
        </w:rPr>
        <w:t xml:space="preserve">El promedio de reclamos de aseo del trimestre (13,7) sí supera la meta de 12 de las Bases: la cifra es correcta y la comparación válida.</w:t>
      </w:r>
    </w:p>
    <w:p>
      <w:pPr>
        <w:pStyle w:val="ListParagraph"/>
        <w:numPr>
          <w:ilvl w:val="0"/>
          <w:numId w:val="2"/>
        </w:numPr>
        <w:spacing w:after="100" w:line="276"/>
      </w:pPr>
      <w:r>
        <w:rPr>
          <w:rFonts w:ascii="Calibri" w:cs="Calibri" w:eastAsia="Calibri" w:hAnsi="Calibri"/>
          <w:sz w:val="22"/>
          <w:szCs w:val="22"/>
        </w:rPr>
        <w:t xml:space="preserve">La dotación de 38 operarios de la tabla de Limpex sí cumple el mínimo de 36 exigido: el defecto es la inconsistencia con el 42 declarado, no un incumplimiento del mínimo.</w:t>
      </w:r>
    </w:p>
    <w:p>
      <w:pPr>
        <w:pStyle w:val="ListParagraph"/>
        <w:numPr>
          <w:ilvl w:val="0"/>
          <w:numId w:val="2"/>
        </w:numPr>
        <w:spacing w:after="100" w:line="276"/>
      </w:pPr>
      <w:r>
        <w:rPr>
          <w:rFonts w:ascii="Calibri" w:cs="Calibri" w:eastAsia="Calibri" w:hAnsi="Calibri"/>
          <w:sz w:val="22"/>
          <w:szCs w:val="22"/>
        </w:rPr>
        <w:t xml:space="preserve">El estándar de respuesta a derrames de 8 minutos de Limpex es mejor que el máximo de 10 de las Bases: no hay contradicción.</w:t>
      </w:r>
    </w:p>
    <w:p>
      <w:pPr>
        <w:pStyle w:val="ListParagraph"/>
        <w:numPr>
          <w:ilvl w:val="0"/>
          <w:numId w:val="2"/>
        </w:numPr>
        <w:spacing w:after="100" w:line="276"/>
      </w:pPr>
      <w:r>
        <w:rPr>
          <w:rFonts w:ascii="Calibri" w:cs="Calibri" w:eastAsia="Calibri" w:hAnsi="Calibri"/>
          <w:sz w:val="22"/>
          <w:szCs w:val="22"/>
        </w:rPr>
        <w:t xml:space="preserve">Las cifras de GLA (78.500 m²), visitas (1,45 millones mensuales) y plazas de estacionamiento (2.350) coinciden entre los documentos que las mencionan.</w:t>
      </w:r>
    </w:p>
    <w:p>
      <w:pPr>
        <w:pStyle w:val="ListParagraph"/>
        <w:numPr>
          <w:ilvl w:val="0"/>
          <w:numId w:val="2"/>
        </w:numPr>
        <w:spacing w:after="100" w:line="276"/>
      </w:pPr>
      <w:r>
        <w:rPr>
          <w:rFonts w:ascii="Calibri" w:cs="Calibri" w:eastAsia="Calibri" w:hAnsi="Calibri"/>
          <w:sz w:val="22"/>
          <w:szCs w:val="22"/>
        </w:rPr>
        <w:t xml:space="preserve">La muestra de 1.480 casos del reporte NPS es internamente consistente con el desglose de casos por categoría (770 + 414 + 296 = 1.480).</w:t>
      </w:r>
    </w:p>
    <w:p>
      <w:pPr>
        <w:pStyle w:val="Heading1"/>
        <w:spacing w:after="200" w:before="320"/>
      </w:pPr>
      <w:r>
        <w:rPr>
          <w:rFonts w:ascii="Calibri" w:cs="Calibri" w:eastAsia="Calibri" w:hAnsi="Calibri"/>
          <w:b/>
          <w:bCs/>
          <w:color w:val="1F3864"/>
          <w:sz w:val="30"/>
          <w:szCs w:val="30"/>
        </w:rPr>
        <w:t xml:space="preserve">Guion sugerido de tiempos (50–60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Bloque</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Tiempo</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Instrucciones y carga de documentos en NotebookLM</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 min</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Generación de la recomendación ejecutiva con Gemini</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 min</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Intercambio y auditoría con el checklist de 7 puntos</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22 min</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Puesta en común: revelación de trampas y puntajes</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 min</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Cierre: qué habría pasado si se firma sin auditar</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 min</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Sugerencia de cierre: pedir a cada grupo que nombre la trampa que más le costó encontrar y la vincule al punto del checklist correspondiente. Las trampas 6 y 8 suelen concentrar la conversación, y son precisamente las que mejor justifican el mensaje central de la sesión: la IA acelera, el criterio firma.</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Pauta del facilitador · Confidencial · No distribuir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2026-07-08T15:33:26.800Z</dcterms:created>
  <dcterms:modified xsi:type="dcterms:W3CDTF">2026-07-08T15:33:26.800Z</dcterms:modified>
</cp:coreProperties>
</file>

<file path=docProps/custom.xml><?xml version="1.0" encoding="utf-8"?>
<Properties xmlns="http://schemas.openxmlformats.org/officeDocument/2006/custom-properties" xmlns:vt="http://schemas.openxmlformats.org/officeDocument/2006/docPropsVTypes"/>
</file>