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PhiGraph Core 4.0: A Shadow-First Evidence Ledger and Policy-Gated Runtime for Software-Agent Operations</w:t>
      </w:r>
    </w:p>
    <w:p>
      <w:pPr>
        <w:pStyle w:val="Author"/>
      </w:pPr>
      <w:r>
        <w:t xml:space="preserve">Walter Calmels von Dem Knesebeck</w:t>
      </w:r>
      <w:r>
        <w:br/>
      </w:r>
      <w:r>
        <w:t xml:space="preserve">TUCH Systems, Santiago, Chile</w:t>
      </w:r>
      <w:r>
        <w:br/>
      </w:r>
      <w:hyperlink r:id="rId9">
        <w:r>
          <w:rPr>
            <w:rStyle w:val="Hyperlink"/>
          </w:rPr>
          <w:t xml:space="preserve">wcalmels@phi47.cl</w:t>
        </w:r>
      </w:hyperlink>
    </w:p>
    <w:p>
      <w:pPr>
        <w:pStyle w:val="Date"/>
      </w:pPr>
      <w:r>
        <w:t xml:space="preserve">July 2026</w:t>
      </w:r>
    </w:p>
    <w:p>
      <w:pPr>
        <w:pStyle w:val="AbstractTitle"/>
      </w:pPr>
      <w:r>
        <w:t xml:space="preserve">Abstract</w:t>
      </w:r>
    </w:p>
    <w:p>
      <w:pPr>
        <w:pStyle w:val="Abstract"/>
      </w:pPr>
      <w:r>
        <w:t xml:space="preserve">Software agents and artificial-intelligence systems can produce claims,</w:t>
      </w:r>
      <w:r>
        <w:t xml:space="preserve"> </w:t>
      </w:r>
      <w:r>
        <w:t xml:space="preserve">recommendations, and action proposals faster than organizations can verify and</w:t>
      </w:r>
      <w:r>
        <w:t xml:space="preserve"> </w:t>
      </w:r>
      <w:r>
        <w:t xml:space="preserve">govern them. This paper presents PhiGraph Core 4.0.0, an MIT-licensed,</w:t>
      </w:r>
      <w:r>
        <w:t xml:space="preserve"> </w:t>
      </w:r>
      <w:r>
        <w:t xml:space="preserve">model-agnostic system that treats model output as a proposal rather than as</w:t>
      </w:r>
      <w:r>
        <w:t xml:space="preserve"> </w:t>
      </w:r>
      <w:r>
        <w:t xml:space="preserve">verified truth. PhiGraph represents claims, evidence, verifications, action</w:t>
      </w:r>
      <w:r>
        <w:t xml:space="preserve"> </w:t>
      </w:r>
      <w:r>
        <w:t xml:space="preserve">proposals, policy decisions, and outcomes as linked records; stores them in a</w:t>
      </w:r>
      <w:r>
        <w:t xml:space="preserve"> </w:t>
      </w:r>
      <w:r>
        <w:t xml:space="preserve">scope-tagged, tamper-evident ledger; and places policy evaluation between agent</w:t>
      </w:r>
      <w:r>
        <w:t xml:space="preserve"> </w:t>
      </w:r>
      <w:r>
        <w:t xml:space="preserve">proposals and operational execution. Replay and shadow modes cannot execute</w:t>
      </w:r>
      <w:r>
        <w:t xml:space="preserve"> </w:t>
      </w:r>
      <w:r>
        <w:t xml:space="preserve">external actions, while higher-authority modes require both an explicit</w:t>
      </w:r>
      <w:r>
        <w:t xml:space="preserve"> </w:t>
      </w:r>
      <w:r>
        <w:t xml:space="preserve">executor and an allowing policy decision. We describe the protocol, runtime,</w:t>
      </w:r>
      <w:r>
        <w:t xml:space="preserve"> </w:t>
      </w:r>
      <w:r>
        <w:t xml:space="preserve">ledger, deployment boundaries, and Python implementation. Building on this</w:t>
      </w:r>
      <w:r>
        <w:t xml:space="preserve"> </w:t>
      </w:r>
      <w:r>
        <w:t xml:space="preserve">substrate, we additionally describe PhiGraph HAV v0.2, a fail-closed</w:t>
      </w:r>
      <w:r>
        <w:t xml:space="preserve"> </w:t>
      </w:r>
      <w:r>
        <w:t xml:space="preserve">verification layer that extracts claims from agent-generated text, checks them</w:t>
      </w:r>
      <w:r>
        <w:t xml:space="preserve"> </w:t>
      </w:r>
      <w:r>
        <w:t xml:space="preserve">against an explicitly supplied authoritative state, and records the resulting</w:t>
      </w:r>
      <w:r>
        <w:t xml:space="preserve"> </w:t>
      </w:r>
      <w:r>
        <w:t xml:space="preserve">claims, evidence, verifications, and policy decisions in the same ledger.</w:t>
      </w:r>
      <w:r>
        <w:t xml:space="preserve"> </w:t>
      </w:r>
      <w:r>
        <w:t xml:space="preserve">Engineering verification comprises 128 automated tests (117 core tests and 11</w:t>
      </w:r>
      <w:r>
        <w:t xml:space="preserve"> </w:t>
      </w:r>
      <w:r>
        <w:t xml:space="preserve">HAV-specific tests); the continuous-integration configuration targets Python</w:t>
      </w:r>
      <w:r>
        <w:t xml:space="preserve"> </w:t>
      </w:r>
      <w:r>
        <w:t xml:space="preserve">3.10–3.13. An initial external experiment on the CIC-IDS2017</w:t>
      </w:r>
      <w:r>
        <w:t xml:space="preserve"> </w:t>
      </w:r>
      <w:r>
        <w:t xml:space="preserve">Friday DDoS flow file compares a PhiGraph relational score with three</w:t>
      </w:r>
      <w:r>
        <w:t xml:space="preserve"> </w:t>
      </w:r>
      <w:r>
        <w:t xml:space="preserve">unsupervised baselines. Local Outlier Factor is strongest on this tabular</w:t>
      </w:r>
      <w:r>
        <w:t xml:space="preserve"> </w:t>
      </w:r>
      <w:r>
        <w:t xml:space="preserve">benchmark; PhiGraph ranks second by PR-AUC and attains 0.840 precision at a</w:t>
      </w:r>
      <w:r>
        <w:t xml:space="preserve"> </w:t>
      </w:r>
      <w:r>
        <w:t xml:space="preserve">10% alert budget. The experiment demonstrates functional integration, not</w:t>
      </w:r>
      <w:r>
        <w:t xml:space="preserve"> </w:t>
      </w:r>
      <w:r>
        <w:t xml:space="preserve">state-of-the-art superiority: it uses a single imperfect dataset, a</w:t>
      </w:r>
      <w:r>
        <w:t xml:space="preserve"> </w:t>
      </w:r>
      <w:r>
        <w:t xml:space="preserve">feature-similarity graph, and one fixed split. PhiGraph is therefore presented</w:t>
      </w:r>
      <w:r>
        <w:t xml:space="preserve"> </w:t>
      </w:r>
      <w:r>
        <w:t xml:space="preserve">as an auditable governance substrate and research prototype, not as a proof of</w:t>
      </w:r>
      <w:r>
        <w:t xml:space="preserve"> </w:t>
      </w:r>
      <w:r>
        <w:t xml:space="preserve">correctness, causal identification, or safe autonomous operation.</w:t>
      </w:r>
    </w:p>
    <w:p>
      <w:pPr>
        <w:pStyle w:val="FirstParagraph"/>
      </w:pPr>
      <w:r>
        <w:rPr>
          <w:b/>
          <w:bCs/>
        </w:rPr>
        <w:t xml:space="preserve">Keywords:</w:t>
      </w:r>
      <w:r>
        <w:t xml:space="preserve"> </w:t>
      </w:r>
      <w:r>
        <w:t xml:space="preserve">AI governance; software agents; provenance;</w:t>
      </w:r>
      <w:r>
        <w:t xml:space="preserve"> </w:t>
      </w:r>
      <w:r>
        <w:t xml:space="preserve">evidence ledger; graph intelligence; policy enforcement; shadow deployment;</w:t>
      </w:r>
      <w:r>
        <w:t xml:space="preserve"> </w:t>
      </w:r>
      <w:r>
        <w:t xml:space="preserve">claim verification; reproducible software</w:t>
      </w:r>
    </w:p>
    <w:bookmarkStart w:id="10" w:name="introduction"/>
    <w:p>
      <w:pPr>
        <w:pStyle w:val="Heading1"/>
      </w:pPr>
      <w:r>
        <w:t xml:space="preserve">Introduction</w:t>
      </w:r>
    </w:p>
    <w:p>
      <w:pPr>
        <w:pStyle w:val="FirstParagraph"/>
      </w:pPr>
      <w:r>
        <w:t xml:space="preserve">Modern software agents can synthesize text, modify code, recommend operational</w:t>
      </w:r>
      <w:r>
        <w:t xml:space="preserve"> </w:t>
      </w:r>
      <w:r>
        <w:t xml:space="preserve">changes, invoke tools, and coordinate multi-step workflows. Their outputs may</w:t>
      </w:r>
      <w:r>
        <w:t xml:space="preserve"> </w:t>
      </w:r>
      <w:r>
        <w:t xml:space="preserve">be useful without being reliable, authorized, or supported by reproducible</w:t>
      </w:r>
      <w:r>
        <w:t xml:space="preserve"> </w:t>
      </w:r>
      <w:r>
        <w:t xml:space="preserve">evidence. This creates a control problem: an organization must determine what</w:t>
      </w:r>
      <w:r>
        <w:t xml:space="preserve"> </w:t>
      </w:r>
      <w:r>
        <w:t xml:space="preserve">was claimed, which evidence supported or refuted it, which policy governed a</w:t>
      </w:r>
      <w:r>
        <w:t xml:space="preserve"> </w:t>
      </w:r>
      <w:r>
        <w:t xml:space="preserve">proposed action, who approved it, and what happened after evaluation or</w:t>
      </w:r>
      <w:r>
        <w:t xml:space="preserve"> </w:t>
      </w:r>
      <w:r>
        <w:t xml:space="preserve">execution.</w:t>
      </w:r>
    </w:p>
    <w:p>
      <w:pPr>
        <w:pStyle w:val="BodyText"/>
      </w:pPr>
      <w:r>
        <w:t xml:space="preserve">Existing guidance emphasizes lifecycle risk management and traceability.</w:t>
      </w:r>
      <w:r>
        <w:t xml:space="preserve"> </w:t>
      </w:r>
      <w:r>
        <w:t xml:space="preserve">The NIST AI Risk Management Framework organizes activities around governing,</w:t>
      </w:r>
      <w:r>
        <w:t xml:space="preserve"> </w:t>
      </w:r>
      <w:r>
        <w:t xml:space="preserve">mapping, measuring, and managing AI risk</w:t>
      </w:r>
      <w:r>
        <w:t xml:space="preserve"> </w:t>
      </w:r>
      <w:r>
        <w:t xml:space="preserve">(Tabassi 2023)</w:t>
      </w:r>
      <w:r>
        <w:t xml:space="preserve">. W3C PROV provides</w:t>
      </w:r>
      <w:r>
        <w:t xml:space="preserve"> </w:t>
      </w:r>
      <w:r>
        <w:t xml:space="preserve">a general vocabulary for provenance</w:t>
      </w:r>
      <w:r>
        <w:t xml:space="preserve"> </w:t>
      </w:r>
      <w:r>
        <w:t xml:space="preserve">(Lebo et al. 2013)</w:t>
      </w:r>
      <w:r>
        <w:t xml:space="preserve">, while model cards and</w:t>
      </w:r>
      <w:r>
        <w:t xml:space="preserve"> </w:t>
      </w:r>
      <w:r>
        <w:t xml:space="preserve">dataset datasheets improve documentation of released artifacts</w:t>
      </w:r>
      <w:r>
        <w:t xml:space="preserve"> </w:t>
      </w:r>
      <w:r>
        <w:t xml:space="preserve">(Mitchell et al. 2019; Gebru et al. 2021)</w:t>
      </w:r>
      <w:r>
        <w:t xml:space="preserve">. These approaches are</w:t>
      </w:r>
      <w:r>
        <w:t xml:space="preserve"> </w:t>
      </w:r>
      <w:r>
        <w:t xml:space="preserve">important, but they do not by themselves define an operational boundary</w:t>
      </w:r>
      <w:r>
        <w:t xml:space="preserve"> </w:t>
      </w:r>
      <w:r>
        <w:t xml:space="preserve">between a model-generated proposal and an authorized action.</w:t>
      </w:r>
    </w:p>
    <w:p>
      <w:pPr>
        <w:pStyle w:val="BodyText"/>
      </w:pPr>
      <w:r>
        <w:t xml:space="preserve">PhiGraph addresses this boundary through an evidence-oriented protocol and a</w:t>
      </w:r>
      <w:r>
        <w:t xml:space="preserve"> </w:t>
      </w:r>
      <w:r>
        <w:t xml:space="preserve">policy-gated runtime. Its central invariant is that model output is a candidate</w:t>
      </w:r>
      <w:r>
        <w:t xml:space="preserve"> </w:t>
      </w:r>
      <w:r>
        <w:t xml:space="preserve">claim or action proposal, not verified truth or implicit authority. The system</w:t>
      </w:r>
      <w:r>
        <w:t xml:space="preserve"> </w:t>
      </w:r>
      <w:r>
        <w:t xml:space="preserve">records relationships among claims, evidence, verification results, policies,</w:t>
      </w:r>
      <w:r>
        <w:t xml:space="preserve"> </w:t>
      </w:r>
      <w:r>
        <w:t xml:space="preserve">approvals, and outcomes so that a decision can be reconstructed after the</w:t>
      </w:r>
      <w:r>
        <w:t xml:space="preserve"> </w:t>
      </w:r>
      <w:r>
        <w:t xml:space="preserve">fact.</w:t>
      </w:r>
    </w:p>
    <w:p>
      <w:pPr>
        <w:pStyle w:val="BodyText"/>
      </w:pPr>
      <w:r>
        <w:t xml:space="preserve">This paper makes five contributions:</w:t>
      </w:r>
    </w:p>
    <w:p>
      <w:pPr>
        <w:numPr>
          <w:ilvl w:val="0"/>
          <w:numId w:val="1001"/>
        </w:numPr>
      </w:pPr>
      <w:r>
        <w:t xml:space="preserve">a typed protocol for claims, evidence, verifications, action proposals,</w:t>
      </w:r>
      <w:r>
        <w:t xml:space="preserve"> </w:t>
      </w:r>
      <w:r>
        <w:t xml:space="preserve">policy decisions, and outcomes;</w:t>
      </w:r>
    </w:p>
    <w:p>
      <w:pPr>
        <w:numPr>
          <w:ilvl w:val="0"/>
          <w:numId w:val="1001"/>
        </w:numPr>
      </w:pPr>
      <w:r>
        <w:t xml:space="preserve">a runtime in which policy evaluation and an explicit executor are</w:t>
      </w:r>
      <w:r>
        <w:t xml:space="preserve"> </w:t>
      </w:r>
      <w:r>
        <w:t xml:space="preserve">necessary conditions for external action;</w:t>
      </w:r>
    </w:p>
    <w:p>
      <w:pPr>
        <w:numPr>
          <w:ilvl w:val="0"/>
          <w:numId w:val="1001"/>
        </w:numPr>
      </w:pPr>
      <w:r>
        <w:t xml:space="preserve">a backend-neutral, scope-tagged ledger with hash-chain integrity</w:t>
      </w:r>
      <w:r>
        <w:t xml:space="preserve"> </w:t>
      </w:r>
      <w:r>
        <w:t xml:space="preserve">metadata and optional HMAC evidence signatures;</w:t>
      </w:r>
    </w:p>
    <w:p>
      <w:pPr>
        <w:numPr>
          <w:ilvl w:val="0"/>
          <w:numId w:val="1001"/>
        </w:numPr>
      </w:pPr>
      <w:r>
        <w:t xml:space="preserve">HAV v0.2, a fail-closed extension that verifies agent-generated</w:t>
      </w:r>
      <w:r>
        <w:t xml:space="preserve"> </w:t>
      </w:r>
      <w:r>
        <w:t xml:space="preserve">textual claims against an authoritative external state and records</w:t>
      </w:r>
      <w:r>
        <w:t xml:space="preserve"> </w:t>
      </w:r>
      <w:r>
        <w:t xml:space="preserve">the result through the same protocol and ledger; and</w:t>
      </w:r>
    </w:p>
    <w:p>
      <w:pPr>
        <w:numPr>
          <w:ilvl w:val="0"/>
          <w:numId w:val="1001"/>
        </w:numPr>
      </w:pPr>
      <w:r>
        <w:t xml:space="preserve">a bounded empirical evaluation comprising software verification and an</w:t>
      </w:r>
      <w:r>
        <w:t xml:space="preserve"> </w:t>
      </w:r>
      <w:r>
        <w:t xml:space="preserve">external anomaly-ranking experiment, together with explicit threats to</w:t>
      </w:r>
      <w:r>
        <w:t xml:space="preserve"> </w:t>
      </w:r>
      <w:r>
        <w:t xml:space="preserve">validity.</w:t>
      </w:r>
    </w:p>
    <w:bookmarkEnd w:id="10"/>
    <w:bookmarkStart w:id="14" w:name="related-work"/>
    <w:p>
      <w:pPr>
        <w:pStyle w:val="Heading1"/>
      </w:pPr>
      <w:r>
        <w:t xml:space="preserve">Related Work</w:t>
      </w:r>
    </w:p>
    <w:bookmarkStart w:id="11" w:name="governance-documentation-and-provenance"/>
    <w:p>
      <w:pPr>
        <w:pStyle w:val="Heading2"/>
      </w:pPr>
      <w:r>
        <w:t xml:space="preserve">Governance, documentation, and provenance</w:t>
      </w:r>
    </w:p>
    <w:p>
      <w:pPr>
        <w:pStyle w:val="FirstParagraph"/>
      </w:pPr>
      <w:r>
        <w:t xml:space="preserve">The NIST AI RMF is a voluntary, use-case-agnostic framework for managing AI</w:t>
      </w:r>
      <w:r>
        <w:t xml:space="preserve"> </w:t>
      </w:r>
      <w:r>
        <w:t xml:space="preserve">risk</w:t>
      </w:r>
      <w:r>
        <w:t xml:space="preserve"> </w:t>
      </w:r>
      <w:r>
        <w:t xml:space="preserve">(Tabassi 2023)</w:t>
      </w:r>
      <w:r>
        <w:t xml:space="preserve">. PhiGraph is not an implementation or certification</w:t>
      </w:r>
      <w:r>
        <w:t xml:space="preserve"> </w:t>
      </w:r>
      <w:r>
        <w:t xml:space="preserve">of that framework; it provides operational records that may support governance</w:t>
      </w:r>
      <w:r>
        <w:t xml:space="preserve"> </w:t>
      </w:r>
      <w:r>
        <w:t xml:space="preserve">activities. PROV-O formalizes entities, activities, agents, and provenance</w:t>
      </w:r>
      <w:r>
        <w:t xml:space="preserve"> </w:t>
      </w:r>
      <w:r>
        <w:t xml:space="preserve">relations</w:t>
      </w:r>
      <w:r>
        <w:t xml:space="preserve"> </w:t>
      </w:r>
      <w:r>
        <w:t xml:space="preserve">(Lebo et al. 2013)</w:t>
      </w:r>
      <w:r>
        <w:t xml:space="preserve">. PhiGraph uses a narrower application protocol</w:t>
      </w:r>
      <w:r>
        <w:t xml:space="preserve"> </w:t>
      </w:r>
      <w:r>
        <w:t xml:space="preserve">centered on verification and policy-gated action. A future interoperability</w:t>
      </w:r>
      <w:r>
        <w:t xml:space="preserve"> </w:t>
      </w:r>
      <w:r>
        <w:t xml:space="preserve">layer could map PhiGraph records to PROV-O.</w:t>
      </w:r>
    </w:p>
    <w:p>
      <w:pPr>
        <w:pStyle w:val="BodyText"/>
      </w:pPr>
      <w:r>
        <w:t xml:space="preserve">Model cards</w:t>
      </w:r>
      <w:r>
        <w:t xml:space="preserve"> </w:t>
      </w:r>
      <w:r>
        <w:t xml:space="preserve">(Mitchell et al. 2019)</w:t>
      </w:r>
      <w:r>
        <w:t xml:space="preserve"> </w:t>
      </w:r>
      <w:r>
        <w:t xml:space="preserve">and datasheets for datasets</w:t>
      </w:r>
      <w:r>
        <w:t xml:space="preserve"> </w:t>
      </w:r>
      <w:r>
        <w:t xml:space="preserve">(Gebru et al. 2021)</w:t>
      </w:r>
      <w:r>
        <w:t xml:space="preserve"> </w:t>
      </w:r>
      <w:r>
        <w:t xml:space="preserve">make intended uses, evaluation conditions, and</w:t>
      </w:r>
      <w:r>
        <w:t xml:space="preserve"> </w:t>
      </w:r>
      <w:r>
        <w:t xml:space="preserve">limitations explicit. PhiGraph applies a related transparency principle at</w:t>
      </w:r>
      <w:r>
        <w:t xml:space="preserve"> </w:t>
      </w:r>
      <w:r>
        <w:t xml:space="preserve">runtime: each claim and action remains linked to its evidence, decision, and</w:t>
      </w:r>
      <w:r>
        <w:t xml:space="preserve"> </w:t>
      </w:r>
      <w:r>
        <w:t xml:space="preserve">outcome rather than relying only on static release documentation.</w:t>
      </w:r>
    </w:p>
    <w:bookmarkEnd w:id="11"/>
    <w:bookmarkStart w:id="12" w:name="X89ef2fa72ad62e57d632c55a0bc62626ea2cf4a"/>
    <w:p>
      <w:pPr>
        <w:pStyle w:val="Heading2"/>
      </w:pPr>
      <w:r>
        <w:t xml:space="preserve">Relational representations and software assurance</w:t>
      </w:r>
    </w:p>
    <w:p>
      <w:pPr>
        <w:pStyle w:val="FirstParagraph"/>
      </w:pPr>
      <w:r>
        <w:t xml:space="preserve">Graph-based representations make entities and relationships first-class and</w:t>
      </w:r>
      <w:r>
        <w:t xml:space="preserve"> </w:t>
      </w:r>
      <w:r>
        <w:t xml:space="preserve">support structured reasoning</w:t>
      </w:r>
      <w:r>
        <w:t xml:space="preserve"> </w:t>
      </w:r>
      <w:r>
        <w:t xml:space="preserve">(</w:t>
      </w:r>
      <w:r>
        <w:t xml:space="preserve">Battaglia et al.</w:t>
      </w:r>
      <w:r>
        <w:t xml:space="preserve"> </w:t>
      </w:r>
      <w:r>
        <w:t xml:space="preserve">2018)</w:t>
      </w:r>
      <w:r>
        <w:t xml:space="preserve">. PhiGraph uses</w:t>
      </w:r>
      <w:r>
        <w:t xml:space="preserve"> </w:t>
      </w:r>
      <w:r>
        <w:t xml:space="preserve">heterogeneous graphs and classical graph analytics; it does not require a graph</w:t>
      </w:r>
      <w:r>
        <w:t xml:space="preserve"> </w:t>
      </w:r>
      <w:r>
        <w:t xml:space="preserve">neural network and does not claim that graph structure alone establishes</w:t>
      </w:r>
      <w:r>
        <w:t xml:space="preserve"> </w:t>
      </w:r>
      <w:r>
        <w:t xml:space="preserve">causality. In software assurance, in-toto protects software-supply-chain</w:t>
      </w:r>
      <w:r>
        <w:t xml:space="preserve"> </w:t>
      </w:r>
      <w:r>
        <w:t xml:space="preserve">integrity through verifiable step metadata</w:t>
      </w:r>
      <w:r>
        <w:t xml:space="preserve"> </w:t>
      </w:r>
      <w:r>
        <w:t xml:space="preserve">(Torres-Arias et al. 2019)</w:t>
      </w:r>
      <w:r>
        <w:t xml:space="preserve">.</w:t>
      </w:r>
      <w:r>
        <w:t xml:space="preserve"> </w:t>
      </w:r>
      <w:r>
        <w:t xml:space="preserve">PhiGraph shares an emphasis on attributable records but targets a broader</w:t>
      </w:r>
      <w:r>
        <w:t xml:space="preserve"> </w:t>
      </w:r>
      <w:r>
        <w:t xml:space="preserve">claim–evidence–policy–action lifecycle.</w:t>
      </w:r>
    </w:p>
    <w:p>
      <w:pPr>
        <w:pStyle w:val="BodyText"/>
      </w:pPr>
      <w:r>
        <w:t xml:space="preserve">Agentic systems introduce risks including tool misuse, privilege compromise,</w:t>
      </w:r>
      <w:r>
        <w:t xml:space="preserve"> </w:t>
      </w:r>
      <w:r>
        <w:t xml:space="preserve">untraceable actions, and cascading errors. The OWASP Agentic Security</w:t>
      </w:r>
      <w:r>
        <w:t xml:space="preserve"> </w:t>
      </w:r>
      <w:r>
        <w:t xml:space="preserve">Initiative provides an industry threat taxonomy</w:t>
      </w:r>
      <w:r>
        <w:t xml:space="preserve"> </w:t>
      </w:r>
      <w:r>
        <w:t xml:space="preserve">(OWASP Agentic Security Initiative 2025)</w:t>
      </w:r>
      <w:r>
        <w:t xml:space="preserve">.</w:t>
      </w:r>
      <w:r>
        <w:t xml:space="preserve"> </w:t>
      </w:r>
      <w:r>
        <w:t xml:space="preserve">PhiGraph’s deny-by-default policy, approval requirements, idempotency controls,</w:t>
      </w:r>
      <w:r>
        <w:t xml:space="preserve"> </w:t>
      </w:r>
      <w:r>
        <w:t xml:space="preserve">and shadow-first deployment are engineering controls relevant to these risks;</w:t>
      </w:r>
      <w:r>
        <w:t xml:space="preserve"> </w:t>
      </w:r>
      <w:r>
        <w:t xml:space="preserve">they are not a complete security solution.</w:t>
      </w:r>
    </w:p>
    <w:bookmarkEnd w:id="12"/>
    <w:bookmarkStart w:id="13" w:name="automated-claim-verification"/>
    <w:p>
      <w:pPr>
        <w:pStyle w:val="Heading2"/>
      </w:pPr>
      <w:r>
        <w:t xml:space="preserve">Automated claim verification</w:t>
      </w:r>
    </w:p>
    <w:p>
      <w:pPr>
        <w:pStyle w:val="FirstParagraph"/>
      </w:pPr>
      <w:r>
        <w:t xml:space="preserve">Large language models can generate fluent text that is not supported by, or</w:t>
      </w:r>
      <w:r>
        <w:t xml:space="preserve"> </w:t>
      </w:r>
      <w:r>
        <w:t xml:space="preserve">directly contradicts, available evidence, a phenomenon surveyed broadly across</w:t>
      </w:r>
      <w:r>
        <w:t xml:space="preserve"> </w:t>
      </w:r>
      <w:r>
        <w:t xml:space="preserve">natural-language-generation tasks</w:t>
      </w:r>
      <w:r>
        <w:t xml:space="preserve"> </w:t>
      </w:r>
      <w:r>
        <w:t xml:space="preserve">(Ji et al. 2023)</w:t>
      </w:r>
      <w:r>
        <w:t xml:space="preserve">. FEVER established</w:t>
      </w:r>
      <w:r>
        <w:t xml:space="preserve"> </w:t>
      </w:r>
      <w:r>
        <w:t xml:space="preserve">claim verification against textual evidence as a distinct research problem,</w:t>
      </w:r>
      <w:r>
        <w:t xml:space="preserve"> </w:t>
      </w:r>
      <w:r>
        <w:t xml:space="preserve">using retrieval and entailment models over a large Wikipedia-derived claim set</w:t>
      </w:r>
      <w:r>
        <w:t xml:space="preserve"> </w:t>
      </w:r>
      <w:r>
        <w:t xml:space="preserve">(Thorne et al. 2018)</w:t>
      </w:r>
      <w:r>
        <w:t xml:space="preserve">. PhiGraph’s HAV extension (Section </w:t>
      </w:r>
      <w:hyperlink w:anchor="sec:hav">
        <w:r>
          <w:rPr>
            <w:rStyle w:val="Hyperlink"/>
          </w:rPr>
          <w:t xml:space="preserve">4.5</w:t>
        </w:r>
      </w:hyperlink>
      <w:r>
        <w:t xml:space="preserve">)</w:t>
      </w:r>
      <w:r>
        <w:t xml:space="preserve"> </w:t>
      </w:r>
      <w:r>
        <w:t xml:space="preserve">targets a narrower, operational instance of this problem: claims that an</w:t>
      </w:r>
      <w:r>
        <w:t xml:space="preserve"> </w:t>
      </w:r>
      <w:r>
        <w:t xml:space="preserve">AI agent makes about the status of a software system, checked against a</w:t>
      </w:r>
      <w:r>
        <w:t xml:space="preserve"> </w:t>
      </w:r>
      <w:r>
        <w:t xml:space="preserve">caller-supplied authoritative state rather than an open-domain knowledge base.</w:t>
      </w:r>
      <w:r>
        <w:t xml:space="preserve"> </w:t>
      </w:r>
      <w:r>
        <w:t xml:space="preserve">It does not use a trained entailment model and does not claim comparable</w:t>
      </w:r>
      <w:r>
        <w:t xml:space="preserve"> </w:t>
      </w:r>
      <w:r>
        <w:t xml:space="preserve">coverage or accuracy to FEVER-style systems; its contribution is a fail-closed</w:t>
      </w:r>
      <w:r>
        <w:t xml:space="preserve"> </w:t>
      </w:r>
      <w:r>
        <w:t xml:space="preserve">policy binding between extracted claims and PhiGraph’s existing evidence</w:t>
      </w:r>
      <w:r>
        <w:t xml:space="preserve"> </w:t>
      </w:r>
      <w:r>
        <w:t xml:space="preserve">ledger and governance protocol.</w:t>
      </w:r>
    </w:p>
    <w:bookmarkEnd w:id="13"/>
    <w:bookmarkEnd w:id="14"/>
    <w:bookmarkStart w:id="15" w:name="sec:systemmodel"/>
    <w:p>
      <w:pPr>
        <w:pStyle w:val="Heading1"/>
      </w:pPr>
      <w:r>
        <w:t xml:space="preserve">System Model and Design Goals</w:t>
      </w:r>
    </w:p>
    <w:p>
      <w:pPr>
        <w:pStyle w:val="FirstParagraph"/>
      </w:pPr>
      <w:r>
        <w:t xml:space="preserve">Let an agent produce a proposal</w:t>
      </w:r>
    </w:p>
    <w:p>
      <w:pPr>
        <w:pStyle w:val="BodyText"/>
      </w:pPr>
      <m:oMathPara>
        <m:oMathParaPr>
          <m:jc m:val="center"/>
        </m:oMathParaPr>
        <m:oMath>
          <m:r>
            <m:t>P</m:t>
          </m:r>
          <m:r>
            <m:rPr>
              <m:sty m:val="p"/>
            </m:rPr>
            <m:t>=</m:t>
          </m:r>
          <m:r>
            <m:rPr>
              <m:sty m:val="p"/>
            </m:rPr>
            <m:t>(</m:t>
          </m:r>
          <m:r>
            <m:t>C</m:t>
          </m:r>
          <m:r>
            <m:rPr>
              <m:sty m:val="p"/>
            </m:rPr>
            <m:t>,</m:t>
          </m:r>
          <m:r>
            <m:t>A</m:t>
          </m:r>
          <m:r>
            <m:rPr>
              <m:sty m:val="p"/>
            </m:rPr>
            <m:t>)</m:t>
          </m:r>
          <m:r>
            <m:rPr>
              <m:sty m:val="p"/>
            </m:rPr>
            <m:t>,</m:t>
          </m:r>
        </m:oMath>
      </m:oMathPara>
    </w:p>
    <w:p>
      <w:pPr>
        <w:pStyle w:val="FirstParagraph"/>
      </w:pPr>
      <w:r>
        <w:t xml:space="preserve">where</w:t>
      </w:r>
      <w:r>
        <w:t xml:space="preserve"> </w:t>
      </w:r>
      <m:oMath>
        <m:r>
          <m:t>C</m:t>
        </m:r>
      </m:oMath>
      <w:r>
        <w:t xml:space="preserve"> </w:t>
      </w:r>
      <w:r>
        <w:t xml:space="preserve">is a set of claims and</w:t>
      </w:r>
      <w:r>
        <w:t xml:space="preserve"> </w:t>
      </w:r>
      <m:oMath>
        <m:r>
          <m:t>A</m:t>
        </m:r>
      </m:oMath>
      <w:r>
        <w:t xml:space="preserve"> </w:t>
      </w:r>
      <w:r>
        <w:t xml:space="preserve">is a set of proposed actions. A claim does</w:t>
      </w:r>
      <w:r>
        <w:t xml:space="preserve"> </w:t>
      </w:r>
      <w:r>
        <w:t xml:space="preserve">not become verified merely because an agent assigns it high confidence.</w:t>
      </w:r>
      <w:r>
        <w:t xml:space="preserve"> </w:t>
      </w:r>
      <w:r>
        <w:t xml:space="preserve">Instead, a verifier records a result over a claim and an explicit evidence set.</w:t>
      </w:r>
      <w:r>
        <w:t xml:space="preserve"> </w:t>
      </w:r>
      <w:r>
        <w:t xml:space="preserve">Similarly, an action is not authorized by its presence in</w:t>
      </w:r>
      <w:r>
        <w:t xml:space="preserve"> </w:t>
      </w:r>
      <m:oMath>
        <m:r>
          <m:t>P</m:t>
        </m:r>
      </m:oMath>
      <w:r>
        <w:t xml:space="preserve">: the policy</w:t>
      </w:r>
      <w:r>
        <w:t xml:space="preserve"> </w:t>
      </w:r>
      <w:r>
        <w:t xml:space="preserve">engine evaluates the action under a runtime mode and an approval set.</w:t>
      </w:r>
    </w:p>
    <w:p>
      <w:pPr>
        <w:pStyle w:val="BodyText"/>
      </w:pPr>
      <w:r>
        <w:t xml:space="preserve">PhiGraph is designed around six goals:</w:t>
      </w:r>
    </w:p>
    <w:p>
      <w:pPr>
        <w:numPr>
          <w:ilvl w:val="0"/>
          <w:numId w:val="1002"/>
        </w:numPr>
      </w:pPr>
      <w:r>
        <w:rPr>
          <w:b/>
          <w:bCs/>
        </w:rPr>
        <w:t xml:space="preserve">Evidence boundedness:</w:t>
      </w:r>
      <w:r>
        <w:t xml:space="preserve"> </w:t>
      </w:r>
      <w:r>
        <w:t xml:space="preserve">when evidence identifiers are supplied,</w:t>
      </w:r>
      <w:r>
        <w:t xml:space="preserve"> </w:t>
      </w:r>
      <w:r>
        <w:t xml:space="preserve">verification results reference evidence already registered in the</w:t>
      </w:r>
      <w:r>
        <w:t xml:space="preserve"> </w:t>
      </w:r>
      <w:r>
        <w:t xml:space="preserve">ledger.</w:t>
      </w:r>
    </w:p>
    <w:p>
      <w:pPr>
        <w:numPr>
          <w:ilvl w:val="0"/>
          <w:numId w:val="1002"/>
        </w:numPr>
      </w:pPr>
      <w:r>
        <w:rPr>
          <w:b/>
          <w:bCs/>
        </w:rPr>
        <w:t xml:space="preserve">Least authority:</w:t>
      </w:r>
      <w:r>
        <w:t xml:space="preserve"> </w:t>
      </w:r>
      <w:r>
        <w:t xml:space="preserve">absence of a matching policy blocks an</w:t>
      </w:r>
      <w:r>
        <w:t xml:space="preserve"> </w:t>
      </w:r>
      <w:r>
        <w:t xml:space="preserve">action.</w:t>
      </w:r>
    </w:p>
    <w:p>
      <w:pPr>
        <w:numPr>
          <w:ilvl w:val="0"/>
          <w:numId w:val="1002"/>
        </w:numPr>
      </w:pPr>
      <w:r>
        <w:rPr>
          <w:b/>
          <w:bCs/>
        </w:rPr>
        <w:t xml:space="preserve">Traceability:</w:t>
      </w:r>
      <w:r>
        <w:t xml:space="preserve"> </w:t>
      </w:r>
      <w:r>
        <w:t xml:space="preserve">claims, decisions, and outcomes remain</w:t>
      </w:r>
      <w:r>
        <w:t xml:space="preserve"> </w:t>
      </w:r>
      <w:r>
        <w:t xml:space="preserve">reconstructable.</w:t>
      </w:r>
    </w:p>
    <w:p>
      <w:pPr>
        <w:numPr>
          <w:ilvl w:val="0"/>
          <w:numId w:val="1002"/>
        </w:numPr>
      </w:pPr>
      <w:r>
        <w:rPr>
          <w:b/>
          <w:bCs/>
        </w:rPr>
        <w:t xml:space="preserve">Safe evaluation:</w:t>
      </w:r>
      <w:r>
        <w:t xml:space="preserve"> </w:t>
      </w:r>
      <w:r>
        <w:t xml:space="preserve">replay and shadow runs never execute an</w:t>
      </w:r>
      <w:r>
        <w:t xml:space="preserve"> </w:t>
      </w:r>
      <w:r>
        <w:t xml:space="preserve">external action.</w:t>
      </w:r>
    </w:p>
    <w:p>
      <w:pPr>
        <w:numPr>
          <w:ilvl w:val="0"/>
          <w:numId w:val="1002"/>
        </w:numPr>
      </w:pPr>
      <w:r>
        <w:rPr>
          <w:b/>
          <w:bCs/>
        </w:rPr>
        <w:t xml:space="preserve">Scope tagging:</w:t>
      </w:r>
      <w:r>
        <w:t xml:space="preserve"> </w:t>
      </w:r>
      <w:r>
        <w:t xml:space="preserve">tenant and project identifiers propagate</w:t>
      </w:r>
      <w:r>
        <w:t xml:space="preserve"> </w:t>
      </w:r>
      <w:r>
        <w:t xml:space="preserve">through stored records and can be used to filter queries.</w:t>
      </w:r>
    </w:p>
    <w:p>
      <w:pPr>
        <w:numPr>
          <w:ilvl w:val="0"/>
          <w:numId w:val="1002"/>
        </w:numPr>
      </w:pPr>
      <w:r>
        <w:rPr>
          <w:b/>
          <w:bCs/>
        </w:rPr>
        <w:t xml:space="preserve">Model neutrality:</w:t>
      </w:r>
      <w:r>
        <w:t xml:space="preserve"> </w:t>
      </w:r>
      <w:r>
        <w:t xml:space="preserve">deterministic programs, statistical models,</w:t>
      </w:r>
      <w:r>
        <w:t xml:space="preserve"> </w:t>
      </w:r>
      <w:r>
        <w:t xml:space="preserve">and language-model agents can use the same protocol.</w:t>
      </w:r>
    </w:p>
    <w:bookmarkEnd w:id="15"/>
    <w:bookmarkStart w:id="30" w:name="sec:architecture"/>
    <w:p>
      <w:pPr>
        <w:pStyle w:val="Heading1"/>
      </w:pPr>
      <w:r>
        <w:t xml:space="preserve">PhiGraph Architecture</w:t>
      </w:r>
    </w:p>
    <w:bookmarkStart w:id="16" w:name="fig:architecture"/>
    <w:tbl>
      <w:tblPr>
        <w:tblStyle w:val="FigureTable"/>
        <w:tblW w:type="auto" w:w="0"/>
        <w:jc w:val="center"/>
        <w:tblLook w:firstRow="0" w:lastRow="0" w:firstColumn="0" w:lastColumn="0"/>
      </w:tblPr>
      <w:tblGrid/>
    </w:tbl>
    <w:p>
      <w:pPr>
        <w:pStyle w:val="ImageCaption"/>
      </w:pPr>
      <w:r>
        <w:t xml:space="preserve">PhiGraph separates agent proposals from verification, policy</w:t>
      </w:r>
      <w:r>
        <w:t xml:space="preserve"> </w:t>
      </w:r>
      <w:r>
        <w:t xml:space="preserve">evaluation, and execution. Arrows indicate recorded processing relationships,</w:t>
      </w:r>
      <w:r>
        <w:t xml:space="preserve"> </w:t>
      </w:r>
      <w:r>
        <w:t xml:space="preserve">not automatic trust propagation.</w:t>
      </w:r>
    </w:p>
    <w:bookmarkEnd w:id="16"/>
    <w:bookmarkStart w:id="18" w:name="canonical-protocol"/>
    <w:p>
      <w:pPr>
        <w:pStyle w:val="Heading2"/>
      </w:pPr>
      <w:r>
        <w:t xml:space="preserve">Canonical protocol</w:t>
      </w:r>
    </w:p>
    <w:p>
      <w:pPr>
        <w:pStyle w:val="FirstParagraph"/>
      </w:pPr>
      <w:r>
        <w:t xml:space="preserve">Protocol version 2.0.0 exposes six principal frozen dataclass record schemas:</w:t>
      </w:r>
    </w:p>
    <w:p>
      <w:pPr>
        <w:numPr>
          <w:ilvl w:val="0"/>
          <w:numId w:val="1003"/>
        </w:numPr>
      </w:pPr>
      <w:r>
        <w:rPr>
          <w:rStyle w:val="VerbatimChar"/>
        </w:rPr>
        <w:t xml:space="preserve">Claim</w:t>
      </w:r>
      <w:r>
        <w:t xml:space="preserve">: statement, type, subject, issuer, status, confidence,</w:t>
      </w:r>
      <w:r>
        <w:t xml:space="preserve"> </w:t>
      </w:r>
      <w:r>
        <w:t xml:space="preserve">evidence references, and optional supersession;</w:t>
      </w:r>
    </w:p>
    <w:p>
      <w:pPr>
        <w:numPr>
          <w:ilvl w:val="0"/>
          <w:numId w:val="1003"/>
        </w:numPr>
      </w:pPr>
      <w:r>
        <w:rPr>
          <w:rStyle w:val="VerbatimChar"/>
        </w:rPr>
        <w:t xml:space="preserve">Evidence</w:t>
      </w:r>
      <w:r>
        <w:t xml:space="preserve">: kind, source, payload, status, content hash,</w:t>
      </w:r>
      <w:r>
        <w:t xml:space="preserve"> </w:t>
      </w:r>
      <w:r>
        <w:t xml:space="preserve">observation time, and metadata;</w:t>
      </w:r>
    </w:p>
    <w:p>
      <w:pPr>
        <w:numPr>
          <w:ilvl w:val="0"/>
          <w:numId w:val="1003"/>
        </w:numPr>
      </w:pPr>
      <w:r>
        <w:rPr>
          <w:rStyle w:val="VerbatimChar"/>
        </w:rPr>
        <w:t xml:space="preserve">Verification</w:t>
      </w:r>
      <w:r>
        <w:t xml:space="preserve">: claim, verifier, method, result, evidence</w:t>
      </w:r>
      <w:r>
        <w:t xml:space="preserve"> </w:t>
      </w:r>
      <w:r>
        <w:t xml:space="preserve">references, rationale, and time;</w:t>
      </w:r>
    </w:p>
    <w:p>
      <w:pPr>
        <w:numPr>
          <w:ilvl w:val="0"/>
          <w:numId w:val="1003"/>
        </w:numPr>
      </w:pPr>
      <w:r>
        <w:rPr>
          <w:rStyle w:val="VerbatimChar"/>
        </w:rPr>
        <w:t xml:space="preserve">ActionProposal</w:t>
      </w:r>
      <w:r>
        <w:t xml:space="preserve">: action type, target, proposer, parameters,</w:t>
      </w:r>
      <w:r>
        <w:t xml:space="preserve"> </w:t>
      </w:r>
      <w:r>
        <w:t xml:space="preserve">rationale claims, reversibility, and risk level;</w:t>
      </w:r>
    </w:p>
    <w:p>
      <w:pPr>
        <w:numPr>
          <w:ilvl w:val="0"/>
          <w:numId w:val="1003"/>
        </w:numPr>
      </w:pPr>
      <w:r>
        <w:rPr>
          <w:rStyle w:val="VerbatimChar"/>
        </w:rPr>
        <w:t xml:space="preserve">PolicyDecision</w:t>
      </w:r>
      <w:r>
        <w:t xml:space="preserve">: effect, applicable policies, reasons,</w:t>
      </w:r>
      <w:r>
        <w:t xml:space="preserve"> </w:t>
      </w:r>
      <w:r>
        <w:t xml:space="preserve">required approvals, and time; and</w:t>
      </w:r>
    </w:p>
    <w:p>
      <w:pPr>
        <w:numPr>
          <w:ilvl w:val="0"/>
          <w:numId w:val="1003"/>
        </w:numPr>
      </w:pPr>
      <w:r>
        <w:rPr>
          <w:rStyle w:val="VerbatimChar"/>
        </w:rPr>
        <w:t xml:space="preserve">Outcome</w:t>
      </w:r>
      <w:r>
        <w:t xml:space="preserve">: action, status, whether execution occurred, observed</w:t>
      </w:r>
      <w:r>
        <w:t xml:space="preserve"> </w:t>
      </w:r>
      <w:r>
        <w:t xml:space="preserve">effects, evidence references, and time.</w:t>
      </w:r>
    </w:p>
    <w:p>
      <w:pPr>
        <w:pStyle w:val="FirstParagraph"/>
      </w:pPr>
      <w:r>
        <w:t xml:space="preserve">Claim states distinguish proposed, unverified, partially verified, verified,</w:t>
      </w:r>
      <w:r>
        <w:t xml:space="preserve"> </w:t>
      </w:r>
      <w:r>
        <w:t xml:space="preserve">refuted, and superseded records. Policy effects distinguish allow, warn,</w:t>
      </w:r>
      <w:r>
        <w:t xml:space="preserve"> </w:t>
      </w:r>
      <w:r>
        <w:t xml:space="preserve">require approval, and block. These states make uncertainty and governance</w:t>
      </w:r>
      <w:r>
        <w:t xml:space="preserve"> </w:t>
      </w:r>
      <w:r>
        <w:t xml:space="preserve">decisions explicit instead of collapsing them into a single confidence score.</w:t>
      </w:r>
      <w:r>
        <w:t xml:space="preserve"> </w:t>
      </w:r>
      <w:r>
        <w:t xml:space="preserve">The current implementation does not require a non-empty evidence set for every</w:t>
      </w:r>
      <w:r>
        <w:t xml:space="preserve"> </w:t>
      </w:r>
      <w:r>
        <w:t xml:space="preserve">verified claim and does not assess evidentiary sufficiency. This is an</w:t>
      </w:r>
      <w:r>
        <w:t xml:space="preserve"> </w:t>
      </w:r>
      <w:r>
        <w:t xml:space="preserve">enforcement gap, not a guarantee supplied by the protocol. Figure</w:t>
      </w:r>
      <w:r>
        <w:t xml:space="preserve"> </w:t>
      </w:r>
      <w:hyperlink w:anchor="fig:protocol-lifecycle">
        <w:r>
          <w:rPr>
            <w:rStyle w:val="Hyperlink"/>
          </w:rPr>
          <w:t xml:space="preserve">2</w:t>
        </w:r>
      </w:hyperlink>
      <w:r>
        <w:t xml:space="preserve"> </w:t>
      </w:r>
      <w:r>
        <w:t xml:space="preserve">shows how the six record types reference one</w:t>
      </w:r>
      <w:r>
        <w:t xml:space="preserve"> </w:t>
      </w:r>
      <w:r>
        <w:t xml:space="preserve">another across a full claim-to-outcome cycle.</w:t>
      </w:r>
    </w:p>
    <w:bookmarkStart w:id="17" w:name="fig:protocol-lifecycle"/>
    <w:tbl>
      <w:tblPr>
        <w:tblStyle w:val="FigureTable"/>
        <w:tblW w:type="auto" w:w="0"/>
        <w:jc w:val="center"/>
        <w:tblLook w:firstRow="0" w:lastRow="0" w:firstColumn="0" w:lastColumn="0"/>
      </w:tblPr>
      <w:tblGrid/>
    </w:tbl>
    <w:p>
      <w:pPr>
        <w:pStyle w:val="ImageCaption"/>
      </w:pPr>
      <w:r>
        <w:t xml:space="preserve">The protocol’s recorded lifecycle. Solid arrows show synchronous</w:t>
      </w:r>
      <w:r>
        <w:t xml:space="preserve"> </w:t>
      </w:r>
      <w:r>
        <w:t xml:space="preserve">references (a verification cites claims and evidence; an action proposal</w:t>
      </w:r>
      <w:r>
        <w:t xml:space="preserve"> </w:t>
      </w:r>
      <w:r>
        <w:t xml:space="preserve">cites rationale claims; a policy decision governs a proposal; an outcome</w:t>
      </w:r>
      <w:r>
        <w:t xml:space="preserve"> </w:t>
      </w:r>
      <w:r>
        <w:t xml:space="preserve">follows a decision). Dashed arrows show asynchronous feedback: a verification</w:t>
      </w:r>
      <w:r>
        <w:t xml:space="preserve"> </w:t>
      </w:r>
      <w:r>
        <w:t xml:space="preserve">updates claim status, and an outcome’s observed effects may be registered as</w:t>
      </w:r>
      <w:r>
        <w:t xml:space="preserve"> </w:t>
      </w:r>
      <w:r>
        <w:t xml:space="preserve">new evidence for future claims. The cycle is auditable, not automatic –</w:t>
      </w:r>
      <w:r>
        <w:t xml:space="preserve"> </w:t>
      </w:r>
      <w:r>
        <w:t xml:space="preserve">each edge corresponds to an explicit recorded reference, not an implicit</w:t>
      </w:r>
      <w:r>
        <w:t xml:space="preserve"> </w:t>
      </w:r>
      <w:r>
        <w:t xml:space="preserve">trust relationship.</w:t>
      </w:r>
    </w:p>
    <w:bookmarkEnd w:id="17"/>
    <w:bookmarkEnd w:id="18"/>
    <w:bookmarkStart w:id="19" w:name="evidence-ledger"/>
    <w:p>
      <w:pPr>
        <w:pStyle w:val="Heading2"/>
      </w:pPr>
      <w:r>
        <w:t xml:space="preserve">Evidence ledger</w:t>
      </w:r>
    </w:p>
    <w:p>
      <w:pPr>
        <w:pStyle w:val="FirstParagraph"/>
      </w:pPr>
      <w:r>
        <w:t xml:space="preserve">The ledger supports JSON, SQLite, and PostgreSQL backends through a common</w:t>
      </w:r>
      <w:r>
        <w:t xml:space="preserve"> </w:t>
      </w:r>
      <w:r>
        <w:t xml:space="preserve">interface. Collections are maintained for claims, evidence, verifications,</w:t>
      </w:r>
      <w:r>
        <w:t xml:space="preserve"> </w:t>
      </w:r>
      <w:r>
        <w:t xml:space="preserve">actions, policy decisions, and outcomes. Most records are appended. Claim</w:t>
      </w:r>
      <w:r>
        <w:t xml:space="preserve"> </w:t>
      </w:r>
      <w:r>
        <w:t xml:space="preserve">verification performs a controlled in-place state transition and then rebuilds</w:t>
      </w:r>
      <w:r>
        <w:t xml:space="preserve"> </w:t>
      </w:r>
      <w:r>
        <w:t xml:space="preserve">the affected collection chains. Each ordinary append computes</w:t>
      </w:r>
    </w:p>
    <w:p>
      <w:pPr>
        <w:pStyle w:val="BodyText"/>
      </w:pPr>
      <m:oMathPara>
        <m:oMathParaPr>
          <m:jc m:val="center"/>
        </m:oMathParaPr>
        <m:oMath>
          <m:sSub>
            <m:e>
              <m:r>
                <m:t>h</m:t>
              </m:r>
            </m:e>
            <m:sub>
              <m:r>
                <m:t>i</m:t>
              </m:r>
            </m:sub>
          </m:sSub>
          <m:r>
            <m:rPr>
              <m:sty m:val="p"/>
            </m:rPr>
            <m:t>=</m:t>
          </m:r>
          <m:r>
            <m:rPr>
              <m:sty m:val="p"/>
            </m:rPr>
            <m:t>SHA256</m:t>
          </m:r>
          <m:r>
            <m:t>​</m:t>
          </m:r>
          <m:d>
            <m:dPr>
              <m:begChr m:val="("/>
              <m:sepChr m:val=""/>
              <m:endChr m:val=")"/>
              <m:grow/>
            </m:dPr>
            <m:e>
              <m:sSub>
                <m:e>
                  <m:r>
                    <m:t>h</m:t>
                  </m:r>
                </m:e>
                <m:sub>
                  <m:r>
                    <m:t>i</m:t>
                  </m:r>
                  <m:r>
                    <m:rPr>
                      <m:sty m:val="p"/>
                    </m:rPr>
                    <m:t>−</m:t>
                  </m:r>
                  <m:r>
                    <m:t>1</m:t>
                  </m:r>
                </m:sub>
              </m:sSub>
              <m:r>
                <m:t> </m:t>
              </m:r>
              <m:r>
                <m:rPr>
                  <m:sty m:val="p"/>
                </m:rPr>
                <m:t>‖</m:t>
              </m:r>
              <m:r>
                <m:t> </m:t>
              </m:r>
              <m:r>
                <m:t>k</m:t>
              </m:r>
              <m:r>
                <m:t> </m:t>
              </m:r>
              <m:r>
                <m:rPr>
                  <m:sty m:val="p"/>
                </m:rPr>
                <m:t>‖</m:t>
              </m:r>
              <m:r>
                <m:t> </m:t>
              </m:r>
              <m:r>
                <m:rPr>
                  <m:sty m:val="p"/>
                </m:rPr>
                <m:t>canonical</m:t>
              </m:r>
              <m:r>
                <m:rPr>
                  <m:sty m:val="p"/>
                </m:rPr>
                <m:t>(</m:t>
              </m:r>
              <m:sSub>
                <m:e>
                  <m:r>
                    <m:t>r</m:t>
                  </m:r>
                </m:e>
                <m:sub>
                  <m:r>
                    <m:t>i</m:t>
                  </m:r>
                </m:sub>
              </m:sSub>
              <m:r>
                <m:rPr>
                  <m:sty m:val="p"/>
                </m:rPr>
                <m:t>)</m:t>
              </m:r>
            </m:e>
          </m:d>
          <m:r>
            <m:rPr>
              <m:sty m:val="p"/>
            </m:rPr>
            <m:t>,</m:t>
          </m:r>
        </m:oMath>
      </m:oMathPara>
    </w:p>
    <w:p>
      <w:pPr>
        <w:pStyle w:val="FirstParagraph"/>
      </w:pPr>
      <w:r>
        <w:t xml:space="preserve">where</w:t>
      </w:r>
      <w:r>
        <w:t xml:space="preserve"> </w:t>
      </w:r>
      <m:oMath>
        <m:sSub>
          <m:e>
            <m:r>
              <m:t>r</m:t>
            </m:r>
          </m:e>
          <m:sub>
            <m:r>
              <m:t>i</m:t>
            </m:r>
          </m:sub>
        </m:sSub>
      </m:oMath>
      <w:r>
        <w:t xml:space="preserve"> </w:t>
      </w:r>
      <w:r>
        <w:t xml:space="preserve">is a record and</w:t>
      </w:r>
      <w:r>
        <w:t xml:space="preserve"> </w:t>
      </w:r>
      <m:oMath>
        <m:r>
          <m:t>k</m:t>
        </m:r>
      </m:oMath>
      <w:r>
        <w:t xml:space="preserve"> </w:t>
      </w:r>
      <w:r>
        <w:t xml:space="preserve">identifies its collection. Verification checks</w:t>
      </w:r>
      <w:r>
        <w:t xml:space="preserve"> </w:t>
      </w:r>
      <w:r>
        <w:t xml:space="preserve">link continuity and recomputes each hash. Evidence payloads receive a SHA-256</w:t>
      </w:r>
      <w:r>
        <w:t xml:space="preserve"> </w:t>
      </w:r>
      <w:r>
        <w:t xml:space="preserve">content hash and may be signed with HMAC-SHA256 when a signing key is supplied.</w:t>
      </w:r>
    </w:p>
    <w:p>
      <w:pPr>
        <w:pStyle w:val="BodyText"/>
      </w:pPr>
      <w:r>
        <w:t xml:space="preserve">Chain verification detects changes relative to the currently stored chain.</w:t>
      </w:r>
      <w:r>
        <w:t xml:space="preserve"> </w:t>
      </w:r>
      <w:r>
        <w:t xml:space="preserve">This mechanism is</w:t>
      </w:r>
      <w:r>
        <w:t xml:space="preserve"> </w:t>
      </w:r>
      <w:r>
        <w:rPr>
          <w:i/>
          <w:iCs/>
        </w:rPr>
        <w:t xml:space="preserve">tamper evident</w:t>
      </w:r>
      <w:r>
        <w:t xml:space="preserve">, not tamper proof: without an external</w:t>
      </w:r>
      <w:r>
        <w:t xml:space="preserve"> </w:t>
      </w:r>
      <w:r>
        <w:t xml:space="preserve">anchor or protected signing key, it cannot distinguish malicious tampering</w:t>
      </w:r>
      <w:r>
        <w:t xml:space="preserve"> </w:t>
      </w:r>
      <w:r>
        <w:t xml:space="preserve">from an authorized rebuild. An attacker with write access to both the records</w:t>
      </w:r>
      <w:r>
        <w:t xml:space="preserve"> </w:t>
      </w:r>
      <w:r>
        <w:t xml:space="preserve">and all integrity keys can rebuild a consistent chain. Stronger deployment</w:t>
      </w:r>
      <w:r>
        <w:t xml:space="preserve"> </w:t>
      </w:r>
      <w:r>
        <w:t xml:space="preserve">requires external key management, append-only storage, access control, backups,</w:t>
      </w:r>
      <w:r>
        <w:t xml:space="preserve"> </w:t>
      </w:r>
      <w:r>
        <w:t xml:space="preserve">and independent audit anchors.</w:t>
      </w:r>
    </w:p>
    <w:bookmarkEnd w:id="19"/>
    <w:bookmarkStart w:id="20" w:name="policy-gated-runtime"/>
    <w:p>
      <w:pPr>
        <w:pStyle w:val="Heading2"/>
      </w:pPr>
      <w:r>
        <w:t xml:space="preserve">Policy-gated runtime</w:t>
      </w:r>
    </w:p>
    <w:p>
      <w:pPr>
        <w:pStyle w:val="FirstParagraph"/>
      </w:pPr>
      <w:r>
        <w:t xml:space="preserve">The policy engine matches action type, permitted runtime modes, maximum risk,</w:t>
      </w:r>
      <w:r>
        <w:t xml:space="preserve"> </w:t>
      </w:r>
      <w:r>
        <w:t xml:space="preserve">reversibility, and required approvals. No matching rule produces an implicit</w:t>
      </w:r>
      <w:r>
        <w:t xml:space="preserve"> </w:t>
      </w:r>
      <w:r>
        <w:t xml:space="preserve">deny decision. For an action</w:t>
      </w:r>
      <w:r>
        <w:t xml:space="preserve"> </w:t>
      </w:r>
      <m:oMath>
        <m:r>
          <m:t>a</m:t>
        </m:r>
      </m:oMath>
      <w:r>
        <w:t xml:space="preserve">, decision</w:t>
      </w:r>
      <w:r>
        <w:t xml:space="preserve"> </w:t>
      </w:r>
      <m:oMath>
        <m:r>
          <m:t>d</m:t>
        </m:r>
      </m:oMath>
      <w:r>
        <w:t xml:space="preserve">, mode</w:t>
      </w:r>
      <w:r>
        <w:t xml:space="preserve"> </w:t>
      </w:r>
      <m:oMath>
        <m:r>
          <m:t>m</m:t>
        </m:r>
      </m:oMath>
      <w:r>
        <w:t xml:space="preserve">, and executor</w:t>
      </w:r>
      <w:r>
        <w:t xml:space="preserve"> </w:t>
      </w:r>
      <m:oMath>
        <m:r>
          <m:t>x</m:t>
        </m:r>
      </m:oMath>
      <w:r>
        <w:t xml:space="preserve">, the</w:t>
      </w:r>
      <w:r>
        <w:t xml:space="preserve"> </w:t>
      </w:r>
      <w:r>
        <w:t xml:space="preserve">core execution condition is</w:t>
      </w:r>
    </w:p>
    <w:p>
      <w:pPr>
        <w:pStyle w:val="BodyText"/>
      </w:pPr>
      <m:oMathPara>
        <m:oMathParaPr>
          <m:jc m:val="center"/>
        </m:oMathParaPr>
        <m:oMath>
          <m:r>
            <m:rPr>
              <m:sty m:val="p"/>
            </m:rPr>
            <m:t>execute</m:t>
          </m:r>
          <m:r>
            <m:rPr>
              <m:sty m:val="p"/>
            </m:rPr>
            <m:t>(</m:t>
          </m:r>
          <m:r>
            <m:t>a</m:t>
          </m:r>
          <m:r>
            <m:rPr>
              <m:sty m:val="p"/>
            </m:rPr>
            <m:t>)</m:t>
          </m:r>
          <m:r>
            <m:rPr>
              <m:sty m:val="p"/>
            </m:rPr>
            <m:t>⇔</m:t>
          </m:r>
          <m:d>
            <m:dPr>
              <m:begChr m:val="("/>
              <m:sepChr m:val=""/>
              <m:endChr m:val=")"/>
              <m:grow/>
            </m:dPr>
            <m:e>
              <m:r>
                <m:t>d</m:t>
              </m:r>
              <m:r>
                <m:rPr>
                  <m:sty m:val="p"/>
                </m:rPr>
                <m:t>.</m:t>
              </m:r>
              <m:r>
                <m:rPr>
                  <m:sty m:val="p"/>
                </m:rPr>
                <m:t>e</m:t>
              </m:r>
              <m:r>
                <m:rPr>
                  <m:sty m:val="p"/>
                </m:rPr>
                <m:t>f</m:t>
              </m:r>
              <m:r>
                <m:rPr>
                  <m:sty m:val="p"/>
                </m:rPr>
                <m:t>f</m:t>
              </m:r>
              <m:r>
                <m:rPr>
                  <m:sty m:val="p"/>
                </m:rPr>
                <m:t>e</m:t>
              </m:r>
              <m:r>
                <m:rPr>
                  <m:sty m:val="p"/>
                </m:rPr>
                <m:t>c</m:t>
              </m:r>
              <m:r>
                <m:rPr>
                  <m:sty m:val="p"/>
                </m:rPr>
                <m:t>t</m:t>
              </m:r>
              <m:r>
                <m:rPr>
                  <m:sty m:val="p"/>
                </m:rPr>
                <m:t>=</m:t>
              </m:r>
              <m:r>
                <m:rPr>
                  <m:sty m:val="p"/>
                </m:rPr>
                <m:t>a</m:t>
              </m:r>
              <m:r>
                <m:rPr>
                  <m:sty m:val="p"/>
                </m:rPr>
                <m:t>l</m:t>
              </m:r>
              <m:r>
                <m:rPr>
                  <m:sty m:val="p"/>
                </m:rPr>
                <m:t>l</m:t>
              </m:r>
              <m:r>
                <m:rPr>
                  <m:sty m:val="p"/>
                </m:rPr>
                <m:t>o</m:t>
              </m:r>
              <m:r>
                <m:rPr>
                  <m:sty m:val="p"/>
                </m:rPr>
                <m:t>w</m:t>
              </m:r>
            </m:e>
          </m:d>
          <m:r>
            <m:rPr>
              <m:sty m:val="p"/>
            </m:rPr>
            <m:t>∧</m:t>
          </m:r>
          <m:d>
            <m:dPr>
              <m:begChr m:val="("/>
              <m:sepChr m:val=""/>
              <m:endChr m:val=")"/>
              <m:grow/>
            </m:dPr>
            <m:e>
              <m:r>
                <m:t>m</m:t>
              </m:r>
              <m:r>
                <m:rPr>
                  <m:sty m:val="p"/>
                </m:rPr>
                <m:t>∈</m:t>
              </m:r>
              <m:r>
                <m:rPr>
                  <m:sty m:val="p"/>
                </m:rPr>
                <m:t>{</m:t>
              </m:r>
              <m:r>
                <m:rPr>
                  <m:sty m:val="p"/>
                </m:rPr>
                <m:t>c</m:t>
              </m:r>
              <m:r>
                <m:rPr>
                  <m:sty m:val="p"/>
                </m:rPr>
                <m:t>o</m:t>
              </m:r>
              <m:r>
                <m:rPr>
                  <m:sty m:val="p"/>
                </m:rPr>
                <m:t>p</m:t>
              </m:r>
              <m:r>
                <m:rPr>
                  <m:sty m:val="p"/>
                </m:rPr>
                <m:t>i</m:t>
              </m:r>
              <m:r>
                <m:rPr>
                  <m:sty m:val="p"/>
                </m:rPr>
                <m:t>l</m:t>
              </m:r>
              <m:r>
                <m:rPr>
                  <m:sty m:val="p"/>
                </m:rPr>
                <m:t>o</m:t>
              </m:r>
              <m:r>
                <m:rPr>
                  <m:sty m:val="p"/>
                </m:rPr>
                <m:t>t</m:t>
              </m:r>
              <m:r>
                <m:rPr>
                  <m:sty m:val="p"/>
                </m:rPr>
                <m:t>,</m:t>
              </m:r>
              <m:r>
                <m:rPr>
                  <m:sty m:val="p"/>
                </m:rPr>
                <m:t>g</m:t>
              </m:r>
              <m:r>
                <m:rPr>
                  <m:sty m:val="p"/>
                </m:rPr>
                <m:t>u</m:t>
              </m:r>
              <m:r>
                <m:rPr>
                  <m:sty m:val="p"/>
                </m:rPr>
                <m:t>a</m:t>
              </m:r>
              <m:r>
                <m:rPr>
                  <m:sty m:val="p"/>
                </m:rPr>
                <m:t>r</m:t>
              </m:r>
              <m:r>
                <m:rPr>
                  <m:sty m:val="p"/>
                </m:rPr>
                <m:t>d</m:t>
              </m:r>
              <m:r>
                <m:rPr>
                  <m:sty m:val="p"/>
                </m:rPr>
                <m:t>e</m:t>
              </m:r>
              <m:r>
                <m:rPr>
                  <m:sty m:val="p"/>
                </m:rPr>
                <m:t>d</m:t>
              </m:r>
              <m:r>
                <m:rPr>
                  <m:sty m:val="p"/>
                </m:rPr>
                <m:t>_</m:t>
              </m:r>
              <m:r>
                <m:rPr>
                  <m:sty m:val="p"/>
                </m:rPr>
                <m:t>a</m:t>
              </m:r>
              <m:r>
                <m:rPr>
                  <m:sty m:val="p"/>
                </m:rPr>
                <m:t>u</m:t>
              </m:r>
              <m:r>
                <m:rPr>
                  <m:sty m:val="p"/>
                </m:rPr>
                <m:t>t</m:t>
              </m:r>
              <m:r>
                <m:rPr>
                  <m:sty m:val="p"/>
                </m:rPr>
                <m:t>o</m:t>
              </m:r>
              <m:r>
                <m:rPr>
                  <m:sty m:val="p"/>
                </m:rPr>
                <m:t>}</m:t>
              </m:r>
            </m:e>
          </m:d>
          <m:r>
            <m:rPr>
              <m:sty m:val="p"/>
            </m:rPr>
            <m:t>∧</m:t>
          </m:r>
          <m:r>
            <m:rPr>
              <m:sty m:val="p"/>
            </m:rPr>
            <m:t>(</m:t>
          </m:r>
          <m:r>
            <m:t>x</m:t>
          </m:r>
          <m:r>
            <m:rPr>
              <m:sty m:val="p"/>
            </m:rPr>
            <m:t>≠</m:t>
          </m:r>
          <m:r>
            <m:rPr>
              <m:sty m:val="p"/>
            </m:rPr>
            <m:t>⌀</m:t>
          </m:r>
          <m:r>
            <m:rPr>
              <m:sty m:val="p"/>
            </m:rPr>
            <m:t>)</m:t>
          </m:r>
          <m:r>
            <m:rPr>
              <m:sty m:val="p"/>
            </m:rPr>
            <m:t>.</m:t>
          </m:r>
        </m:oMath>
      </m:oMathPara>
    </w:p>
    <w:p>
      <w:pPr>
        <w:pStyle w:val="FirstParagraph"/>
      </w:pPr>
      <w:r>
        <w:t xml:space="preserve">Replay and shadow modes therefore generate simulated outcomes with</w:t>
      </w:r>
      <w:r>
        <w:t xml:space="preserve"> </w:t>
      </w:r>
      <w:r>
        <w:rPr>
          <w:rStyle w:val="VerbatimChar"/>
        </w:rPr>
        <w:t xml:space="preserve">executed=false</w:t>
      </w:r>
      <w:r>
        <w:t xml:space="preserve">. The packaged deployment configuration is stricter:</w:t>
      </w:r>
      <w:r>
        <w:t xml:space="preserve"> </w:t>
      </w:r>
      <w:r>
        <w:t xml:space="preserve">it defaults to shadow-only operation, rejects attempts to disable that</w:t>
      </w:r>
      <w:r>
        <w:t xml:space="preserve"> </w:t>
      </w:r>
      <w:r>
        <w:t xml:space="preserve">boundary, and disables real connectors. The core abstractions expose</w:t>
      </w:r>
      <w:r>
        <w:t xml:space="preserve"> </w:t>
      </w:r>
      <w:r>
        <w:t xml:space="preserve">higher-authority modes for controlled future integration, but the supplied</w:t>
      </w:r>
      <w:r>
        <w:t xml:space="preserve"> </w:t>
      </w:r>
      <w:r>
        <w:t xml:space="preserve">deployment does not grant arbitrary external execution.</w:t>
      </w:r>
    </w:p>
    <w:bookmarkEnd w:id="20"/>
    <w:bookmarkStart w:id="21" w:name="api-sdk-and-operations"/>
    <w:p>
      <w:pPr>
        <w:pStyle w:val="Heading2"/>
      </w:pPr>
      <w:r>
        <w:t xml:space="preserve">API, SDK, and operations</w:t>
      </w:r>
    </w:p>
    <w:p>
      <w:pPr>
        <w:pStyle w:val="FirstParagraph"/>
      </w:pPr>
      <w:r>
        <w:t xml:space="preserve">The Python SDK can send tenant and project headers, API-key or bearer</w:t>
      </w:r>
      <w:r>
        <w:t xml:space="preserve"> </w:t>
      </w:r>
      <w:r>
        <w:t xml:space="preserve">credentials, and idempotency keys. Authentication, PostgreSQL persistence, and</w:t>
      </w:r>
      <w:r>
        <w:t xml:space="preserve"> </w:t>
      </w:r>
      <w:r>
        <w:t xml:space="preserve">signing are supported by lower-level Core components when explicitly</w:t>
      </w:r>
      <w:r>
        <w:t xml:space="preserve"> </w:t>
      </w:r>
      <w:r>
        <w:t xml:space="preserve">configured. The packaged application does not currently wire every one of</w:t>
      </w:r>
      <w:r>
        <w:t xml:space="preserve"> </w:t>
      </w:r>
      <w:r>
        <w:t xml:space="preserve">these options into the Core v3 router. Its Docker configuration must therefore</w:t>
      </w:r>
      <w:r>
        <w:t xml:space="preserve"> </w:t>
      </w:r>
      <w:r>
        <w:t xml:space="preserve">be treated as a local evaluation setup unless protected by an external</w:t>
      </w:r>
      <w:r>
        <w:t xml:space="preserve"> </w:t>
      </w:r>
      <w:r>
        <w:t xml:space="preserve">authentication and network boundary. Scope headers are application metadata</w:t>
      </w:r>
      <w:r>
        <w:t xml:space="preserve"> </w:t>
      </w:r>
      <w:r>
        <w:t xml:space="preserve">and query filters; the present implementation does not provide end-to-end</w:t>
      </w:r>
      <w:r>
        <w:t xml:space="preserve"> </w:t>
      </w:r>
      <w:r>
        <w:t xml:space="preserve">tenant isolation or same-scope referential-integrity guarantees.</w:t>
      </w:r>
    </w:p>
    <w:bookmarkEnd w:id="21"/>
    <w:bookmarkStart w:id="29" w:name="sec:hav"/>
    <w:p>
      <w:pPr>
        <w:pStyle w:val="Heading2"/>
      </w:pPr>
      <w:r>
        <w:t xml:space="preserve">Human-Assisted Verification (HAV v0.2)</w:t>
      </w:r>
    </w:p>
    <w:p>
      <w:pPr>
        <w:pStyle w:val="FirstParagraph"/>
      </w:pPr>
      <w:r>
        <w:t xml:space="preserve">HAV v0.2 is an additive module (</w:t>
      </w:r>
      <w:r>
        <w:rPr>
          <w:rStyle w:val="VerbatimChar"/>
        </w:rPr>
        <w:t xml:space="preserve">phigraph.hav</w:t>
      </w:r>
      <w:r>
        <w:t xml:space="preserve">) that checks candidate</w:t>
      </w:r>
      <w:r>
        <w:t xml:space="preserve"> </w:t>
      </w:r>
      <w:r>
        <w:t xml:space="preserve">textual output from an AI agent, such as a status summary or a release note,</w:t>
      </w:r>
      <w:r>
        <w:t xml:space="preserve"> </w:t>
      </w:r>
      <w:r>
        <w:t xml:space="preserve">against an authoritative state supplied explicitly by the caller, and records</w:t>
      </w:r>
      <w:r>
        <w:t xml:space="preserve"> </w:t>
      </w:r>
      <w:r>
        <w:t xml:space="preserve">the outcome through the existing Core protocol and ledger described in</w:t>
      </w:r>
      <w:r>
        <w:t xml:space="preserve"> </w:t>
      </w:r>
      <w:r>
        <w:t xml:space="preserve">Section </w:t>
      </w:r>
      <w:hyperlink w:anchor="sec:architecture">
        <w:r>
          <w:rPr>
            <w:rStyle w:val="Hyperlink"/>
          </w:rPr>
          <w:t xml:space="preserve">4</w:t>
        </w:r>
      </w:hyperlink>
      <w:r>
        <w:t xml:space="preserve">. HAV does not modify the ledger, policy engine,</w:t>
      </w:r>
      <w:r>
        <w:t xml:space="preserve"> </w:t>
      </w:r>
      <w:r>
        <w:t xml:space="preserve">or runtime described above; it is a client of that protocol.</w:t>
      </w:r>
    </w:p>
    <w:bookmarkStart w:id="23" w:name="pipeline."/>
    <w:p>
      <w:pPr>
        <w:pStyle w:val="Heading4"/>
      </w:pPr>
      <w:r>
        <w:t xml:space="preserve">Pipeline.</w:t>
      </w:r>
    </w:p>
    <w:p>
      <w:pPr>
        <w:pStyle w:val="FirstParagraph"/>
      </w:pPr>
      <w:r>
        <w:t xml:space="preserve">A verification request carries a candidate output string</w:t>
      </w:r>
      <w:r>
        <w:t xml:space="preserve"> </w:t>
      </w:r>
      <w:r>
        <w:t xml:space="preserve">and an</w:t>
      </w:r>
      <w:r>
        <w:t xml:space="preserve"> </w:t>
      </w:r>
      <w:r>
        <w:rPr>
          <w:rStyle w:val="VerbatimChar"/>
        </w:rPr>
        <w:t xml:space="preserve">AuthoritativeState</w:t>
      </w:r>
      <w:r>
        <w:t xml:space="preserve">: a set of source-attributed evidence facts,</w:t>
      </w:r>
      <w:r>
        <w:t xml:space="preserve"> </w:t>
      </w:r>
      <w:r>
        <w:t xml:space="preserve">or an explicit</w:t>
      </w:r>
      <w:r>
        <w:t xml:space="preserve"> </w:t>
      </w:r>
      <w:r>
        <w:rPr>
          <w:i/>
          <w:iCs/>
        </w:rPr>
        <w:t xml:space="preserve">unavailable</w:t>
      </w:r>
      <w:r>
        <w:t xml:space="preserve"> </w:t>
      </w:r>
      <w:r>
        <w:t xml:space="preserve">marker with a reason. A hybrid extractor</w:t>
      </w:r>
      <w:r>
        <w:t xml:space="preserve"> </w:t>
      </w:r>
      <w:r>
        <w:t xml:space="preserve">combines fixed regular-expression patterns for structured, repository-style</w:t>
      </w:r>
      <w:r>
        <w:t xml:space="preserve"> </w:t>
      </w:r>
      <w:r>
        <w:t xml:space="preserve">predicates (for example, test counts, CI or CodeQL status, and global</w:t>
      </w:r>
      <w:r>
        <w:t xml:space="preserve"> </w:t>
      </w:r>
      <w:r>
        <w:t xml:space="preserve">success or production-readiness phrasing) with a second extractor that</w:t>
      </w:r>
      <w:r>
        <w:t xml:space="preserve"> </w:t>
      </w:r>
      <w:r>
        <w:t xml:space="preserve">flags generic factual-looking substrings (percentages, dates, quantities,</w:t>
      </w:r>
      <w:r>
        <w:t xml:space="preserve"> </w:t>
      </w:r>
      <w:r>
        <w:t xml:space="preserve">and source attributions) without asserting their truth. Every claim produced</w:t>
      </w:r>
      <w:r>
        <w:t xml:space="preserve"> </w:t>
      </w:r>
      <w:r>
        <w:t xml:space="preserve">by the second extractor is marked</w:t>
      </w:r>
      <w:r>
        <w:t xml:space="preserve"> </w:t>
      </w:r>
      <w:r>
        <w:rPr>
          <w:rStyle w:val="VerbatimChar"/>
        </w:rPr>
        <w:t xml:space="preserve">requires_external_grounding=true</w:t>
      </w:r>
      <w:r>
        <w:t xml:space="preserve"> </w:t>
      </w:r>
      <w:r>
        <w:t xml:space="preserve">and is not treated as verified evidence on its own. A verifier then compares</w:t>
      </w:r>
      <w:r>
        <w:t xml:space="preserve"> </w:t>
      </w:r>
      <w:r>
        <w:t xml:space="preserve">each claim against the authoritative state by subject and predicate, and</w:t>
      </w:r>
      <w:r>
        <w:t xml:space="preserve"> </w:t>
      </w:r>
      <w:r>
        <w:t xml:space="preserve">classifies it as supported, contradicted, unsupported, partially supported, or</w:t>
      </w:r>
      <w:r>
        <w:t xml:space="preserve"> </w:t>
      </w:r>
      <w:r>
        <w:t xml:space="preserve">having insufficient evidence. Figure </w:t>
      </w:r>
      <w:hyperlink w:anchor="fig:hav-pipeline">
        <w:r>
          <w:rPr>
            <w:rStyle w:val="Hyperlink"/>
          </w:rPr>
          <w:t xml:space="preserve">3</w:t>
        </w:r>
      </w:hyperlink>
      <w:r>
        <w:t xml:space="preserve"> </w:t>
      </w:r>
      <w:r>
        <w:t xml:space="preserve">traces this</w:t>
      </w:r>
      <w:r>
        <w:t xml:space="preserve"> </w:t>
      </w:r>
      <w:r>
        <w:t xml:space="preserve">pipeline from candidate output to ledger records.</w:t>
      </w:r>
    </w:p>
    <w:bookmarkStart w:id="22" w:name="fig:hav-pipeline"/>
    <w:tbl>
      <w:tblPr>
        <w:tblStyle w:val="FigureTable"/>
        <w:tblW w:type="auto" w:w="0"/>
        <w:jc w:val="center"/>
        <w:tblLook w:firstRow="0" w:lastRow="0" w:firstColumn="0" w:lastColumn="0"/>
      </w:tblPr>
      <w:tblGrid/>
    </w:tbl>
    <w:p>
      <w:pPr>
        <w:pStyle w:val="ImageCaption"/>
      </w:pPr>
      <w:r>
        <w:t xml:space="preserve">HAV v0.2 verification pipeline. The authoritative state is supplied</w:t>
      </w:r>
      <w:r>
        <w:t xml:space="preserve"> </w:t>
      </w:r>
      <w:r>
        <w:t xml:space="preserve">by the caller, not retrieved by HAV, and merges into the verifier stage; an</w:t>
      </w:r>
      <w:r>
        <w:t xml:space="preserve"> </w:t>
      </w:r>
      <w:r>
        <w:t xml:space="preserve">unavailable state is itself a valid input that the fail-closed policy</w:t>
      </w:r>
      <w:r>
        <w:t xml:space="preserve"> </w:t>
      </w:r>
      <w:r>
        <w:t xml:space="preserve">(Figure </w:t>
      </w:r>
      <w:hyperlink w:anchor="fig:hav-flow">
        <w:r>
          <w:rPr>
            <w:rStyle w:val="Hyperlink"/>
          </w:rPr>
          <w:t xml:space="preserve">4</w:t>
        </w:r>
      </w:hyperlink>
      <w:r>
        <w:t xml:space="preserve">) maps to a blocking verdict.</w:t>
      </w:r>
    </w:p>
    <w:bookmarkEnd w:id="22"/>
    <w:bookmarkEnd w:id="23"/>
    <w:bookmarkStart w:id="26" w:name="fail-closed-policy."/>
    <w:p>
      <w:pPr>
        <w:pStyle w:val="Heading4"/>
      </w:pPr>
      <w:r>
        <w:t xml:space="preserve">Fail-closed policy.</w:t>
      </w:r>
    </w:p>
    <w:p>
      <w:pPr>
        <w:pStyle w:val="FirstParagraph"/>
      </w:pPr>
      <w:r>
        <w:t xml:space="preserve">A dedicated policy,</w:t>
      </w:r>
      <w:r>
        <w:t xml:space="preserve"> </w:t>
      </w:r>
      <w:r>
        <w:rPr>
          <w:rStyle w:val="VerbatimChar"/>
        </w:rPr>
        <w:t xml:space="preserve">PHIGRAPH_HAV_FAIL_CLOSED_V1</w:t>
      </w:r>
      <w:r>
        <w:t xml:space="preserve">, converts claim evaluations into one</w:t>
      </w:r>
      <w:r>
        <w:t xml:space="preserve"> </w:t>
      </w:r>
      <w:r>
        <w:t xml:space="preserve">of five verdicts:</w:t>
      </w:r>
    </w:p>
    <w:p>
      <w:pPr>
        <w:pStyle w:val="BodyText"/>
      </w:pPr>
      <w:r>
        <w:t xml:space="preserve">$$V(s, E) =
    \begin{cases}
    \textsc{source\_unavailable} &amp; \text{if the authoritative state } s \text{ is unavailable} \\
    \textsc{reject} &amp; \text{if a critical claim in } E \text{ is contradicted} \\
    \textsc{human\_review} &amp; \text{if a critical claim in } E \text{ lacks sufficient evidence} \\
    \textsc{warn} &amp; \text{if any non-critical claim in } E \text{ is not supported} \\
    \textsc{pass} &amp; \text{otherwise,}
    \end{cases}$$</w:t>
      </w:r>
    </w:p>
    <w:p>
      <w:pPr>
        <w:pStyle w:val="FirstParagraph"/>
      </w:pPr>
      <w:r>
        <w:t xml:space="preserve">evaluated in the listed order, where</w:t>
      </w:r>
      <w:r>
        <w:t xml:space="preserve"> </w:t>
      </w:r>
      <m:oMath>
        <m:r>
          <m:t>E</m:t>
        </m:r>
      </m:oMath>
      <w:r>
        <w:t xml:space="preserve"> </w:t>
      </w:r>
      <w:r>
        <w:t xml:space="preserve">is the set of claim evaluations for a</w:t>
      </w:r>
      <w:r>
        <w:t xml:space="preserve"> </w:t>
      </w:r>
      <w:r>
        <w:t xml:space="preserve">request. Figure </w:t>
      </w:r>
      <w:hyperlink w:anchor="fig:hav-flow">
        <w:r>
          <w:rPr>
            <w:rStyle w:val="Hyperlink"/>
          </w:rPr>
          <w:t xml:space="preserve">4</w:t>
        </w:r>
      </w:hyperlink>
      <w:r>
        <w:t xml:space="preserve"> </w:t>
      </w:r>
      <w:r>
        <w:t xml:space="preserve">renders this evaluation order as a decision</w:t>
      </w:r>
      <w:r>
        <w:t xml:space="preserve"> </w:t>
      </w:r>
      <w:r>
        <w:t xml:space="preserve">flowchart. Verdicts map onto the existing PhiGraph policy-decision effects of</w:t>
      </w:r>
      <w:r>
        <w:t xml:space="preserve"> </w:t>
      </w:r>
      <w:r>
        <w:t xml:space="preserve">Section </w:t>
      </w:r>
      <w:hyperlink w:anchor="sec:architecture">
        <w:r>
          <w:rPr>
            <w:rStyle w:val="Hyperlink"/>
          </w:rPr>
          <w:t xml:space="preserve">4</w:t>
        </w:r>
      </w:hyperlink>
      <w:r>
        <w:t xml:space="preserve"> </w:t>
      </w:r>
      <w:r>
        <w:t xml:space="preserve">as shown in Table </w:t>
      </w:r>
      <w:hyperlink w:anchor="tab:hav-mapping">
        <w:r>
          <w:rPr>
            <w:rStyle w:val="Hyperlink"/>
          </w:rPr>
          <w:t xml:space="preserve">1</w:t>
        </w:r>
      </w:hyperlink>
      <w:r>
        <w:t xml:space="preserve">; in</w:t>
      </w:r>
      <w:r>
        <w:t xml:space="preserve"> </w:t>
      </w:r>
      <w:r>
        <w:t xml:space="preserve">particular, an unavailable authoritative source blocks the action rather than</w:t>
      </w:r>
      <w:r>
        <w:t xml:space="preserve"> </w:t>
      </w:r>
      <w:r>
        <w:t xml:space="preserve">defaulting to a permissive outcome.</w:t>
      </w:r>
    </w:p>
    <w:bookmarkStart w:id="24" w:name="fig:hav-flow"/>
    <w:tbl>
      <w:tblPr>
        <w:tblStyle w:val="FigureTable"/>
        <w:tblW w:type="auto" w:w="0"/>
        <w:jc w:val="center"/>
        <w:tblLook w:firstRow="0" w:lastRow="0" w:firstColumn="0" w:lastColumn="0"/>
      </w:tblPr>
      <w:tblGrid/>
    </w:tbl>
    <w:p>
      <w:pPr>
        <w:pStyle w:val="ImageCaption"/>
      </w:pPr>
      <w:r>
        <w:t xml:space="preserve">Decision flowchart for the fail-closed policy</w:t>
      </w:r>
      <w:r>
        <w:t xml:space="preserve"> </w:t>
      </w:r>
      <m:oMath>
        <m:r>
          <m:t>V</m:t>
        </m:r>
        <m:r>
          <m:rPr>
            <m:sty m:val="p"/>
          </m:rPr>
          <m:t>(</m:t>
        </m:r>
        <m:r>
          <m:t>s</m:t>
        </m:r>
        <m:r>
          <m:rPr>
            <m:sty m:val="p"/>
          </m:rPr>
          <m:t>,</m:t>
        </m:r>
        <m:r>
          <m:t>E</m:t>
        </m:r>
        <m:r>
          <m:rPr>
            <m:sty m:val="p"/>
          </m:rPr>
          <m:t>)</m:t>
        </m:r>
      </m:oMath>
      <w:r>
        <w:t xml:space="preserve">. Branches are</w:t>
      </w:r>
      <w:r>
        <w:t xml:space="preserve"> </w:t>
      </w:r>
      <w:r>
        <w:t xml:space="preserve">evaluated top to bottom; the first matching condition determines the verdict,</w:t>
      </w:r>
      <w:r>
        <w:t xml:space="preserve"> </w:t>
      </w:r>
      <w:r>
        <w:t xml:space="preserve">so an unavailable source always blocks regardless of claim content, and a</w:t>
      </w:r>
      <w:r>
        <w:t xml:space="preserve"> </w:t>
      </w:r>
      <w:r>
        <w:t xml:space="preserve">fully supported claim set only reaches</w:t>
      </w:r>
      <w:r>
        <w:t xml:space="preserve"> </w:t>
      </w:r>
      <w:r>
        <w:rPr>
          <w:smallCaps/>
        </w:rPr>
        <w:t xml:space="preserve">pass</w:t>
      </w:r>
      <w:r>
        <w:t xml:space="preserve"> </w:t>
      </w:r>
      <w:r>
        <w:t xml:space="preserve">after every stricter</w:t>
      </w:r>
      <w:r>
        <w:t xml:space="preserve"> </w:t>
      </w:r>
      <w:r>
        <w:t xml:space="preserve">condition fails.</w:t>
      </w:r>
    </w:p>
    <w:bookmarkEnd w:id="24"/>
    <w:bookmarkStart w:id="25" w:name="tab:hav-mapping"/>
    <w:p>
      <w:pPr>
        <w:pStyle w:val="TableCaption"/>
      </w:pPr>
      <w:r>
        <w:t xml:space="preserve">Mapping from HAV verdicts to PhiGraph Core policy effects.</w:t>
      </w:r>
    </w:p>
    <w:tbl>
      <w:tblPr>
        <w:tblStyle w:val="Table"/>
        <w:tblW w:type="auto" w:w="0"/>
        <w:tblLook w:firstRow="1" w:lastRow="0" w:firstColumn="0" w:lastColumn="0" w:noHBand="0" w:noVBand="0" w:val="0020"/>
        <w:tblCaption w:val="Mapping from HAV verdicts to PhiGraph Core policy effects."/>
      </w:tblPr>
      <w:tblGrid>
        <w:gridCol w:w="3960"/>
        <w:gridCol w:w="3960"/>
      </w:tblGrid>
      <w:tr>
        <w:trPr>
          <w:tblHeader w:val="on"/>
        </w:trPr>
        <w:tc>
          <w:tcPr/>
          <w:p>
            <w:pPr>
              <w:pStyle w:val="Compact"/>
              <w:jc w:val="left"/>
            </w:pPr>
            <w:r>
              <w:t xml:space="preserve">HAV verdict</w:t>
            </w:r>
          </w:p>
        </w:tc>
        <w:tc>
          <w:tcPr/>
          <w:p>
            <w:pPr>
              <w:pStyle w:val="Compact"/>
              <w:jc w:val="left"/>
            </w:pPr>
            <w:r>
              <w:t xml:space="preserve">Core policy effect</w:t>
            </w:r>
          </w:p>
        </w:tc>
      </w:tr>
      <w:tr>
        <w:tc>
          <w:tcPr/>
          <w:p>
            <w:pPr>
              <w:pStyle w:val="Compact"/>
              <w:jc w:val="left"/>
            </w:pPr>
            <w:r>
              <w:rPr>
                <w:smallCaps/>
              </w:rPr>
              <w:t xml:space="preserve">pass</w:t>
            </w:r>
          </w:p>
        </w:tc>
        <w:tc>
          <w:tcPr/>
          <w:p>
            <w:pPr>
              <w:pStyle w:val="Compact"/>
              <w:jc w:val="left"/>
            </w:pPr>
            <w:r>
              <w:rPr>
                <w:rStyle w:val="VerbatimChar"/>
              </w:rPr>
              <w:t xml:space="preserve">allow</w:t>
            </w:r>
          </w:p>
        </w:tc>
      </w:tr>
      <w:tr>
        <w:tc>
          <w:tcPr/>
          <w:p>
            <w:pPr>
              <w:pStyle w:val="Compact"/>
              <w:jc w:val="left"/>
            </w:pPr>
            <w:r>
              <w:rPr>
                <w:smallCaps/>
              </w:rPr>
              <w:t xml:space="preserve">warn</w:t>
            </w:r>
          </w:p>
        </w:tc>
        <w:tc>
          <w:tcPr/>
          <w:p>
            <w:pPr>
              <w:pStyle w:val="Compact"/>
              <w:jc w:val="left"/>
            </w:pPr>
            <w:r>
              <w:rPr>
                <w:rStyle w:val="VerbatimChar"/>
              </w:rPr>
              <w:t xml:space="preserve">warn</w:t>
            </w:r>
          </w:p>
        </w:tc>
      </w:tr>
      <w:tr>
        <w:tc>
          <w:tcPr/>
          <w:p>
            <w:pPr>
              <w:pStyle w:val="Compact"/>
              <w:jc w:val="left"/>
            </w:pPr>
            <w:r>
              <w:rPr>
                <w:smallCaps/>
              </w:rPr>
              <w:t xml:space="preserve">reject</w:t>
            </w:r>
          </w:p>
        </w:tc>
        <w:tc>
          <w:tcPr/>
          <w:p>
            <w:pPr>
              <w:pStyle w:val="Compact"/>
              <w:jc w:val="left"/>
            </w:pPr>
            <w:r>
              <w:rPr>
                <w:rStyle w:val="VerbatimChar"/>
              </w:rPr>
              <w:t xml:space="preserve">block</w:t>
            </w:r>
          </w:p>
        </w:tc>
      </w:tr>
      <w:tr>
        <w:tc>
          <w:tcPr/>
          <w:p>
            <w:pPr>
              <w:pStyle w:val="Compact"/>
              <w:jc w:val="left"/>
            </w:pPr>
            <w:r>
              <w:rPr>
                <w:smallCaps/>
              </w:rPr>
              <w:t xml:space="preserve">human_review</w:t>
            </w:r>
          </w:p>
        </w:tc>
        <w:tc>
          <w:tcPr/>
          <w:p>
            <w:pPr>
              <w:pStyle w:val="Compact"/>
              <w:jc w:val="left"/>
            </w:pPr>
            <w:r>
              <w:rPr>
                <w:rStyle w:val="VerbatimChar"/>
              </w:rPr>
              <w:t xml:space="preserve">require_approval</w:t>
            </w:r>
          </w:p>
        </w:tc>
      </w:tr>
      <w:tr>
        <w:tc>
          <w:tcPr/>
          <w:p>
            <w:pPr>
              <w:pStyle w:val="Compact"/>
              <w:jc w:val="left"/>
            </w:pPr>
            <w:r>
              <w:rPr>
                <w:smallCaps/>
              </w:rPr>
              <w:t xml:space="preserve">source_unavailable</w:t>
            </w:r>
          </w:p>
        </w:tc>
        <w:tc>
          <w:tcPr/>
          <w:p>
            <w:pPr>
              <w:pStyle w:val="Compact"/>
              <w:jc w:val="left"/>
            </w:pPr>
            <w:r>
              <w:rPr>
                <w:rStyle w:val="VerbatimChar"/>
              </w:rPr>
              <w:t xml:space="preserve">block</w:t>
            </w:r>
          </w:p>
        </w:tc>
      </w:tr>
    </w:tbl>
    <w:bookmarkEnd w:id="25"/>
    <w:bookmarkEnd w:id="26"/>
    <w:bookmarkStart w:id="27" w:name="ledger-integration-and-receipts."/>
    <w:p>
      <w:pPr>
        <w:pStyle w:val="Heading4"/>
      </w:pPr>
      <w:r>
        <w:t xml:space="preserve">Ledger integration and receipts.</w:t>
      </w:r>
    </w:p>
    <w:p>
      <w:pPr>
        <w:pStyle w:val="FirstParagraph"/>
      </w:pPr>
      <w:r>
        <w:t xml:space="preserve">For each request, HAV registers</w:t>
      </w:r>
      <w:r>
        <w:t xml:space="preserve"> </w:t>
      </w:r>
      <w:r>
        <w:t xml:space="preserve">the supplied evidence facts as</w:t>
      </w:r>
      <w:r>
        <w:t xml:space="preserve"> </w:t>
      </w:r>
      <w:r>
        <w:rPr>
          <w:rStyle w:val="VerbatimChar"/>
        </w:rPr>
        <w:t xml:space="preserve">Evidence</w:t>
      </w:r>
      <w:r>
        <w:t xml:space="preserve"> </w:t>
      </w:r>
      <w:r>
        <w:t xml:space="preserve">records, registers each</w:t>
      </w:r>
      <w:r>
        <w:t xml:space="preserve"> </w:t>
      </w:r>
      <w:r>
        <w:t xml:space="preserve">extracted claim as a</w:t>
      </w:r>
      <w:r>
        <w:t xml:space="preserve"> </w:t>
      </w:r>
      <w:r>
        <w:rPr>
          <w:rStyle w:val="VerbatimChar"/>
        </w:rPr>
        <w:t xml:space="preserve">Claim</w:t>
      </w:r>
      <w:r>
        <w:t xml:space="preserve"> </w:t>
      </w:r>
      <w:r>
        <w:t xml:space="preserve">record, records a</w:t>
      </w:r>
      <w:r>
        <w:t xml:space="preserve"> </w:t>
      </w:r>
      <w:r>
        <w:rPr>
          <w:rStyle w:val="VerbatimChar"/>
        </w:rPr>
        <w:t xml:space="preserve">Verification</w:t>
      </w:r>
      <w:r>
        <w:t xml:space="preserve"> </w:t>
      </w:r>
      <w:r>
        <w:t xml:space="preserve">per claim, registers an</w:t>
      </w:r>
      <w:r>
        <w:t xml:space="preserve"> </w:t>
      </w:r>
      <w:r>
        <w:rPr>
          <w:rStyle w:val="VerbatimChar"/>
        </w:rPr>
        <w:t xml:space="preserve">ActionProposal</w:t>
      </w:r>
      <w:r>
        <w:t xml:space="preserve"> </w:t>
      </w:r>
      <w:r>
        <w:t xml:space="preserve">representing acceptance of the</w:t>
      </w:r>
      <w:r>
        <w:t xml:space="preserve"> </w:t>
      </w:r>
      <w:r>
        <w:t xml:space="preserve">candidate output, and records a</w:t>
      </w:r>
      <w:r>
        <w:t xml:space="preserve"> </w:t>
      </w:r>
      <w:r>
        <w:rPr>
          <w:rStyle w:val="VerbatimChar"/>
        </w:rPr>
        <w:t xml:space="preserve">PolicyDecision</w:t>
      </w:r>
      <w:r>
        <w:t xml:space="preserve"> </w:t>
      </w:r>
      <w:r>
        <w:t xml:space="preserve">carrying the mapped</w:t>
      </w:r>
      <w:r>
        <w:t xml:space="preserve"> </w:t>
      </w:r>
      <w:r>
        <w:t xml:space="preserve">effect. A</w:t>
      </w:r>
      <w:r>
        <w:t xml:space="preserve"> </w:t>
      </w:r>
      <w:r>
        <w:rPr>
          <w:rStyle w:val="VerbatimChar"/>
        </w:rPr>
        <w:t xml:space="preserve">HAVReceipt</w:t>
      </w:r>
      <w:r>
        <w:t xml:space="preserve"> </w:t>
      </w:r>
      <w:r>
        <w:t xml:space="preserve">bundling the verdict, claim evaluations, and a</w:t>
      </w:r>
      <w:r>
        <w:t xml:space="preserve"> </w:t>
      </w:r>
      <w:r>
        <w:t xml:space="preserve">SHA-256 hash of the candidate output is itself stored as ledger evidence and,</w:t>
      </w:r>
      <w:r>
        <w:t xml:space="preserve"> </w:t>
      </w:r>
      <w:r>
        <w:t xml:space="preserve">when a receipt-signing key is configured, signed with the same HMAC-SHA256</w:t>
      </w:r>
      <w:r>
        <w:t xml:space="preserve"> </w:t>
      </w:r>
      <w:r>
        <w:t xml:space="preserve">mechanism used elsewhere in Core. Tenant and project identifiers supplied with</w:t>
      </w:r>
      <w:r>
        <w:t xml:space="preserve"> </w:t>
      </w:r>
      <w:r>
        <w:t xml:space="preserve">the request propagate to every record, consistent with the scope-tagging goal</w:t>
      </w:r>
      <w:r>
        <w:t xml:space="preserve"> </w:t>
      </w:r>
      <w:r>
        <w:t xml:space="preserve">in Section </w:t>
      </w:r>
      <w:hyperlink w:anchor="sec:systemmodel">
        <w:r>
          <w:rPr>
            <w:rStyle w:val="Hyperlink"/>
          </w:rPr>
          <w:t xml:space="preserve">3</w:t>
        </w:r>
      </w:hyperlink>
      <w:r>
        <w:t xml:space="preserve">.</w:t>
      </w:r>
    </w:p>
    <w:bookmarkEnd w:id="27"/>
    <w:bookmarkStart w:id="28" w:name="security-posture."/>
    <w:p>
      <w:pPr>
        <w:pStyle w:val="Heading4"/>
      </w:pPr>
      <w:r>
        <w:t xml:space="preserve">Security posture.</w:t>
      </w:r>
    </w:p>
    <w:p>
      <w:pPr>
        <w:pStyle w:val="FirstParagraph"/>
      </w:pPr>
      <w:r>
        <w:t xml:space="preserve">HAV never executes candidate output or any</w:t>
      </w:r>
      <w:r>
        <w:t xml:space="preserve"> </w:t>
      </w:r>
      <w:r>
        <w:t xml:space="preserve">generated code; it only pattern-matches and compares strings. It does not</w:t>
      </w:r>
      <w:r>
        <w:t xml:space="preserve"> </w:t>
      </w:r>
      <w:r>
        <w:t xml:space="preserve">persist a database file, and the packaged module contains no embedded</w:t>
      </w:r>
      <w:r>
        <w:t xml:space="preserve"> </w:t>
      </w:r>
      <w:r>
        <w:t xml:space="preserve">credentials. The HTTP endpoints (</w:t>
      </w:r>
      <w:r>
        <w:rPr>
          <w:rStyle w:val="VerbatimChar"/>
        </w:rPr>
        <w:t xml:space="preserve">/v3/hav/verify</w:t>
      </w:r>
      <w:r>
        <w:t xml:space="preserve">,</w:t>
      </w:r>
      <w:r>
        <w:t xml:space="preserve"> </w:t>
      </w:r>
      <w:r>
        <w:rPr>
          <w:rStyle w:val="VerbatimChar"/>
        </w:rPr>
        <w:t xml:space="preserve">/v3/hav/factual/extract</w:t>
      </w:r>
      <w:r>
        <w:t xml:space="preserve">,</w:t>
      </w:r>
      <w:r>
        <w:t xml:space="preserve"> </w:t>
      </w:r>
      <w:r>
        <w:rPr>
          <w:rStyle w:val="VerbatimChar"/>
        </w:rPr>
        <w:t xml:space="preserve">/v3/hav/consistency</w:t>
      </w:r>
      <w:r>
        <w:t xml:space="preserve">) accept an</w:t>
      </w:r>
      <w:r>
        <w:t xml:space="preserve"> </w:t>
      </w:r>
      <w:r>
        <w:t xml:space="preserve">optional</w:t>
      </w:r>
      <w:r>
        <w:t xml:space="preserve"> </w:t>
      </w:r>
      <w:r>
        <w:rPr>
          <w:rStyle w:val="VerbatimChar"/>
        </w:rPr>
        <w:t xml:space="preserve">PHIGRAPH_HAV_API_KEY</w:t>
      </w:r>
      <w:r>
        <w:t xml:space="preserve">; when set, requests must present a</w:t>
      </w:r>
      <w:r>
        <w:t xml:space="preserve"> </w:t>
      </w:r>
      <w:r>
        <w:t xml:space="preserve">matching</w:t>
      </w:r>
      <w:r>
        <w:t xml:space="preserve"> </w:t>
      </w:r>
      <w:r>
        <w:rPr>
          <w:rStyle w:val="VerbatimChar"/>
        </w:rPr>
        <w:t xml:space="preserve">X-API-Key</w:t>
      </w:r>
      <w:r>
        <w:t xml:space="preserve"> </w:t>
      </w:r>
      <w:r>
        <w:t xml:space="preserve">header, compared using constant-time comparison,</w:t>
      </w:r>
      <w:r>
        <w:t xml:space="preserve"> </w:t>
      </w:r>
      <w:r>
        <w:t xml:space="preserve">and are otherwise rejected. Multi-output consistency checking (shared-token</w:t>
      </w:r>
      <w:r>
        <w:t xml:space="preserve"> </w:t>
      </w:r>
      <w:r>
        <w:t xml:space="preserve">overlap and conflicting status terms across several candidate outputs) is</w:t>
      </w:r>
      <w:r>
        <w:t xml:space="preserve"> </w:t>
      </w:r>
      <w:r>
        <w:t xml:space="preserve">exposed only as an auxiliary diagnostic signal, not as a verification result</w:t>
      </w:r>
      <w:r>
        <w:t xml:space="preserve"> </w:t>
      </w:r>
      <w:r>
        <w:t xml:space="preserve">on its own, and does not influence the policy decision above.</w:t>
      </w:r>
    </w:p>
    <w:bookmarkEnd w:id="28"/>
    <w:bookmarkEnd w:id="29"/>
    <w:bookmarkEnd w:id="30"/>
    <w:bookmarkStart w:id="37" w:name="evaluation"/>
    <w:p>
      <w:pPr>
        <w:pStyle w:val="Heading1"/>
      </w:pPr>
      <w:r>
        <w:t xml:space="preserve">Evaluation</w:t>
      </w:r>
    </w:p>
    <w:bookmarkStart w:id="31" w:name="research-questions"/>
    <w:p>
      <w:pPr>
        <w:pStyle w:val="Heading2"/>
      </w:pPr>
      <w:r>
        <w:t xml:space="preserve">Research questions</w:t>
      </w:r>
    </w:p>
    <w:p>
      <w:pPr>
        <w:pStyle w:val="FirstParagraph"/>
      </w:pPr>
      <w:r>
        <w:t xml:space="preserve">The evaluation addresses three bounded questions:</w:t>
      </w:r>
    </w:p>
    <w:p>
      <w:pPr>
        <w:pStyle w:val="BodyText"/>
      </w:pPr>
      <w:r>
        <w:t xml:space="preserve">Is the software version mechanically testable across its supported Python</w:t>
      </w:r>
      <w:r>
        <w:t xml:space="preserve"> </w:t>
      </w:r>
      <w:r>
        <w:t xml:space="preserve">versions and packaging paths?</w:t>
      </w:r>
    </w:p>
    <w:p>
      <w:pPr>
        <w:pStyle w:val="BodyText"/>
      </w:pPr>
      <w:r>
        <w:t xml:space="preserve">Does the current relational anomaly score produce useful rankings</w:t>
      </w:r>
      <w:r>
        <w:t xml:space="preserve"> </w:t>
      </w:r>
      <w:r>
        <w:t xml:space="preserve">on one external network-flow benchmark relative to simple unsupervised</w:t>
      </w:r>
      <w:r>
        <w:t xml:space="preserve"> </w:t>
      </w:r>
      <w:r>
        <w:t xml:space="preserve">baselines?</w:t>
      </w:r>
    </w:p>
    <w:p>
      <w:pPr>
        <w:pStyle w:val="BodyText"/>
      </w:pPr>
      <w:r>
        <w:t xml:space="preserve">Does the HAV fail-closed policy produce the intended blocking or</w:t>
      </w:r>
      <w:r>
        <w:t xml:space="preserve"> </w:t>
      </w:r>
      <w:r>
        <w:t xml:space="preserve">passing behavior on hand-constructed scenarios covering a contradicted</w:t>
      </w:r>
      <w:r>
        <w:t xml:space="preserve"> </w:t>
      </w:r>
      <w:r>
        <w:t xml:space="preserve">critical claim, an unavailable authoritative source, and a supported</w:t>
      </w:r>
      <w:r>
        <w:t xml:space="preserve"> </w:t>
      </w:r>
      <w:r>
        <w:t xml:space="preserve">numeric claim?</w:t>
      </w:r>
    </w:p>
    <w:p>
      <w:pPr>
        <w:pStyle w:val="BodyText"/>
      </w:pPr>
      <w:r>
        <w:t xml:space="preserve">It does not test whether PhiGraph prevents all unsafe agent actions, proves</w:t>
      </w:r>
      <w:r>
        <w:t xml:space="preserve"> </w:t>
      </w:r>
      <w:r>
        <w:t xml:space="preserve">causality, outperforms specialized state-of-the-art intrusion-detection</w:t>
      </w:r>
      <w:r>
        <w:t xml:space="preserve"> </w:t>
      </w:r>
      <w:r>
        <w:t xml:space="preserve">systems, or measures HAV’s claim-extraction accuracy against a labeled claim</w:t>
      </w:r>
      <w:r>
        <w:t xml:space="preserve"> </w:t>
      </w:r>
      <w:r>
        <w:t xml:space="preserve">corpus.</w:t>
      </w:r>
    </w:p>
    <w:bookmarkEnd w:id="31"/>
    <w:bookmarkStart w:id="32" w:name="software-verification"/>
    <w:p>
      <w:pPr>
        <w:pStyle w:val="Heading2"/>
      </w:pPr>
      <w:r>
        <w:t xml:space="preserve">Software verification</w:t>
      </w:r>
    </w:p>
    <w:p>
      <w:pPr>
        <w:pStyle w:val="FirstParagraph"/>
      </w:pPr>
      <w:r>
        <w:t xml:space="preserve">The software tree contains 128 automated tests: 117 core tests covering</w:t>
      </w:r>
      <w:r>
        <w:t xml:space="preserve"> </w:t>
      </w:r>
      <w:r>
        <w:t xml:space="preserve">protocol records, ledger integrity, policy evaluation, runtime modes,</w:t>
      </w:r>
      <w:r>
        <w:t xml:space="preserve"> </w:t>
      </w:r>
      <w:r>
        <w:t xml:space="preserve">persistence backends, API and SDK boundaries, agent workflows, graph</w:t>
      </w:r>
      <w:r>
        <w:t xml:space="preserve"> </w:t>
      </w:r>
      <w:r>
        <w:t xml:space="preserve">operations, benchmarks, and deployment configuration, plus 11 HAV-specific</w:t>
      </w:r>
      <w:r>
        <w:t xml:space="preserve"> </w:t>
      </w:r>
      <w:r>
        <w:t xml:space="preserve">tests covering claim extraction, connectors, the fail-closed policy, the API</w:t>
      </w:r>
      <w:r>
        <w:t xml:space="preserve"> </w:t>
      </w:r>
      <w:r>
        <w:t xml:space="preserve">surface, and API-key enforcement. Continuous integration is configured to</w:t>
      </w:r>
      <w:r>
        <w:t xml:space="preserve"> </w:t>
      </w:r>
      <w:r>
        <w:t xml:space="preserve">install the declared extras and run the suite on Python 3.10, 3.11, 3.12, and</w:t>
      </w:r>
      <w:r>
        <w:t xml:space="preserve"> </w:t>
      </w:r>
      <w:r>
        <w:t xml:space="preserve">3.13; separate jobs build the Python distribution, install its wheel in an</w:t>
      </w:r>
      <w:r>
        <w:t xml:space="preserve"> </w:t>
      </w:r>
      <w:r>
        <w:t xml:space="preserve">isolated environment, and build the Docker image. A local run on July 29, 2026</w:t>
      </w:r>
      <w:r>
        <w:t xml:space="preserve"> </w:t>
      </w:r>
      <w:r>
        <w:t xml:space="preserve">executed all 128 tests successfully. A separate synthetic benchmark attempt</w:t>
      </w:r>
      <w:r>
        <w:t xml:space="preserve"> </w:t>
      </w:r>
      <w:r>
        <w:t xml:space="preserve">under local Python 3.14, which is outside the CI matrix, stopped with an</w:t>
      </w:r>
      <w:r>
        <w:t xml:space="preserve"> </w:t>
      </w:r>
      <w:r>
        <w:t xml:space="preserve">ARPACK eigensolver error and is excluded from the reported empirical results.</w:t>
      </w:r>
      <w:r>
        <w:t xml:space="preserve"> </w:t>
      </w:r>
      <w:r>
        <w:t xml:space="preserve">Passing tests establish conformance to encoded cases, not correctness for all</w:t>
      </w:r>
      <w:r>
        <w:t xml:space="preserve"> </w:t>
      </w:r>
      <w:r>
        <w:t xml:space="preserve">deployments.</w:t>
      </w:r>
    </w:p>
    <w:bookmarkEnd w:id="32"/>
    <w:bookmarkStart w:id="33" w:name="sec:hav-scenarios"/>
    <w:p>
      <w:pPr>
        <w:pStyle w:val="Heading2"/>
      </w:pPr>
      <w:r>
        <w:t xml:space="preserve">HAV verification scenarios</w:t>
      </w:r>
    </w:p>
    <w:p>
      <w:pPr>
        <w:pStyle w:val="FirstParagraph"/>
      </w:pPr>
      <w:r>
        <w:t xml:space="preserve">To address RQ3, we exercised the running HAV API with three scenarios chosen</w:t>
      </w:r>
      <w:r>
        <w:t xml:space="preserve"> </w:t>
      </w:r>
      <w:r>
        <w:t xml:space="preserve">to cover the fail-closed policy’s distinguishing branches, in addition to the</w:t>
      </w:r>
      <w:r>
        <w:t xml:space="preserve"> </w:t>
      </w:r>
      <w:r>
        <w:t xml:space="preserve">11 automated unit and integration tests. In the first, the candidate output</w:t>
      </w:r>
      <w:r>
        <w:t xml:space="preserve"> </w:t>
      </w:r>
      <w:r>
        <w:t xml:space="preserve">asserts that all checks passed and the repository is production-ready while</w:t>
      </w:r>
      <w:r>
        <w:t xml:space="preserve"> </w:t>
      </w:r>
      <w:r>
        <w:t xml:space="preserve">the supplied authoritative state marks CodeQL as failed and the release gate</w:t>
      </w:r>
      <w:r>
        <w:t xml:space="preserve"> </w:t>
      </w:r>
      <w:r>
        <w:t xml:space="preserve">as blocked; the policy returned</w:t>
      </w:r>
      <w:r>
        <w:t xml:space="preserve"> </w:t>
      </w:r>
      <w:r>
        <w:rPr>
          <w:smallCaps/>
        </w:rPr>
        <w:t xml:space="preserve">reject</w:t>
      </w:r>
      <w:r>
        <w:t xml:space="preserve">, mapped to a</w:t>
      </w:r>
      <w:r>
        <w:t xml:space="preserve"> </w:t>
      </w:r>
      <w:r>
        <w:rPr>
          <w:rStyle w:val="VerbatimChar"/>
        </w:rPr>
        <w:t xml:space="preserve">block</w:t>
      </w:r>
      <w:r>
        <w:t xml:space="preserve"> </w:t>
      </w:r>
      <w:r>
        <w:t xml:space="preserve">policy decision recorded in the ledger. In the second, the authoritative</w:t>
      </w:r>
      <w:r>
        <w:t xml:space="preserve"> </w:t>
      </w:r>
      <w:r>
        <w:t xml:space="preserve">source was marked unavailable; the policy returned</w:t>
      </w:r>
      <w:r>
        <w:t xml:space="preserve"> </w:t>
      </w:r>
      <w:r>
        <w:rPr>
          <w:smallCaps/>
        </w:rPr>
        <w:t xml:space="preserve">source_unavailable</w:t>
      </w:r>
      <w:r>
        <w:t xml:space="preserve">, also mapped to</w:t>
      </w:r>
      <w:r>
        <w:t xml:space="preserve"> </w:t>
      </w:r>
      <w:r>
        <w:rPr>
          <w:rStyle w:val="VerbatimChar"/>
        </w:rPr>
        <w:t xml:space="preserve">block</w:t>
      </w:r>
      <w:r>
        <w:t xml:space="preserve">, rather than</w:t>
      </w:r>
      <w:r>
        <w:t xml:space="preserve"> </w:t>
      </w:r>
      <w:r>
        <w:t xml:space="preserve">defaulting to a permissive outcome. In the third, the candidate output</w:t>
      </w:r>
      <w:r>
        <w:t xml:space="preserve"> </w:t>
      </w:r>
      <w:r>
        <w:t xml:space="preserve">correctly reports a numeric test count that matches the supplied evidence; the</w:t>
      </w:r>
      <w:r>
        <w:t xml:space="preserve"> </w:t>
      </w:r>
      <w:r>
        <w:t xml:space="preserve">policy returned</w:t>
      </w:r>
      <w:r>
        <w:t xml:space="preserve"> </w:t>
      </w:r>
      <w:r>
        <w:rPr>
          <w:smallCaps/>
        </w:rPr>
        <w:t xml:space="preserve">pass</w:t>
      </w:r>
      <w:r>
        <w:t xml:space="preserve">. All three outcomes matched the behavior implied</w:t>
      </w:r>
      <w:r>
        <w:t xml:space="preserve"> </w:t>
      </w:r>
      <w:r>
        <w:t xml:space="preserve">by the policy definition in Section </w:t>
      </w:r>
      <w:hyperlink w:anchor="sec:hav">
        <w:r>
          <w:rPr>
            <w:rStyle w:val="Hyperlink"/>
          </w:rPr>
          <w:t xml:space="preserve">4.5</w:t>
        </w:r>
      </w:hyperlink>
      <w:r>
        <w:t xml:space="preserve">. This is a confirmation of</w:t>
      </w:r>
      <w:r>
        <w:t xml:space="preserve"> </w:t>
      </w:r>
      <w:r>
        <w:t xml:space="preserve">implemented decision logic on hand-constructed inputs, not a statistical</w:t>
      </w:r>
      <w:r>
        <w:t xml:space="preserve"> </w:t>
      </w:r>
      <w:r>
        <w:t xml:space="preserve">evaluation of extraction accuracy, adversarial robustness, or coverage over</w:t>
      </w:r>
      <w:r>
        <w:t xml:space="preserve"> </w:t>
      </w:r>
      <w:r>
        <w:t xml:space="preserve">naturally occurring agent output; the pattern-based extractor is not expected</w:t>
      </w:r>
      <w:r>
        <w:t xml:space="preserve"> </w:t>
      </w:r>
      <w:r>
        <w:t xml:space="preserve">to generalize beyond the repository-status vocabulary encoded in its rules.</w:t>
      </w:r>
    </w:p>
    <w:bookmarkEnd w:id="33"/>
    <w:bookmarkStart w:id="36" w:name="external-anomaly-ranking-experiment"/>
    <w:p>
      <w:pPr>
        <w:pStyle w:val="Heading2"/>
      </w:pPr>
      <w:r>
        <w:t xml:space="preserve">External anomaly-ranking experiment</w:t>
      </w:r>
    </w:p>
    <w:p>
      <w:pPr>
        <w:pStyle w:val="FirstParagraph"/>
      </w:pPr>
      <w:r>
        <w:t xml:space="preserve">The committed external-validation artifact uses the CIC-IDS2017 Friday</w:t>
      </w:r>
      <w:r>
        <w:t xml:space="preserve"> </w:t>
      </w:r>
      <w:r>
        <w:t xml:space="preserve">afternoon DDoS flow file</w:t>
      </w:r>
      <w:r>
        <w:t xml:space="preserve"> </w:t>
      </w:r>
      <w:r>
        <w:t xml:space="preserve">(Sharafaldin et al. 2018)</w:t>
      </w:r>
      <w:r>
        <w:t xml:space="preserve">. It contains 225,745</w:t>
      </w:r>
      <w:r>
        <w:t xml:space="preserve"> </w:t>
      </w:r>
      <w:r>
        <w:t xml:space="preserve">rows: 97,718 benign and 128,027 DDoS. With random seed 47, the protocol draws a</w:t>
      </w:r>
      <w:r>
        <w:t xml:space="preserve"> </w:t>
      </w:r>
      <w:r>
        <w:t xml:space="preserve">12,000-row benign-only reference set and evaluates a balanced test set of</w:t>
      </w:r>
      <w:r>
        <w:t xml:space="preserve"> </w:t>
      </w:r>
      <w:r>
        <w:t xml:space="preserve">6,000 benign and 6,000 DDoS flows. Preprocessing and variable-feature selection</w:t>
      </w:r>
      <w:r>
        <w:t xml:space="preserve"> </w:t>
      </w:r>
      <w:r>
        <w:t xml:space="preserve">use only the benign reference. Methods are ranked continuously and evaluated</w:t>
      </w:r>
      <w:r>
        <w:t xml:space="preserve"> </w:t>
      </w:r>
      <w:r>
        <w:t xml:space="preserve">at a top-10% alert budget.</w:t>
      </w:r>
    </w:p>
    <w:p>
      <w:pPr>
        <w:pStyle w:val="BodyText"/>
      </w:pPr>
      <w:r>
        <w:t xml:space="preserve">The compared methods are robust multivariate deviation, Isolation Forest,</w:t>
      </w:r>
      <w:r>
        <w:t xml:space="preserve"> </w:t>
      </w:r>
      <w:r>
        <w:t xml:space="preserve">Local Outlier Factor (LOF), and a PhiGraph relational score combining robust</w:t>
      </w:r>
      <w:r>
        <w:t xml:space="preserve"> </w:t>
      </w:r>
      <w:r>
        <w:t xml:space="preserve">deviation, mean nearest-neighbor distance, and disagreement between their</w:t>
      </w:r>
      <w:r>
        <w:t xml:space="preserve"> </w:t>
      </w:r>
      <w:r>
        <w:t xml:space="preserve">percentile ranks. Table</w:t>
      </w:r>
      <w:r>
        <w:t xml:space="preserve"> </w:t>
      </w:r>
      <w:hyperlink w:anchor="tab:cicids">
        <w:r>
          <w:rPr>
            <w:rStyle w:val="Hyperlink"/>
          </w:rPr>
          <w:t xml:space="preserve">2</w:t>
        </w:r>
      </w:hyperlink>
      <w:r>
        <w:t xml:space="preserve"> </w:t>
      </w:r>
      <w:r>
        <w:t xml:space="preserve">reproduces the committed result.</w:t>
      </w:r>
    </w:p>
    <w:bookmarkStart w:id="34" w:name="tab:cicids"/>
    <w:p>
      <w:pPr>
        <w:pStyle w:val="TableCaption"/>
      </w:pPr>
      <w:r>
        <w:t xml:space="preserve">CIC-IDS2017 Friday DDoS anomaly-ranking results. Runtime is reported</w:t>
      </w:r>
      <w:r>
        <w:t xml:space="preserve"> </w:t>
      </w:r>
      <w:r>
        <w:t xml:space="preserve">by the committed validation artifact; its execution environment was not</w:t>
      </w:r>
      <w:r>
        <w:t xml:space="preserve"> </w:t>
      </w:r>
      <w:r>
        <w:t xml:space="preserve">recorded.</w:t>
      </w:r>
    </w:p>
    <w:tbl>
      <w:tblPr>
        <w:tblStyle w:val="Table"/>
        <w:tblW w:type="auto" w:w="0"/>
        <w:tblLook w:firstRow="1" w:lastRow="0" w:firstColumn="0" w:lastColumn="0" w:noHBand="0" w:noVBand="0" w:val="0020"/>
        <w:tblCaption w:val="CIC-IDS2017 Friday DDoS anomaly-ranking results. Runtime is reported by the committed validation artifact; its execution environment was not recorded."/>
      </w:tblPr>
      <w:tblGrid>
        <w:gridCol w:w="1131"/>
        <w:gridCol w:w="1131"/>
        <w:gridCol w:w="1131"/>
        <w:gridCol w:w="1131"/>
        <w:gridCol w:w="1131"/>
        <w:gridCol w:w="1131"/>
        <w:gridCol w:w="1131"/>
      </w:tblGrid>
      <w:tr>
        <w:trPr>
          <w:tblHeader w:val="on"/>
        </w:trPr>
        <w:tc>
          <w:tcPr/>
          <w:p>
            <w:pPr>
              <w:pStyle w:val="Compact"/>
              <w:jc w:val="left"/>
            </w:pPr>
            <w:r>
              <w:t xml:space="preserve">Method</w:t>
            </w:r>
          </w:p>
        </w:tc>
        <w:tc>
          <w:tcPr/>
          <w:p>
            <w:pPr>
              <w:pStyle w:val="Compact"/>
              <w:jc w:val="right"/>
            </w:pPr>
            <w:r>
              <w:t xml:space="preserve">ROC-AUC</w:t>
            </w:r>
          </w:p>
        </w:tc>
        <w:tc>
          <w:tcPr/>
          <w:p>
            <w:pPr>
              <w:pStyle w:val="Compact"/>
              <w:jc w:val="right"/>
            </w:pPr>
            <w:r>
              <w:t xml:space="preserve">PR-AUC</w:t>
            </w:r>
          </w:p>
        </w:tc>
        <w:tc>
          <w:tcPr/>
          <w:p>
            <w:pPr>
              <w:pStyle w:val="Compact"/>
              <w:jc w:val="right"/>
            </w:pPr>
            <w:r>
              <w:t xml:space="preserve">P@10%</w:t>
            </w:r>
          </w:p>
        </w:tc>
        <w:tc>
          <w:tcPr/>
          <w:p>
            <w:pPr>
              <w:pStyle w:val="Compact"/>
              <w:jc w:val="right"/>
            </w:pPr>
            <w:r>
              <w:t xml:space="preserve">R@10%</w:t>
            </w:r>
          </w:p>
        </w:tc>
        <w:tc>
          <w:tcPr/>
          <w:p>
            <w:pPr>
              <w:pStyle w:val="Compact"/>
              <w:jc w:val="right"/>
            </w:pPr>
            <w:r>
              <w:t xml:space="preserve">F1@10%</w:t>
            </w:r>
          </w:p>
        </w:tc>
        <w:tc>
          <w:tcPr/>
          <w:p>
            <w:pPr>
              <w:pStyle w:val="Compact"/>
              <w:jc w:val="right"/>
            </w:pPr>
            <w:r>
              <w:t xml:space="preserve">Time (s)</w:t>
            </w:r>
          </w:p>
        </w:tc>
      </w:tr>
      <w:tr>
        <w:tc>
          <w:tcPr/>
          <w:p>
            <w:pPr>
              <w:pStyle w:val="Compact"/>
              <w:jc w:val="left"/>
            </w:pPr>
            <w:r>
              <w:t xml:space="preserve">Local Outlier Factor</w:t>
            </w:r>
          </w:p>
        </w:tc>
        <w:tc>
          <w:tcPr/>
          <w:p>
            <w:pPr>
              <w:pStyle w:val="Compact"/>
              <w:jc w:val="right"/>
            </w:pPr>
            <w:r>
              <w:t xml:space="preserve">0.9757</w:t>
            </w:r>
          </w:p>
        </w:tc>
        <w:tc>
          <w:tcPr/>
          <w:p>
            <w:pPr>
              <w:pStyle w:val="Compact"/>
              <w:jc w:val="right"/>
            </w:pPr>
            <w:r>
              <w:t xml:space="preserve">0.9506</w:t>
            </w:r>
          </w:p>
        </w:tc>
        <w:tc>
          <w:tcPr/>
          <w:p>
            <w:pPr>
              <w:pStyle w:val="Compact"/>
              <w:jc w:val="right"/>
            </w:pPr>
            <w:r>
              <w:t xml:space="preserve">0.9617</w:t>
            </w:r>
          </w:p>
        </w:tc>
        <w:tc>
          <w:tcPr/>
          <w:p>
            <w:pPr>
              <w:pStyle w:val="Compact"/>
              <w:jc w:val="right"/>
            </w:pPr>
            <w:r>
              <w:t xml:space="preserve">0.1923</w:t>
            </w:r>
          </w:p>
        </w:tc>
        <w:tc>
          <w:tcPr/>
          <w:p>
            <w:pPr>
              <w:pStyle w:val="Compact"/>
              <w:jc w:val="right"/>
            </w:pPr>
            <w:r>
              <w:t xml:space="preserve">0.3206</w:t>
            </w:r>
          </w:p>
        </w:tc>
        <w:tc>
          <w:tcPr/>
          <w:p>
            <w:pPr>
              <w:pStyle w:val="Compact"/>
              <w:jc w:val="right"/>
            </w:pPr>
            <w:r>
              <w:t xml:space="preserve">0.322</w:t>
            </w:r>
          </w:p>
        </w:tc>
      </w:tr>
      <w:tr>
        <w:tc>
          <w:tcPr/>
          <w:p>
            <w:pPr>
              <w:pStyle w:val="Compact"/>
              <w:jc w:val="left"/>
            </w:pPr>
            <w:r>
              <w:t xml:space="preserve">PhiGraph relational</w:t>
            </w:r>
          </w:p>
        </w:tc>
        <w:tc>
          <w:tcPr/>
          <w:p>
            <w:pPr>
              <w:pStyle w:val="Compact"/>
              <w:jc w:val="right"/>
            </w:pPr>
            <w:r>
              <w:t xml:space="preserve">0.7295</w:t>
            </w:r>
          </w:p>
        </w:tc>
        <w:tc>
          <w:tcPr/>
          <w:p>
            <w:pPr>
              <w:pStyle w:val="Compact"/>
              <w:jc w:val="right"/>
            </w:pPr>
            <w:r>
              <w:t xml:space="preserve">0.7316</w:t>
            </w:r>
          </w:p>
        </w:tc>
        <w:tc>
          <w:tcPr/>
          <w:p>
            <w:pPr>
              <w:pStyle w:val="Compact"/>
              <w:jc w:val="right"/>
            </w:pPr>
            <w:r>
              <w:t xml:space="preserve">0.8400</w:t>
            </w:r>
          </w:p>
        </w:tc>
        <w:tc>
          <w:tcPr/>
          <w:p>
            <w:pPr>
              <w:pStyle w:val="Compact"/>
              <w:jc w:val="right"/>
            </w:pPr>
            <w:r>
              <w:t xml:space="preserve">0.1680</w:t>
            </w:r>
          </w:p>
        </w:tc>
        <w:tc>
          <w:tcPr/>
          <w:p>
            <w:pPr>
              <w:pStyle w:val="Compact"/>
              <w:jc w:val="right"/>
            </w:pPr>
            <w:r>
              <w:t xml:space="preserve">0.2800</w:t>
            </w:r>
          </w:p>
        </w:tc>
        <w:tc>
          <w:tcPr/>
          <w:p>
            <w:pPr>
              <w:pStyle w:val="Compact"/>
              <w:jc w:val="right"/>
            </w:pPr>
            <w:r>
              <w:t xml:space="preserve">0.165</w:t>
            </w:r>
          </w:p>
        </w:tc>
      </w:tr>
      <w:tr>
        <w:tc>
          <w:tcPr/>
          <w:p>
            <w:pPr>
              <w:pStyle w:val="Compact"/>
              <w:jc w:val="left"/>
            </w:pPr>
            <w:r>
              <w:t xml:space="preserve">Isolation Forest</w:t>
            </w:r>
          </w:p>
        </w:tc>
        <w:tc>
          <w:tcPr/>
          <w:p>
            <w:pPr>
              <w:pStyle w:val="Compact"/>
              <w:jc w:val="right"/>
            </w:pPr>
            <w:r>
              <w:t xml:space="preserve">0.7403</w:t>
            </w:r>
          </w:p>
        </w:tc>
        <w:tc>
          <w:tcPr/>
          <w:p>
            <w:pPr>
              <w:pStyle w:val="Compact"/>
              <w:jc w:val="right"/>
            </w:pPr>
            <w:r>
              <w:t xml:space="preserve">0.6840</w:t>
            </w:r>
          </w:p>
        </w:tc>
        <w:tc>
          <w:tcPr/>
          <w:p>
            <w:pPr>
              <w:pStyle w:val="Compact"/>
              <w:jc w:val="right"/>
            </w:pPr>
            <w:r>
              <w:t xml:space="preserve">0.7817</w:t>
            </w:r>
          </w:p>
        </w:tc>
        <w:tc>
          <w:tcPr/>
          <w:p>
            <w:pPr>
              <w:pStyle w:val="Compact"/>
              <w:jc w:val="right"/>
            </w:pPr>
            <w:r>
              <w:t xml:space="preserve">0.1563</w:t>
            </w:r>
          </w:p>
        </w:tc>
        <w:tc>
          <w:tcPr/>
          <w:p>
            <w:pPr>
              <w:pStyle w:val="Compact"/>
              <w:jc w:val="right"/>
            </w:pPr>
            <w:r>
              <w:t xml:space="preserve">0.2606</w:t>
            </w:r>
          </w:p>
        </w:tc>
        <w:tc>
          <w:tcPr/>
          <w:p>
            <w:pPr>
              <w:pStyle w:val="Compact"/>
              <w:jc w:val="right"/>
            </w:pPr>
            <w:r>
              <w:t xml:space="preserve">0.321</w:t>
            </w:r>
          </w:p>
        </w:tc>
      </w:tr>
      <w:tr>
        <w:tc>
          <w:tcPr/>
          <w:p>
            <w:pPr>
              <w:pStyle w:val="Compact"/>
              <w:jc w:val="left"/>
            </w:pPr>
            <w:r>
              <w:t xml:space="preserve">Robust deviation</w:t>
            </w:r>
          </w:p>
        </w:tc>
        <w:tc>
          <w:tcPr/>
          <w:p>
            <w:pPr>
              <w:pStyle w:val="Compact"/>
              <w:jc w:val="right"/>
            </w:pPr>
            <w:r>
              <w:t xml:space="preserve">0.5771</w:t>
            </w:r>
          </w:p>
        </w:tc>
        <w:tc>
          <w:tcPr/>
          <w:p>
            <w:pPr>
              <w:pStyle w:val="Compact"/>
              <w:jc w:val="right"/>
            </w:pPr>
            <w:r>
              <w:t xml:space="preserve">0.5540</w:t>
            </w:r>
          </w:p>
        </w:tc>
        <w:tc>
          <w:tcPr/>
          <w:p>
            <w:pPr>
              <w:pStyle w:val="Compact"/>
              <w:jc w:val="right"/>
            </w:pPr>
            <w:r>
              <w:t xml:space="preserve">0.4117</w:t>
            </w:r>
          </w:p>
        </w:tc>
        <w:tc>
          <w:tcPr/>
          <w:p>
            <w:pPr>
              <w:pStyle w:val="Compact"/>
              <w:jc w:val="right"/>
            </w:pPr>
            <w:r>
              <w:t xml:space="preserve">0.0823</w:t>
            </w:r>
          </w:p>
        </w:tc>
        <w:tc>
          <w:tcPr/>
          <w:p>
            <w:pPr>
              <w:pStyle w:val="Compact"/>
              <w:jc w:val="right"/>
            </w:pPr>
            <w:r>
              <w:t xml:space="preserve">0.1372</w:t>
            </w:r>
          </w:p>
        </w:tc>
        <w:tc>
          <w:tcPr/>
          <w:p>
            <w:pPr>
              <w:pStyle w:val="Compact"/>
              <w:jc w:val="right"/>
            </w:pPr>
            <w:r>
              <w:t xml:space="preserve">0.006</w:t>
            </w:r>
          </w:p>
        </w:tc>
      </w:tr>
    </w:tbl>
    <w:bookmarkEnd w:id="34"/>
    <w:bookmarkStart w:id="35" w:name="fig:cicids-bars"/>
    <w:tbl>
      <w:tblPr>
        <w:tblStyle w:val="FigureTable"/>
        <w:tblW w:type="auto" w:w="0"/>
        <w:jc w:val="center"/>
        <w:tblLook w:firstRow="0" w:lastRow="0" w:firstColumn="0" w:lastColumn="0"/>
      </w:tblPr>
      <w:tblGrid/>
    </w:tbl>
    <w:p>
      <w:pPr>
        <w:pStyle w:val="ImageCaption"/>
      </w:pPr>
      <w:r>
        <w:t xml:space="preserve">PR-AUC and precision at a 10% alert budget for each method on the</w:t>
      </w:r>
      <w:r>
        <w:t xml:space="preserve"> </w:t>
      </w:r>
      <w:r>
        <w:t xml:space="preserve">CIC-IDS2017 Friday DDoS experiment (same run as Table </w:t>
      </w:r>
      <w:hyperlink w:anchor="tab:cicids">
        <w:r>
          <w:rPr>
            <w:rStyle w:val="Hyperlink"/>
          </w:rPr>
          <w:t xml:space="preserve">2</w:t>
        </w:r>
      </w:hyperlink>
      <w:r>
        <w:t xml:space="preserve">). Local</w:t>
      </w:r>
      <w:r>
        <w:t xml:space="preserve"> </w:t>
      </w:r>
      <w:r>
        <w:t xml:space="preserve">Outlier Factor dominates on both metrics; the PhiGraph relational score ranks</w:t>
      </w:r>
      <w:r>
        <w:t xml:space="preserve"> </w:t>
      </w:r>
      <w:r>
        <w:t xml:space="preserve">second, ahead of Isolation Forest and robust deviation.</w:t>
      </w:r>
    </w:p>
    <w:bookmarkEnd w:id="35"/>
    <w:p>
      <w:pPr>
        <w:pStyle w:val="BodyText"/>
      </w:pPr>
      <w:r>
        <w:t xml:space="preserve">LOF is clearly strongest on this experiment. PhiGraph is second by PR-AUC and</w:t>
      </w:r>
      <w:r>
        <w:t xml:space="preserve"> </w:t>
      </w:r>
      <w:r>
        <w:t xml:space="preserve">precision at budget, but its ROC-AUC is slightly below Isolation Forest.</w:t>
      </w:r>
      <w:r>
        <w:t xml:space="preserve"> </w:t>
      </w:r>
      <w:r>
        <w:t xml:space="preserve">This single fixed experiment establishes only that the implementation produces</w:t>
      </w:r>
      <w:r>
        <w:t xml:space="preserve"> </w:t>
      </w:r>
      <w:r>
        <w:t xml:space="preserve">a non-degenerate ranking under the reported protocol. It does not support a</w:t>
      </w:r>
      <w:r>
        <w:t xml:space="preserve"> </w:t>
      </w:r>
      <w:r>
        <w:t xml:space="preserve">claim of general or state-of-the-art superiority.</w:t>
      </w:r>
    </w:p>
    <w:bookmarkEnd w:id="36"/>
    <w:bookmarkEnd w:id="37"/>
    <w:bookmarkStart w:id="43" w:name="threats-to-validity-and-limitations"/>
    <w:p>
      <w:pPr>
        <w:pStyle w:val="Heading1"/>
      </w:pPr>
      <w:r>
        <w:t xml:space="preserve">Threats to Validity and Limitations</w:t>
      </w:r>
    </w:p>
    <w:bookmarkStart w:id="38" w:name="dataset-validity."/>
    <w:p>
      <w:pPr>
        <w:pStyle w:val="Heading4"/>
      </w:pPr>
      <w:r>
        <w:t xml:space="preserve">Dataset validity.</w:t>
      </w:r>
    </w:p>
    <w:p>
      <w:pPr>
        <w:pStyle w:val="FirstParagraph"/>
      </w:pPr>
      <w:r>
        <w:t xml:space="preserve">CIC-IDS2017 has documented problems in flow construction, feature generation,</w:t>
      </w:r>
      <w:r>
        <w:t xml:space="preserve"> </w:t>
      </w:r>
      <w:r>
        <w:t xml:space="preserve">and labels</w:t>
      </w:r>
      <w:r>
        <w:t xml:space="preserve"> </w:t>
      </w:r>
      <w:r>
        <w:t xml:space="preserve">(Liu et al. 2022; Lanvin et al. 2022)</w:t>
      </w:r>
      <w:r>
        <w:t xml:space="preserve">. Results may change on</w:t>
      </w:r>
      <w:r>
        <w:t xml:space="preserve"> </w:t>
      </w:r>
      <w:r>
        <w:t xml:space="preserve">corrected data. The machine-learning CSV also omits source and destination IP</w:t>
      </w:r>
      <w:r>
        <w:t xml:space="preserve"> </w:t>
      </w:r>
      <w:r>
        <w:t xml:space="preserve">addresses, timestamps, users, devices, and processes. The evaluated graph is</w:t>
      </w:r>
      <w:r>
        <w:t xml:space="preserve"> </w:t>
      </w:r>
      <w:r>
        <w:t xml:space="preserve">therefore a feature-similarity graph rather than the heterogeneous operational</w:t>
      </w:r>
      <w:r>
        <w:t xml:space="preserve"> </w:t>
      </w:r>
      <w:r>
        <w:t xml:space="preserve">graph for which PhiGraph is designed.</w:t>
      </w:r>
    </w:p>
    <w:bookmarkEnd w:id="38"/>
    <w:bookmarkStart w:id="39" w:name="experimental-validity."/>
    <w:p>
      <w:pPr>
        <w:pStyle w:val="Heading4"/>
      </w:pPr>
      <w:r>
        <w:t xml:space="preserve">Experimental validity.</w:t>
      </w:r>
    </w:p>
    <w:p>
      <w:pPr>
        <w:pStyle w:val="FirstParagraph"/>
      </w:pPr>
      <w:r>
        <w:t xml:space="preserve">The external result uses one file, one attack family, one seed, and one alert</w:t>
      </w:r>
      <w:r>
        <w:t xml:space="preserve"> </w:t>
      </w:r>
      <w:r>
        <w:t xml:space="preserve">budget. It reports no uncertainty intervals, ablation confidence intervals, or</w:t>
      </w:r>
      <w:r>
        <w:t xml:space="preserve"> </w:t>
      </w:r>
      <w:r>
        <w:t xml:space="preserve">prospective evaluation. The benchmark is balanced and does not reproduce a</w:t>
      </w:r>
      <w:r>
        <w:t xml:space="preserve"> </w:t>
      </w:r>
      <w:r>
        <w:t xml:space="preserve">production base rate. The PhiGraph score is batch-transductive because its</w:t>
      </w:r>
      <w:r>
        <w:t xml:space="preserve"> </w:t>
      </w:r>
      <w:r>
        <w:t xml:space="preserve">component percentile ranks are calculated over the complete evaluation batch;</w:t>
      </w:r>
      <w:r>
        <w:t xml:space="preserve"> </w:t>
      </w:r>
      <w:r>
        <w:t xml:space="preserve">scores can therefore change with batch composition and are not calibrated</w:t>
      </w:r>
      <w:r>
        <w:t xml:space="preserve"> </w:t>
      </w:r>
      <w:r>
        <w:t xml:space="preserve">online anomaly scores. Additional chronological splits, repeated seeds,</w:t>
      </w:r>
      <w:r>
        <w:t xml:space="preserve"> </w:t>
      </w:r>
      <w:r>
        <w:t xml:space="preserve">corrected datasets, heterogeneous event sources, and cost-sensitive metrics</w:t>
      </w:r>
      <w:r>
        <w:t xml:space="preserve"> </w:t>
      </w:r>
      <w:r>
        <w:t xml:space="preserve">are required.</w:t>
      </w:r>
    </w:p>
    <w:bookmarkEnd w:id="39"/>
    <w:bookmarkStart w:id="40" w:name="software-validity."/>
    <w:p>
      <w:pPr>
        <w:pStyle w:val="Heading4"/>
      </w:pPr>
      <w:r>
        <w:t xml:space="preserve">Software validity.</w:t>
      </w:r>
    </w:p>
    <w:p>
      <w:pPr>
        <w:pStyle w:val="FirstParagraph"/>
      </w:pPr>
      <w:r>
        <w:t xml:space="preserve">Automated tests can encode incorrect assumptions and do not substitute for</w:t>
      </w:r>
      <w:r>
        <w:t xml:space="preserve"> </w:t>
      </w:r>
      <w:r>
        <w:t xml:space="preserve">penetration testing, formal verification, independent replication, or</w:t>
      </w:r>
      <w:r>
        <w:t xml:space="preserve"> </w:t>
      </w:r>
      <w:r>
        <w:t xml:space="preserve">operational incident analysis. The ledger’s hash chain detects accidental or</w:t>
      </w:r>
      <w:r>
        <w:t xml:space="preserve"> </w:t>
      </w:r>
      <w:r>
        <w:t xml:space="preserve">unauthorized changes only under an appropriate trust and key-management model.</w:t>
      </w:r>
      <w:r>
        <w:t xml:space="preserve"> </w:t>
      </w:r>
      <w:r>
        <w:t xml:space="preserve">JSON and SQLite are evaluation backends; production use requires hardened</w:t>
      </w:r>
      <w:r>
        <w:t xml:space="preserve"> </w:t>
      </w:r>
      <w:r>
        <w:t xml:space="preserve">storage, secrets management, authorization, monitoring, and backup procedures.</w:t>
      </w:r>
    </w:p>
    <w:bookmarkEnd w:id="40"/>
    <w:bookmarkStart w:id="41" w:name="hav-validity."/>
    <w:p>
      <w:pPr>
        <w:pStyle w:val="Heading4"/>
      </w:pPr>
      <w:r>
        <w:t xml:space="preserve">HAV validity.</w:t>
      </w:r>
    </w:p>
    <w:p>
      <w:pPr>
        <w:pStyle w:val="FirstParagraph"/>
      </w:pPr>
      <w:r>
        <w:t xml:space="preserve">HAV’s claim extractor is pattern- and rule-based, not a trained language or</w:t>
      </w:r>
      <w:r>
        <w:t xml:space="preserve"> </w:t>
      </w:r>
      <w:r>
        <w:t xml:space="preserve">entailment model; its structured extractor recognizes a fixed vocabulary of</w:t>
      </w:r>
      <w:r>
        <w:t xml:space="preserve"> </w:t>
      </w:r>
      <w:r>
        <w:t xml:space="preserve">repository-status phrasing in English and Spanish, and its factual extractor</w:t>
      </w:r>
      <w:r>
        <w:t xml:space="preserve"> </w:t>
      </w:r>
      <w:r>
        <w:t xml:space="preserve">flags generic percentage, date, quantity, and attribution patterns without</w:t>
      </w:r>
      <w:r>
        <w:t xml:space="preserve"> </w:t>
      </w:r>
      <w:r>
        <w:t xml:space="preserve">grounding them. Recall and precision on naturally occurring agent output are</w:t>
      </w:r>
      <w:r>
        <w:t xml:space="preserve"> </w:t>
      </w:r>
      <w:r>
        <w:t xml:space="preserve">therefore unmeasured, and the three scenarios in Section </w:t>
      </w:r>
      <w:hyperlink w:anchor="sec:hav-scenarios">
        <w:r>
          <w:rPr>
            <w:rStyle w:val="Hyperlink"/>
          </w:rPr>
          <w:t xml:space="preserve">5.3</w:t>
        </w:r>
      </w:hyperlink>
      <w:r>
        <w:t xml:space="preserve"> </w:t>
      </w:r>
      <w:r>
        <w:t xml:space="preserve">are illustrative confirmations of policy logic, not a benchmark. Verification only compares</w:t>
      </w:r>
      <w:r>
        <w:t xml:space="preserve"> </w:t>
      </w:r>
      <w:r>
        <w:t xml:space="preserve">extracted claims to caller-supplied evidence; HAV does not independently</w:t>
      </w:r>
      <w:r>
        <w:t xml:space="preserve"> </w:t>
      </w:r>
      <w:r>
        <w:t xml:space="preserve">retrieve or authenticate that evidence, so an incorrect or manipulated</w:t>
      </w:r>
      <w:r>
        <w:t xml:space="preserve"> </w:t>
      </w:r>
      <w:r>
        <w:t xml:space="preserve">authoritative state can still produce an incorrect verdict. Multi-output</w:t>
      </w:r>
      <w:r>
        <w:t xml:space="preserve"> </w:t>
      </w:r>
      <w:r>
        <w:t xml:space="preserve">consistency checking is a lexical overlap heuristic and is explicitly</w:t>
      </w:r>
      <w:r>
        <w:t xml:space="preserve"> </w:t>
      </w:r>
      <w:r>
        <w:t xml:space="preserve">documented as an auxiliary signal rather than proof of factual agreement.</w:t>
      </w:r>
    </w:p>
    <w:bookmarkEnd w:id="41"/>
    <w:bookmarkStart w:id="42" w:name="causal-and-governance-claims."/>
    <w:p>
      <w:pPr>
        <w:pStyle w:val="Heading4"/>
      </w:pPr>
      <w:r>
        <w:t xml:space="preserve">Causal and governance claims.</w:t>
      </w:r>
    </w:p>
    <w:p>
      <w:pPr>
        <w:pStyle w:val="FirstParagraph"/>
      </w:pPr>
      <w:r>
        <w:t xml:space="preserve">Graph connectivity, spectral structure, and anomaly scores do not identify</w:t>
      </w:r>
      <w:r>
        <w:t xml:space="preserve"> </w:t>
      </w:r>
      <w:r>
        <w:t xml:space="preserve">causal effects without assumptions and suitable interventions. PhiGraph records</w:t>
      </w:r>
      <w:r>
        <w:t xml:space="preserve"> </w:t>
      </w:r>
      <w:r>
        <w:t xml:space="preserve">candidate causal pathways but does not prove causality from observational data.</w:t>
      </w:r>
      <w:r>
        <w:t xml:space="preserve"> </w:t>
      </w:r>
      <w:r>
        <w:t xml:space="preserve">Likewise, a recorded approval may still be mistaken or malicious. The platform</w:t>
      </w:r>
      <w:r>
        <w:t xml:space="preserve"> </w:t>
      </w:r>
      <w:r>
        <w:t xml:space="preserve">improves inspectability and enforcement points; it does not guarantee ethical,</w:t>
      </w:r>
      <w:r>
        <w:t xml:space="preserve"> </w:t>
      </w:r>
      <w:r>
        <w:t xml:space="preserve">legal, or correct outcomes.</w:t>
      </w:r>
    </w:p>
    <w:bookmarkEnd w:id="42"/>
    <w:bookmarkEnd w:id="43"/>
    <w:bookmarkStart w:id="46" w:name="reproducibility-and-availability"/>
    <w:p>
      <w:pPr>
        <w:pStyle w:val="Heading1"/>
      </w:pPr>
      <w:r>
        <w:t xml:space="preserve">Reproducibility and Availability</w:t>
      </w:r>
    </w:p>
    <w:p>
      <w:pPr>
        <w:pStyle w:val="FirstParagraph"/>
      </w:pPr>
      <w:r>
        <w:t xml:space="preserve">PhiGraph Core 4.0.0 is implemented in Python and distributed under the MIT</w:t>
      </w:r>
      <w:r>
        <w:t xml:space="preserve"> </w:t>
      </w:r>
      <w:r>
        <w:t xml:space="preserve">License. Its development repository is maintained at</w:t>
      </w:r>
      <w:r>
        <w:t xml:space="preserve"> </w:t>
      </w:r>
      <w:hyperlink r:id="rId44">
        <w:r>
          <w:rPr>
            <w:rStyle w:val="Hyperlink"/>
          </w:rPr>
          <w:t xml:space="preserve">https://github.com/wcalmels/phigraph</w:t>
        </w:r>
      </w:hyperlink>
      <w:r>
        <w:t xml:space="preserve">. This paper is archived on Zenodo at</w:t>
      </w:r>
      <w:r>
        <w:t xml:space="preserve"> </w:t>
      </w:r>
      <w:hyperlink r:id="rId45">
        <w:r>
          <w:rPr>
            <w:rStyle w:val="Hyperlink"/>
          </w:rPr>
          <w:t xml:space="preserve">https://doi.org/10.5281/zenodo.21689514</w:t>
        </w:r>
      </w:hyperlink>
      <w:r>
        <w:t xml:space="preserve">. The paper source and references are</w:t>
      </w:r>
      <w:r>
        <w:t xml:space="preserve"> </w:t>
      </w:r>
      <w:r>
        <w:t xml:space="preserve">licensed under CC BY 4.0.</w:t>
      </w:r>
    </w:p>
    <w:p>
      <w:pPr>
        <w:pStyle w:val="BodyText"/>
      </w:pPr>
      <w:r>
        <w:t xml:space="preserve">The software test suite can be reproduced with:</w:t>
      </w:r>
    </w:p>
    <w:p>
      <w:pPr>
        <w:pStyle w:val="SourceCode"/>
      </w:pPr>
      <w:r>
        <w:rPr>
          <w:rStyle w:val="VerbatimChar"/>
        </w:rPr>
        <w:t xml:space="preserve">python -m venv .venv</w:t>
      </w:r>
      <w:r>
        <w:br/>
      </w:r>
      <w:r>
        <w:rPr>
          <w:rStyle w:val="VerbatimChar"/>
        </w:rPr>
        <w:t xml:space="preserve">pip install -e ".[api,benchmark,dev,auth,app]"</w:t>
      </w:r>
      <w:r>
        <w:br/>
      </w:r>
      <w:r>
        <w:rPr>
          <w:rStyle w:val="VerbatimChar"/>
        </w:rPr>
        <w:t xml:space="preserve">pytest</w:t>
      </w:r>
    </w:p>
    <w:p>
      <w:pPr>
        <w:pStyle w:val="FirstParagraph"/>
      </w:pPr>
      <w:r>
        <w:t xml:space="preserve">The HAV-specific tests can be run in isolation with:</w:t>
      </w:r>
    </w:p>
    <w:p>
      <w:pPr>
        <w:pStyle w:val="SourceCode"/>
      </w:pPr>
      <w:r>
        <w:rPr>
          <w:rStyle w:val="VerbatimChar"/>
        </w:rPr>
        <w:t xml:space="preserve">pytest tests/test_hav_core_integration.py tests/test_hav_api.py \</w:t>
      </w:r>
      <w:r>
        <w:br/>
      </w:r>
      <w:r>
        <w:rPr>
          <w:rStyle w:val="VerbatimChar"/>
        </w:rPr>
        <w:t xml:space="preserve">       tests/test_hav_v02_connectors.py \</w:t>
      </w:r>
      <w:r>
        <w:br/>
      </w:r>
      <w:r>
        <w:rPr>
          <w:rStyle w:val="VerbatimChar"/>
        </w:rPr>
        <w:t xml:space="preserve">       tests/test_hav_v02_factual_consistency.py \</w:t>
      </w:r>
      <w:r>
        <w:br/>
      </w:r>
      <w:r>
        <w:rPr>
          <w:rStyle w:val="VerbatimChar"/>
        </w:rPr>
        <w:t xml:space="preserve">       tests/test_hav_v02_benchmark.py \</w:t>
      </w:r>
      <w:r>
        <w:br/>
      </w:r>
      <w:r>
        <w:rPr>
          <w:rStyle w:val="VerbatimChar"/>
        </w:rPr>
        <w:t xml:space="preserve">       tests/test_hav_v02_api_security.py</w:t>
      </w:r>
    </w:p>
    <w:p>
      <w:pPr>
        <w:pStyle w:val="FirstParagraph"/>
      </w:pPr>
      <w:r>
        <w:t xml:space="preserve">The CIC-IDS2017 experiment requires the Friday DDoS CSV and is run with:</w:t>
      </w:r>
    </w:p>
    <w:p>
      <w:pPr>
        <w:pStyle w:val="SourceCode"/>
      </w:pPr>
      <w:r>
        <w:rPr>
          <w:rStyle w:val="VerbatimChar"/>
        </w:rPr>
        <w:t xml:space="preserve">python scripts/validate_cicids2017.py /path/to/Friday...DDos.csv</w:t>
      </w:r>
    </w:p>
    <w:p>
      <w:pPr>
        <w:pStyle w:val="FirstParagraph"/>
      </w:pPr>
      <w:r>
        <w:t xml:space="preserve">The committed validation artifact records metrics and predictions but does not</w:t>
      </w:r>
      <w:r>
        <w:t xml:space="preserve"> </w:t>
      </w:r>
      <w:r>
        <w:t xml:space="preserve">record the source-dataset checksum, exact dependency versions, hardware,</w:t>
      </w:r>
      <w:r>
        <w:t xml:space="preserve"> </w:t>
      </w:r>
      <w:r>
        <w:t xml:space="preserve">operating system, or Git revision. It is therefore an auditable result artifact,</w:t>
      </w:r>
      <w:r>
        <w:t xml:space="preserve"> </w:t>
      </w:r>
      <w:r>
        <w:t xml:space="preserve">not yet an exact reproducibility package. A final archive should preserve the</w:t>
      </w:r>
      <w:r>
        <w:t xml:space="preserve"> </w:t>
      </w:r>
      <w:r>
        <w:t xml:space="preserve">dataset provenance and checksum, Python and dependency versions, seed,</w:t>
      </w:r>
      <w:r>
        <w:t xml:space="preserve"> </w:t>
      </w:r>
      <w:r>
        <w:t xml:space="preserve">configuration, hardware description, and Git revision.</w:t>
      </w:r>
      <w:r>
        <w:t xml:space="preserve"> </w:t>
      </w:r>
      <w:r>
        <w:t xml:space="preserve">The archival record is available at</w:t>
      </w:r>
      <w:r>
        <w:t xml:space="preserve"> </w:t>
      </w:r>
      <w:hyperlink r:id="rId45">
        <w:r>
          <w:rPr>
            <w:rStyle w:val="Hyperlink"/>
          </w:rPr>
          <w:t xml:space="preserve">https://doi.org/10.5281/zenodo.21689514</w:t>
        </w:r>
      </w:hyperlink>
      <w:r>
        <w:t xml:space="preserve">.</w:t>
      </w:r>
    </w:p>
    <w:bookmarkEnd w:id="46"/>
    <w:bookmarkStart w:id="47" w:name="ethical-and-operational-considerations"/>
    <w:p>
      <w:pPr>
        <w:pStyle w:val="Heading1"/>
      </w:pPr>
      <w:r>
        <w:t xml:space="preserve">Ethical and Operational Considerations</w:t>
      </w:r>
    </w:p>
    <w:p>
      <w:pPr>
        <w:pStyle w:val="FirstParagraph"/>
      </w:pPr>
      <w:r>
        <w:t xml:space="preserve">PhiGraph can store sensitive evidence, identity metadata, and operational</w:t>
      </w:r>
      <w:r>
        <w:t xml:space="preserve"> </w:t>
      </w:r>
      <w:r>
        <w:t xml:space="preserve">proposals. Deployers must minimize collection, define retention periods,</w:t>
      </w:r>
      <w:r>
        <w:t xml:space="preserve"> </w:t>
      </w:r>
      <w:r>
        <w:t xml:space="preserve">encrypt transport and storage, separate tenant access, protect signing keys,</w:t>
      </w:r>
      <w:r>
        <w:t xml:space="preserve"> </w:t>
      </w:r>
      <w:r>
        <w:t xml:space="preserve">and audit privileged operations. Security telemetry and network datasets may</w:t>
      </w:r>
      <w:r>
        <w:t xml:space="preserve"> </w:t>
      </w:r>
      <w:r>
        <w:t xml:space="preserve">contain personal or confidential information and require an appropriate legal</w:t>
      </w:r>
      <w:r>
        <w:t xml:space="preserve"> </w:t>
      </w:r>
      <w:r>
        <w:t xml:space="preserve">basis. The system should be evaluated in replay or shadow mode before any</w:t>
      </w:r>
      <w:r>
        <w:t xml:space="preserve"> </w:t>
      </w:r>
      <w:r>
        <w:t xml:space="preserve">higher-authority integration. Human approval should remain mandatory where</w:t>
      </w:r>
      <w:r>
        <w:t xml:space="preserve"> </w:t>
      </w:r>
      <w:r>
        <w:t xml:space="preserve">consequences are difficult to reverse or affect safety, rights, employment,</w:t>
      </w:r>
      <w:r>
        <w:t xml:space="preserve"> </w:t>
      </w:r>
      <w:r>
        <w:t xml:space="preserve">finance, health, or critical infrastructure.</w:t>
      </w:r>
    </w:p>
    <w:bookmarkEnd w:id="47"/>
    <w:bookmarkStart w:id="48" w:name="conclusion"/>
    <w:p>
      <w:pPr>
        <w:pStyle w:val="Heading1"/>
      </w:pPr>
      <w:r>
        <w:t xml:space="preserve">Conclusion</w:t>
      </w:r>
    </w:p>
    <w:p>
      <w:pPr>
        <w:pStyle w:val="FirstParagraph"/>
      </w:pPr>
      <w:r>
        <w:t xml:space="preserve">PhiGraph makes a specific architectural choice: intelligence does not imply</w:t>
      </w:r>
      <w:r>
        <w:t xml:space="preserve"> </w:t>
      </w:r>
      <w:r>
        <w:t xml:space="preserve">authority. Claims must remain linked to evidence and verification; actions must</w:t>
      </w:r>
      <w:r>
        <w:t xml:space="preserve"> </w:t>
      </w:r>
      <w:r>
        <w:t xml:space="preserve">remain subject to policy and explicit execution boundaries; outcomes must</w:t>
      </w:r>
      <w:r>
        <w:t xml:space="preserve"> </w:t>
      </w:r>
      <w:r>
        <w:t xml:space="preserve">remain auditable. Version 4.0.0 demonstrates this design through a typed</w:t>
      </w:r>
      <w:r>
        <w:t xml:space="preserve"> </w:t>
      </w:r>
      <w:r>
        <w:t xml:space="preserve">protocol, tamper-evident ledger, policy-gated runtime, scope-tagged records, and</w:t>
      </w:r>
      <w:r>
        <w:t xml:space="preserve"> </w:t>
      </w:r>
      <w:r>
        <w:t xml:space="preserve">an automated test suite. HAV v0.2 extends the same design to a concrete</w:t>
      </w:r>
      <w:r>
        <w:t xml:space="preserve"> </w:t>
      </w:r>
      <w:r>
        <w:t xml:space="preserve">instance of the problem: it treats agent-generated status claims as unverified</w:t>
      </w:r>
      <w:r>
        <w:t xml:space="preserve"> </w:t>
      </w:r>
      <w:r>
        <w:t xml:space="preserve">until checked against an explicitly supplied authoritative state, and it fails</w:t>
      </w:r>
      <w:r>
        <w:t xml:space="preserve"> </w:t>
      </w:r>
      <w:r>
        <w:t xml:space="preserve">closed, rather than open, when that state is unavailable. The external</w:t>
      </w:r>
      <w:r>
        <w:t xml:space="preserve"> </w:t>
      </w:r>
      <w:r>
        <w:t xml:space="preserve">CIC-IDS2017 experiment shows a functional relational anomaly score but also</w:t>
      </w:r>
      <w:r>
        <w:t xml:space="preserve"> </w:t>
      </w:r>
      <w:r>
        <w:t xml:space="preserve">illustrates why bounded interpretation is necessary: a conventional LOF</w:t>
      </w:r>
      <w:r>
        <w:t xml:space="preserve"> </w:t>
      </w:r>
      <w:r>
        <w:t xml:space="preserve">baseline performs best, and the dataset cannot exercise PhiGraph’s full</w:t>
      </w:r>
      <w:r>
        <w:t xml:space="preserve"> </w:t>
      </w:r>
      <w:r>
        <w:t xml:space="preserve">heterogeneous graph model. Future work should prioritize independent</w:t>
      </w:r>
      <w:r>
        <w:t xml:space="preserve"> </w:t>
      </w:r>
      <w:r>
        <w:t xml:space="preserve">replication, corrected and chronological security datasets, multi-source</w:t>
      </w:r>
      <w:r>
        <w:t xml:space="preserve"> </w:t>
      </w:r>
      <w:r>
        <w:t xml:space="preserve">operational graphs, a trained or retrieval-based claim extractor evaluated</w:t>
      </w:r>
      <w:r>
        <w:t xml:space="preserve"> </w:t>
      </w:r>
      <w:r>
        <w:t xml:space="preserve">against a labeled corpus, policy-adversarial testing, cryptographically</w:t>
      </w:r>
      <w:r>
        <w:t xml:space="preserve"> </w:t>
      </w:r>
      <w:r>
        <w:t xml:space="preserve">anchored audit storage, and prospective shadow deployments.</w:t>
      </w:r>
    </w:p>
    <w:bookmarkEnd w:id="48"/>
    <w:bookmarkStart w:id="49" w:name="author-contributions"/>
    <w:p>
      <w:pPr>
        <w:pStyle w:val="Heading1"/>
      </w:pPr>
      <w:r>
        <w:t xml:space="preserve">Author Contributions</w:t>
      </w:r>
    </w:p>
    <w:p>
      <w:pPr>
        <w:pStyle w:val="FirstParagraph"/>
      </w:pPr>
      <w:r>
        <w:t xml:space="preserve">Walter Calmels von Dem Knesebeck conceived the system, implemented the</w:t>
      </w:r>
      <w:r>
        <w:t xml:space="preserve"> </w:t>
      </w:r>
      <w:r>
        <w:t xml:space="preserve">software, designed the evaluation, analyzed the results, and wrote the</w:t>
      </w:r>
      <w:r>
        <w:t xml:space="preserve"> </w:t>
      </w:r>
      <w:r>
        <w:t xml:space="preserve">manuscript.</w:t>
      </w:r>
    </w:p>
    <w:bookmarkEnd w:id="49"/>
    <w:bookmarkStart w:id="50" w:name="conflict-of-interest"/>
    <w:p>
      <w:pPr>
        <w:pStyle w:val="Heading1"/>
      </w:pPr>
      <w:r>
        <w:t xml:space="preserve">Conflict of Interest</w:t>
      </w:r>
    </w:p>
    <w:p>
      <w:pPr>
        <w:pStyle w:val="FirstParagraph"/>
      </w:pPr>
      <w:r>
        <w:t xml:space="preserve">The author is affiliated with TUCH Systems, the organization developing</w:t>
      </w:r>
      <w:r>
        <w:t xml:space="preserve"> </w:t>
      </w:r>
      <w:r>
        <w:t xml:space="preserve">PhiGraph. This relationship may create a commercial interest in the system.</w:t>
      </w:r>
      <w:r>
        <w:t xml:space="preserve"> </w:t>
      </w:r>
      <w:r>
        <w:t xml:space="preserve">The evaluation and limitations are reported to enable independent scrutiny.</w:t>
      </w:r>
    </w:p>
    <w:bookmarkEnd w:id="50"/>
    <w:bookmarkStart w:id="76" w:name="license"/>
    <w:p>
      <w:pPr>
        <w:pStyle w:val="Heading1"/>
      </w:pPr>
      <w:r>
        <w:t xml:space="preserve">License</w:t>
      </w:r>
    </w:p>
    <w:p>
      <w:pPr>
        <w:pStyle w:val="FirstParagraph"/>
      </w:pPr>
      <w:r>
        <w:t xml:space="preserve">This paper is licensed under the Creative Commons Attribution 4.0</w:t>
      </w:r>
      <w:r>
        <w:t xml:space="preserve"> </w:t>
      </w:r>
      <w:r>
        <w:t xml:space="preserve">International License (CC BY 4.0).</w:t>
      </w:r>
    </w:p>
    <w:bookmarkStart w:id="75" w:name="refs"/>
    <w:bookmarkStart w:id="52" w:name="ref-battaglia2018relational"/>
    <w:p>
      <w:pPr>
        <w:pStyle w:val="Bibliography"/>
      </w:pPr>
      <w:r>
        <w:t xml:space="preserve">Battaglia, Peter W., Jessica B. Hamrick, Victor Bapst, et al.</w:t>
      </w:r>
      <w:r>
        <w:t xml:space="preserve"> 2018.</w:t>
      </w:r>
      <w:r>
        <w:t xml:space="preserve"> </w:t>
      </w:r>
      <w:r>
        <w:t xml:space="preserve">“Relational Inductive Biases, Deep Learning, and Graph Networks.”</w:t>
      </w:r>
      <w:r>
        <w:t xml:space="preserve"> </w:t>
      </w:r>
      <w:r>
        <w:rPr>
          <w:i/>
          <w:iCs/>
        </w:rPr>
        <w:t xml:space="preserve">arXiv Preprint arXiv:1806.01261</w:t>
      </w:r>
      <w:r>
        <w:t xml:space="preserve">, ahead of print.</w:t>
      </w:r>
      <w:r>
        <w:t xml:space="preserve"> </w:t>
      </w:r>
      <w:hyperlink r:id="rId51">
        <w:r>
          <w:rPr>
            <w:rStyle w:val="Hyperlink"/>
          </w:rPr>
          <w:t xml:space="preserve">https://doi.org/10.48550/arXiv.1806.01261</w:t>
        </w:r>
      </w:hyperlink>
      <w:r>
        <w:t xml:space="preserve">.</w:t>
      </w:r>
    </w:p>
    <w:bookmarkEnd w:id="52"/>
    <w:bookmarkStart w:id="54" w:name="ref-gebru2021datasheets"/>
    <w:p>
      <w:pPr>
        <w:pStyle w:val="Bibliography"/>
      </w:pPr>
      <w:r>
        <w:t xml:space="preserve">Gebru, Timnit, Jamie Morgenstern, Briana Vecchione, et al. 2021.</w:t>
      </w:r>
      <w:r>
        <w:t xml:space="preserve"> </w:t>
      </w:r>
      <w:r>
        <w:t xml:space="preserve">“Datasheets for Datasets.”</w:t>
      </w:r>
      <w:r>
        <w:t xml:space="preserve"> </w:t>
      </w:r>
      <w:r>
        <w:rPr>
          <w:i/>
          <w:iCs/>
        </w:rPr>
        <w:t xml:space="preserve">Communications of the ACM</w:t>
      </w:r>
      <w:r>
        <w:t xml:space="preserve"> </w:t>
      </w:r>
      <w:r>
        <w:t xml:space="preserve">64 (12): 86–92.</w:t>
      </w:r>
      <w:r>
        <w:t xml:space="preserve"> </w:t>
      </w:r>
      <w:hyperlink r:id="rId53">
        <w:r>
          <w:rPr>
            <w:rStyle w:val="Hyperlink"/>
          </w:rPr>
          <w:t xml:space="preserve">https://doi.org/10.1145/3458723</w:t>
        </w:r>
      </w:hyperlink>
      <w:r>
        <w:t xml:space="preserve">.</w:t>
      </w:r>
    </w:p>
    <w:bookmarkEnd w:id="54"/>
    <w:bookmarkStart w:id="56" w:name="ref-ji2023hallucination"/>
    <w:p>
      <w:pPr>
        <w:pStyle w:val="Bibliography"/>
      </w:pPr>
      <w:r>
        <w:t xml:space="preserve">Ji, Ziwei, Nayeon Lee, Rita Frieske, et al. 2023.</w:t>
      </w:r>
      <w:r>
        <w:t xml:space="preserve"> </w:t>
      </w:r>
      <w:r>
        <w:t xml:space="preserve">“Survey of Hallucination in Natural Language Generation.”</w:t>
      </w:r>
      <w:r>
        <w:t xml:space="preserve"> </w:t>
      </w:r>
      <w:r>
        <w:rPr>
          <w:i/>
          <w:iCs/>
        </w:rPr>
        <w:t xml:space="preserve">ACM Computing Surveys</w:t>
      </w:r>
      <w:r>
        <w:t xml:space="preserve"> </w:t>
      </w:r>
      <w:r>
        <w:t xml:space="preserve">55 (12): 1–38.</w:t>
      </w:r>
      <w:r>
        <w:t xml:space="preserve"> </w:t>
      </w:r>
      <w:hyperlink r:id="rId55">
        <w:r>
          <w:rPr>
            <w:rStyle w:val="Hyperlink"/>
          </w:rPr>
          <w:t xml:space="preserve">https://doi.org/10.1145/3571730</w:t>
        </w:r>
      </w:hyperlink>
      <w:r>
        <w:t xml:space="preserve">.</w:t>
      </w:r>
    </w:p>
    <w:bookmarkEnd w:id="56"/>
    <w:bookmarkStart w:id="58" w:name="ref-lanvin2022errors"/>
    <w:p>
      <w:pPr>
        <w:pStyle w:val="Bibliography"/>
      </w:pPr>
      <w:r>
        <w:t xml:space="preserve">Lanvin, Maxime, Pierre-François Gimenez, Yufei Han, Frédéric Majorczyk, Ludovic Mé, and Éric Totel. 2022.</w:t>
      </w:r>
      <w:r>
        <w:t xml:space="preserve"> </w:t>
      </w:r>
      <w:r>
        <w:t xml:space="preserve">“Errors in the</w:t>
      </w:r>
      <w:r>
        <w:t xml:space="preserve"> </w:t>
      </w:r>
      <w:r>
        <w:t xml:space="preserve">CICIDS2017</w:t>
      </w:r>
      <w:r>
        <w:t xml:space="preserve"> </w:t>
      </w:r>
      <w:r>
        <w:t xml:space="preserve">Dataset and the Significant Differences in Detection Performances It Makes.”</w:t>
      </w:r>
      <w:r>
        <w:t xml:space="preserve"> </w:t>
      </w:r>
      <w:r>
        <w:rPr>
          <w:i/>
          <w:iCs/>
        </w:rPr>
        <w:t xml:space="preserve">Risks and Security of Internet and Systems</w:t>
      </w:r>
      <w:r>
        <w:t xml:space="preserve">, 18–33.</w:t>
      </w:r>
      <w:r>
        <w:t xml:space="preserve"> </w:t>
      </w:r>
      <w:hyperlink r:id="rId57">
        <w:r>
          <w:rPr>
            <w:rStyle w:val="Hyperlink"/>
          </w:rPr>
          <w:t xml:space="preserve">https://doi.org/10.1007/978-3-031-31108-6_2</w:t>
        </w:r>
      </w:hyperlink>
      <w:r>
        <w:t xml:space="preserve">.</w:t>
      </w:r>
    </w:p>
    <w:bookmarkEnd w:id="58"/>
    <w:bookmarkStart w:id="60" w:name="ref-lebo2013provo"/>
    <w:p>
      <w:pPr>
        <w:pStyle w:val="Bibliography"/>
      </w:pPr>
      <w:r>
        <w:t xml:space="preserve">Lebo, Timothy, Satya Sahoo, and Deborah McGuinness. 2013.</w:t>
      </w:r>
      <w:r>
        <w:t xml:space="preserve"> </w:t>
      </w:r>
      <w:r>
        <w:rPr>
          <w:i/>
          <w:iCs/>
        </w:rPr>
        <w:t xml:space="preserve">PROV-O</w:t>
      </w:r>
      <w:r>
        <w:rPr>
          <w:i/>
          <w:iCs/>
        </w:rPr>
        <w:t xml:space="preserve">: The</w:t>
      </w:r>
      <w:r>
        <w:rPr>
          <w:i/>
          <w:iCs/>
        </w:rPr>
        <w:t xml:space="preserve"> </w:t>
      </w:r>
      <w:r>
        <w:rPr>
          <w:i/>
          <w:iCs/>
        </w:rPr>
        <w:t xml:space="preserve">PROV</w:t>
      </w:r>
      <w:r>
        <w:rPr>
          <w:i/>
          <w:iCs/>
        </w:rPr>
        <w:t xml:space="preserve"> </w:t>
      </w:r>
      <w:r>
        <w:rPr>
          <w:i/>
          <w:iCs/>
        </w:rPr>
        <w:t xml:space="preserve">Ontology</w:t>
      </w:r>
      <w:r>
        <w:t xml:space="preserve">. {W3C} Recommendation. World Wide Web Consortium.</w:t>
      </w:r>
      <w:r>
        <w:t xml:space="preserve"> </w:t>
      </w:r>
      <w:hyperlink r:id="rId59">
        <w:r>
          <w:rPr>
            <w:rStyle w:val="Hyperlink"/>
          </w:rPr>
          <w:t xml:space="preserve">https://www.w3.org/TR/prov-o/</w:t>
        </w:r>
      </w:hyperlink>
      <w:r>
        <w:t xml:space="preserve">.</w:t>
      </w:r>
    </w:p>
    <w:bookmarkEnd w:id="60"/>
    <w:bookmarkStart w:id="62" w:name="ref-liu2022errors"/>
    <w:p>
      <w:pPr>
        <w:pStyle w:val="Bibliography"/>
      </w:pPr>
      <w:r>
        <w:t xml:space="preserve">Liu, Lisa, Gints Engelen, Timothy Lynar, Daryl Essam, and Wouter Joosen. 2022.</w:t>
      </w:r>
      <w:r>
        <w:t xml:space="preserve"> </w:t>
      </w:r>
      <w:r>
        <w:t xml:space="preserve">“Error Prevalence in</w:t>
      </w:r>
      <w:r>
        <w:t xml:space="preserve"> </w:t>
      </w:r>
      <w:r>
        <w:t xml:space="preserve">NIDS</w:t>
      </w:r>
      <w:r>
        <w:t xml:space="preserve"> </w:t>
      </w:r>
      <w:r>
        <w:t xml:space="preserve">Datasets: A Case Study on</w:t>
      </w:r>
      <w:r>
        <w:t xml:space="preserve"> </w:t>
      </w:r>
      <w:r>
        <w:t xml:space="preserve">CIC-IDS-2017</w:t>
      </w:r>
      <w:r>
        <w:t xml:space="preserve"> </w:t>
      </w:r>
      <w:r>
        <w:t xml:space="preserve">and</w:t>
      </w:r>
      <w:r>
        <w:t xml:space="preserve"> </w:t>
      </w:r>
      <w:r>
        <w:t xml:space="preserve">CSE-CIC-IDS-2018</w:t>
      </w:r>
      <w:r>
        <w:t xml:space="preserve">.”</w:t>
      </w:r>
      <w:r>
        <w:t xml:space="preserve"> </w:t>
      </w:r>
      <w:r>
        <w:rPr>
          <w:i/>
          <w:iCs/>
        </w:rPr>
        <w:t xml:space="preserve">2022 IEEE Conference on Communications and Network Security</w:t>
      </w:r>
      <w:r>
        <w:t xml:space="preserve">, 254–62.</w:t>
      </w:r>
      <w:r>
        <w:t xml:space="preserve"> </w:t>
      </w:r>
      <w:hyperlink r:id="rId61">
        <w:r>
          <w:rPr>
            <w:rStyle w:val="Hyperlink"/>
          </w:rPr>
          <w:t xml:space="preserve">https://doi.org/10.1109/CNS56114.2022.9947235</w:t>
        </w:r>
      </w:hyperlink>
      <w:r>
        <w:t xml:space="preserve">.</w:t>
      </w:r>
    </w:p>
    <w:bookmarkEnd w:id="62"/>
    <w:bookmarkStart w:id="64" w:name="ref-mitchell2019modelcards"/>
    <w:p>
      <w:pPr>
        <w:pStyle w:val="Bibliography"/>
      </w:pPr>
      <w:r>
        <w:t xml:space="preserve">Mitchell, Margaret, Simone Wu, Andrew Zaldivar, et al. 2019.</w:t>
      </w:r>
      <w:r>
        <w:t xml:space="preserve"> </w:t>
      </w:r>
      <w:r>
        <w:t xml:space="preserve">“Model Cards for Model Reporting.”</w:t>
      </w:r>
      <w:r>
        <w:t xml:space="preserve"> </w:t>
      </w:r>
      <w:r>
        <w:rPr>
          <w:i/>
          <w:iCs/>
        </w:rPr>
        <w:t xml:space="preserve">Proceedings of the Conference on Fairness, Accountability, and Transparency</w:t>
      </w:r>
      <w:r>
        <w:t xml:space="preserve">, 220–29.</w:t>
      </w:r>
      <w:r>
        <w:t xml:space="preserve"> </w:t>
      </w:r>
      <w:hyperlink r:id="rId63">
        <w:r>
          <w:rPr>
            <w:rStyle w:val="Hyperlink"/>
          </w:rPr>
          <w:t xml:space="preserve">https://doi.org/10.1145/3287560.3287596</w:t>
        </w:r>
      </w:hyperlink>
      <w:r>
        <w:t xml:space="preserve">.</w:t>
      </w:r>
    </w:p>
    <w:bookmarkEnd w:id="64"/>
    <w:bookmarkStart w:id="66" w:name="ref-owasp2025agentic"/>
    <w:p>
      <w:pPr>
        <w:pStyle w:val="Bibliography"/>
      </w:pPr>
      <w:r>
        <w:t xml:space="preserve">OWASP Agentic Security Initiative. 2025.</w:t>
      </w:r>
      <w:r>
        <w:t xml:space="preserve"> </w:t>
      </w:r>
      <w:r>
        <w:rPr>
          <w:i/>
          <w:iCs/>
        </w:rPr>
        <w:t xml:space="preserve">Agentic AI: Threats and Mitigations</w:t>
      </w:r>
      <w:r>
        <w:t xml:space="preserve">. OWASP Foundation.</w:t>
      </w:r>
      <w:r>
        <w:t xml:space="preserve"> </w:t>
      </w:r>
      <w:hyperlink r:id="rId65">
        <w:r>
          <w:rPr>
            <w:rStyle w:val="Hyperlink"/>
          </w:rPr>
          <w:t xml:space="preserve">https://genai.owasp.org/resource/agentic-ai-threats-and-mitigations/</w:t>
        </w:r>
      </w:hyperlink>
      <w:r>
        <w:t xml:space="preserve">.</w:t>
      </w:r>
    </w:p>
    <w:bookmarkEnd w:id="66"/>
    <w:bookmarkStart w:id="68" w:name="ref-sharafaldin2018cicids"/>
    <w:p>
      <w:pPr>
        <w:pStyle w:val="Bibliography"/>
      </w:pPr>
      <w:r>
        <w:t xml:space="preserve">Sharafaldin, Iman, Arash Habibi Lashkari, and Ali A. Ghorbani. 2018.</w:t>
      </w:r>
      <w:r>
        <w:t xml:space="preserve"> </w:t>
      </w:r>
      <w:r>
        <w:t xml:space="preserve">“Toward Generating a New Intrusion Detection Dataset and Intrusion Traffic Characterization.”</w:t>
      </w:r>
      <w:r>
        <w:t xml:space="preserve"> </w:t>
      </w:r>
      <w:r>
        <w:rPr>
          <w:i/>
          <w:iCs/>
        </w:rPr>
        <w:t xml:space="preserve">Proceedings of the 4th International Conference on Information Systems Security and Privacy</w:t>
      </w:r>
      <w:r>
        <w:t xml:space="preserve">, 108–16.</w:t>
      </w:r>
      <w:r>
        <w:t xml:space="preserve"> </w:t>
      </w:r>
      <w:hyperlink r:id="rId67">
        <w:r>
          <w:rPr>
            <w:rStyle w:val="Hyperlink"/>
          </w:rPr>
          <w:t xml:space="preserve">https://doi.org/10.5220/0006639801080116</w:t>
        </w:r>
      </w:hyperlink>
      <w:r>
        <w:t xml:space="preserve">.</w:t>
      </w:r>
    </w:p>
    <w:bookmarkEnd w:id="68"/>
    <w:bookmarkStart w:id="70" w:name="ref-nist2023airmf"/>
    <w:p>
      <w:pPr>
        <w:pStyle w:val="Bibliography"/>
      </w:pPr>
      <w:r>
        <w:t xml:space="preserve">Tabassi, Elham. 2023.</w:t>
      </w:r>
      <w:r>
        <w:t xml:space="preserve"> </w:t>
      </w:r>
      <w:r>
        <w:rPr>
          <w:i/>
          <w:iCs/>
        </w:rPr>
        <w:t xml:space="preserve">Artificial Intelligence Risk Management Framework (</w:t>
      </w:r>
      <w:r>
        <w:rPr>
          <w:i/>
          <w:iCs/>
        </w:rPr>
        <w:t xml:space="preserve">AI RMF</w:t>
      </w:r>
      <w:r>
        <w:rPr>
          <w:i/>
          <w:iCs/>
        </w:rPr>
        <w:t xml:space="preserve"> </w:t>
      </w:r>
      <w:r>
        <w:rPr>
          <w:i/>
          <w:iCs/>
        </w:rPr>
        <w:t xml:space="preserve">1.0)</w:t>
      </w:r>
      <w:r>
        <w:t xml:space="preserve">. NIST AI 100-1. National Institute of Standards; Technology.</w:t>
      </w:r>
      <w:r>
        <w:t xml:space="preserve"> </w:t>
      </w:r>
      <w:hyperlink r:id="rId69">
        <w:r>
          <w:rPr>
            <w:rStyle w:val="Hyperlink"/>
          </w:rPr>
          <w:t xml:space="preserve">https://doi.org/10.6028/NIST.AI.100-1</w:t>
        </w:r>
      </w:hyperlink>
      <w:r>
        <w:t xml:space="preserve">.</w:t>
      </w:r>
    </w:p>
    <w:bookmarkEnd w:id="70"/>
    <w:bookmarkStart w:id="72" w:name="ref-thorne2018fever"/>
    <w:p>
      <w:pPr>
        <w:pStyle w:val="Bibliography"/>
      </w:pPr>
      <w:r>
        <w:t xml:space="preserve">Thorne, James, Andreas Vlachos, Christos Christodoulopoulos, and Arpit Mittal. 2018.</w:t>
      </w:r>
      <w:r>
        <w:t xml:space="preserve"> </w:t>
      </w:r>
      <w:r>
        <w:t xml:space="preserve">“</w:t>
      </w:r>
      <w:r>
        <w:t xml:space="preserve">FEVER</w:t>
      </w:r>
      <w:r>
        <w:t xml:space="preserve">: A Large-Scale Dataset for Fact Extraction and</w:t>
      </w:r>
      <w:r>
        <w:t xml:space="preserve"> </w:t>
      </w:r>
      <w:r>
        <w:t xml:space="preserve">VER</w:t>
      </w:r>
      <w:r>
        <w:t xml:space="preserve">ification.”</w:t>
      </w:r>
      <w:r>
        <w:t xml:space="preserve"> </w:t>
      </w:r>
      <w:r>
        <w:rPr>
          <w:i/>
          <w:iCs/>
        </w:rPr>
        <w:t xml:space="preserve">Proceedings of the 2018 Conference of the North American Chapter of the Association for Computational Linguistics: Human Language Technologies, Volume 1 (Long Papers)</w:t>
      </w:r>
      <w:r>
        <w:t xml:space="preserve">, 809–19.</w:t>
      </w:r>
      <w:r>
        <w:t xml:space="preserve"> </w:t>
      </w:r>
      <w:hyperlink r:id="rId71">
        <w:r>
          <w:rPr>
            <w:rStyle w:val="Hyperlink"/>
          </w:rPr>
          <w:t xml:space="preserve">https://doi.org/10.18653/v1/N18-1074</w:t>
        </w:r>
      </w:hyperlink>
      <w:r>
        <w:t xml:space="preserve">.</w:t>
      </w:r>
    </w:p>
    <w:bookmarkEnd w:id="72"/>
    <w:bookmarkStart w:id="74" w:name="ref-torresarias2019intoto"/>
    <w:p>
      <w:pPr>
        <w:pStyle w:val="Bibliography"/>
      </w:pPr>
      <w:r>
        <w:t xml:space="preserve">Torres-Arias, Santiago, Hammad Afzali, Trishank Karthik Kuppusamy, Reza Curtmola, and Justin Cappos. 2019.</w:t>
      </w:r>
      <w:r>
        <w:t xml:space="preserve"> </w:t>
      </w:r>
      <w:r>
        <w:t xml:space="preserve">“In-Toto: Providing Farm-to-Table Guarantees for Bits and Bytes.”</w:t>
      </w:r>
      <w:r>
        <w:t xml:space="preserve"> </w:t>
      </w:r>
      <w:r>
        <w:rPr>
          <w:i/>
          <w:iCs/>
        </w:rPr>
        <w:t xml:space="preserve">28th USENIX Security Symposium</w:t>
      </w:r>
      <w:r>
        <w:t xml:space="preserve">, 1393–410.</w:t>
      </w:r>
      <w:r>
        <w:t xml:space="preserve"> </w:t>
      </w:r>
      <w:hyperlink r:id="rId73">
        <w:r>
          <w:rPr>
            <w:rStyle w:val="Hyperlink"/>
          </w:rPr>
          <w:t xml:space="preserve">https://www.usenix.org/conference/usenixsecurity19/presentation/torres-arias</w:t>
        </w:r>
      </w:hyperlink>
      <w:r>
        <w:t xml:space="preserve">.</w:t>
      </w:r>
    </w:p>
    <w:bookmarkEnd w:id="74"/>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7" Target="https://doi.org/10.1007/978-3-031-31108-6_2" TargetMode="External" /><Relationship Type="http://schemas.openxmlformats.org/officeDocument/2006/relationships/hyperlink" Id="rId61" Target="https://doi.org/10.1109/CNS56114.2022.9947235" TargetMode="External" /><Relationship Type="http://schemas.openxmlformats.org/officeDocument/2006/relationships/hyperlink" Id="rId63" Target="https://doi.org/10.1145/3287560.3287596" TargetMode="External" /><Relationship Type="http://schemas.openxmlformats.org/officeDocument/2006/relationships/hyperlink" Id="rId53" Target="https://doi.org/10.1145/3458723" TargetMode="External" /><Relationship Type="http://schemas.openxmlformats.org/officeDocument/2006/relationships/hyperlink" Id="rId55" Target="https://doi.org/10.1145/3571730" TargetMode="External" /><Relationship Type="http://schemas.openxmlformats.org/officeDocument/2006/relationships/hyperlink" Id="rId71" Target="https://doi.org/10.18653/v1/N18-1074" TargetMode="External" /><Relationship Type="http://schemas.openxmlformats.org/officeDocument/2006/relationships/hyperlink" Id="rId51" Target="https://doi.org/10.48550/arXiv.1806.01261" TargetMode="External" /><Relationship Type="http://schemas.openxmlformats.org/officeDocument/2006/relationships/hyperlink" Id="rId67" Target="https://doi.org/10.5220/0006639801080116" TargetMode="External" /><Relationship Type="http://schemas.openxmlformats.org/officeDocument/2006/relationships/hyperlink" Id="rId45" Target="https://doi.org/10.5281/zenodo.21689514" TargetMode="External" /><Relationship Type="http://schemas.openxmlformats.org/officeDocument/2006/relationships/hyperlink" Id="rId69" Target="https://doi.org/10.6028/NIST.AI.100-1" TargetMode="External" /><Relationship Type="http://schemas.openxmlformats.org/officeDocument/2006/relationships/hyperlink" Id="rId65" Target="https://genai.owasp.org/resource/agentic-ai-threats-and-mitigations/" TargetMode="External" /><Relationship Type="http://schemas.openxmlformats.org/officeDocument/2006/relationships/hyperlink" Id="rId44" Target="https://github.com/wcalmels/phigraph" TargetMode="External" /><Relationship Type="http://schemas.openxmlformats.org/officeDocument/2006/relationships/hyperlink" Id="rId73" Target="https://www.usenix.org/conference/usenixsecurity19/presentation/torres-arias" TargetMode="External" /><Relationship Type="http://schemas.openxmlformats.org/officeDocument/2006/relationships/hyperlink" Id="rId59" Target="https://www.w3.org/TR/prov-o/" TargetMode="External" /><Relationship Type="http://schemas.openxmlformats.org/officeDocument/2006/relationships/hyperlink" Id="rId9" Target="mailto:wcalmels@phi47.cl" TargetMode="External" /></Relationships>
</file>

<file path=word/_rels/footnotes.xml.rels><?xml version="1.0" encoding="UTF-8"?><Relationships xmlns="http://schemas.openxmlformats.org/package/2006/relationships"><Relationship Type="http://schemas.openxmlformats.org/officeDocument/2006/relationships/hyperlink" Id="rId57" Target="https://doi.org/10.1007/978-3-031-31108-6_2" TargetMode="External" /><Relationship Type="http://schemas.openxmlformats.org/officeDocument/2006/relationships/hyperlink" Id="rId61" Target="https://doi.org/10.1109/CNS56114.2022.9947235" TargetMode="External" /><Relationship Type="http://schemas.openxmlformats.org/officeDocument/2006/relationships/hyperlink" Id="rId63" Target="https://doi.org/10.1145/3287560.3287596" TargetMode="External" /><Relationship Type="http://schemas.openxmlformats.org/officeDocument/2006/relationships/hyperlink" Id="rId53" Target="https://doi.org/10.1145/3458723" TargetMode="External" /><Relationship Type="http://schemas.openxmlformats.org/officeDocument/2006/relationships/hyperlink" Id="rId55" Target="https://doi.org/10.1145/3571730" TargetMode="External" /><Relationship Type="http://schemas.openxmlformats.org/officeDocument/2006/relationships/hyperlink" Id="rId71" Target="https://doi.org/10.18653/v1/N18-1074" TargetMode="External" /><Relationship Type="http://schemas.openxmlformats.org/officeDocument/2006/relationships/hyperlink" Id="rId51" Target="https://doi.org/10.48550/arXiv.1806.01261" TargetMode="External" /><Relationship Type="http://schemas.openxmlformats.org/officeDocument/2006/relationships/hyperlink" Id="rId67" Target="https://doi.org/10.5220/0006639801080116" TargetMode="External" /><Relationship Type="http://schemas.openxmlformats.org/officeDocument/2006/relationships/hyperlink" Id="rId45" Target="https://doi.org/10.5281/zenodo.21689514" TargetMode="External" /><Relationship Type="http://schemas.openxmlformats.org/officeDocument/2006/relationships/hyperlink" Id="rId69" Target="https://doi.org/10.6028/NIST.AI.100-1" TargetMode="External" /><Relationship Type="http://schemas.openxmlformats.org/officeDocument/2006/relationships/hyperlink" Id="rId65" Target="https://genai.owasp.org/resource/agentic-ai-threats-and-mitigations/" TargetMode="External" /><Relationship Type="http://schemas.openxmlformats.org/officeDocument/2006/relationships/hyperlink" Id="rId44" Target="https://github.com/wcalmels/phigraph" TargetMode="External" /><Relationship Type="http://schemas.openxmlformats.org/officeDocument/2006/relationships/hyperlink" Id="rId73" Target="https://www.usenix.org/conference/usenixsecurity19/presentation/torres-arias" TargetMode="External" /><Relationship Type="http://schemas.openxmlformats.org/officeDocument/2006/relationships/hyperlink" Id="rId59" Target="https://www.w3.org/TR/prov-o/" TargetMode="External" /><Relationship Type="http://schemas.openxmlformats.org/officeDocument/2006/relationships/hyperlink" Id="rId9" Target="mailto:wcalmels@phi47.c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PhiGraph Core 4.0: A Shadow-First Evidence Ledger and Policy-Gated Runtime for Software-Agent Operations</dc:title>
  <dc:creator>Walter Calmels von Dem Knesebeck TUCH Systems, Santiago, Chile wcalmels@phi47.cl</dc:creator>
  <cp:keywords/>
  <dcterms:created xsi:type="dcterms:W3CDTF">2026-08-09T16:02:57Z</dcterms:created>
  <dcterms:modified xsi:type="dcterms:W3CDTF">2026-08-09T16:02:57Z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Software agents and artificial-intelligence systems can produce claims, recommendations, and action proposals faster than organizations can verify and govern them. This paper presents PhiGraph Core 4.0.0, an MIT-licensed, model-agnostic system that treats model output as a proposal rather than as verified truth. PhiGraph represents claims, evidence, verifications, action proposals, policy decisions, and outcomes as linked records; stores them in a scope-tagged, tamper-evident ledger; and places policy evaluation between agent proposals and operational execution. Replay and shadow modes cannot execute external actions, while higher-authority modes require both an explicit executor and an allowing policy decision. We describe the protocol, runtime, ledger, deployment boundaries, and Python implementation. Building on this substrate, we additionally describe PhiGraph HAV v0.2, a fail-closed verification layer that extracts claims from agent-generated text, checks them against an explicitly supplied authoritative state, and records the resulting claims, evidence, verifications, and policy decisions in the same ledger. Engineering verification comprises 128 automated tests (117 core tests and 11 HAV-specific tests); the continuous-integration configuration targets Python 3.10–3.13. An initial external experiment on the CIC-IDS2017 Friday DDoS flow file compares a PhiGraph relational score with three unsupervised baselines. Local Outlier Factor is strongest on this tabular benchmark; PhiGraph ranks second by PR-AUC and attains 0.840 precision at a 10% alert budget. The experiment demonstrates functional integration, not state-of-the-art superiority: it uses a single imperfect dataset, a feature-similarity graph, and one fixed split. PhiGraph is therefore presented as an auditable governance substrate and research prototype, not as a proof of correctness, causal identification, or safe autonomous operation.</vt:lpwstr>
  </property>
  <property fmtid="{D5CDD505-2E9C-101B-9397-08002B2CF9AE}" pid="3" name="bibliography">
    <vt:lpwstr>references.bib</vt:lpwstr>
  </property>
  <property fmtid="{D5CDD505-2E9C-101B-9397-08002B2CF9AE}" pid="4" name="date">
    <vt:lpwstr>July 2026</vt:lpwstr>
  </property>
</Properties>
</file>