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Full</w:t>
      </w:r>
      <w:r>
        <w:t xml:space="preserve"> </w:t>
      </w:r>
      <w:r>
        <w:t xml:space="preserve">Curriculum</w:t>
      </w:r>
      <w:r>
        <w:t xml:space="preserve"> </w:t>
      </w:r>
      <w:r>
        <w:t xml:space="preserve">Vitae</w:t>
      </w:r>
    </w:p>
    <w:bookmarkStart w:id="24" w:name="w.-christopher-carleton-ph.d"/>
    <w:p>
      <w:pPr>
        <w:pStyle w:val="Subtitle"/>
      </w:pPr>
      <w:r>
        <w:t xml:space="preserve">W. Christopher Carleton, Ph.D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60"/>
        <w:gridCol w:w="3960"/>
      </w:tblGrid>
      <w:tr>
        <w:tc>
          <w:tcPr/>
          <w:p>
            <w:pPr>
              <w:pStyle w:val="Normal"/>
              <w:jc w:val="left"/>
            </w:pPr>
            <w:r>
              <w:rPr>
                <w:bCs/>
                <w:b/>
              </w:rPr>
              <w:t xml:space="preserve">Senior Scientist</w:t>
            </w:r>
          </w:p>
        </w:tc>
        <w:tc>
          <w:tcPr/>
          <w:p>
            <w:pPr>
              <w:pStyle w:val="Normal"/>
              <w:jc w:val="right"/>
            </w:pPr>
            <w:r>
              <w:t xml:space="preserve">Website: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wccarleton.github.io</w:t>
              </w:r>
            </w:hyperlink>
          </w:p>
        </w:tc>
      </w:tr>
      <w:tr>
        <w:tc>
          <w:tcPr/>
          <w:p>
            <w:pPr>
              <w:pStyle w:val="Normal"/>
              <w:jc w:val="left"/>
            </w:pPr>
            <w:r>
              <w:rPr>
                <w:bCs/>
                <w:b/>
              </w:rPr>
              <w:t xml:space="preserve">Coevolution of Land Use and Urbanisation</w:t>
            </w:r>
          </w:p>
        </w:tc>
        <w:tc>
          <w:tcPr/>
          <w:p>
            <w:pPr>
              <w:pStyle w:val="Normal"/>
              <w:jc w:val="right"/>
            </w:pPr>
            <w:r>
              <w:t xml:space="preserve">GitHub: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github.com/wccarleton</w:t>
              </w:r>
            </w:hyperlink>
          </w:p>
        </w:tc>
      </w:tr>
      <w:tr>
        <w:tc>
          <w:tcPr/>
          <w:p>
            <w:pPr>
              <w:pStyle w:val="Normal"/>
              <w:jc w:val="left"/>
            </w:pPr>
            <w:r>
              <w:t xml:space="preserve">Max Planck Institute of Geoanthropology</w:t>
            </w:r>
          </w:p>
        </w:tc>
        <w:tc>
          <w:tcPr/>
          <w:p>
            <w:pPr>
              <w:pStyle w:val="Normal"/>
              <w:jc w:val="right"/>
            </w:pPr>
            <w:r>
              <w:t xml:space="preserve">Email: carleton@gea.mpg.de</w:t>
            </w:r>
          </w:p>
        </w:tc>
      </w:tr>
      <w:tr>
        <w:tc>
          <w:tcPr/>
          <w:p>
            <w:pPr>
              <w:pStyle w:val="Normal"/>
              <w:jc w:val="left"/>
            </w:pPr>
            <w:r>
              <w:t xml:space="preserve">Kahlaische Str. 10</w:t>
            </w:r>
          </w:p>
        </w:tc>
        <w:tc>
          <w:tcPr/>
          <w:p>
            <w:pPr>
              <w:pStyle w:val="Normal"/>
              <w:jc w:val="right"/>
            </w:pPr>
            <w:r>
              <w:t xml:space="preserve">ORCID: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0000-0001-7463-8638</w:t>
              </w:r>
            </w:hyperlink>
          </w:p>
        </w:tc>
      </w:tr>
      <w:tr>
        <w:tc>
          <w:tcPr/>
          <w:p>
            <w:pPr>
              <w:pStyle w:val="Normal"/>
              <w:jc w:val="left"/>
            </w:pPr>
            <w:r>
              <w:t xml:space="preserve">07745 Jena, Germany</w:t>
            </w:r>
          </w:p>
        </w:tc>
        <w:tc>
          <w:tcPr/>
          <w:p>
            <w:pPr>
              <w:pStyle w:val="Normal"/>
              <w:jc w:val="right"/>
            </w:pPr>
            <w:r>
              <w:t xml:space="preserve">Google Scholar: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0ZG-6CsAAAAJ</w:t>
              </w:r>
            </w:hyperlink>
          </w:p>
        </w:tc>
      </w:tr>
    </w:tbl>
    <w:bookmarkEnd w:id="24"/>
    <w:bookmarkStart w:id="25" w:name="profile"/>
    <w:p>
      <w:pPr>
        <w:pStyle w:val="Heading1"/>
      </w:pPr>
      <w:r>
        <w:t xml:space="preserve">Profile</w:t>
      </w:r>
    </w:p>
    <w:p>
      <w:pPr>
        <w:pStyle w:val="Normal"/>
      </w:pPr>
      <w:r>
        <w:t xml:space="preserve">Archaeologist and data scientist developing quantitative, spatial, and computational approaches for long-term human-environment records. Current work focuses on comparative urbanism, archaeological data science, remote sensing, Bayesian/time-series modelling, and open scientific software.</w:t>
      </w:r>
    </w:p>
    <w:bookmarkEnd w:id="25"/>
    <w:bookmarkStart w:id="34" w:name="highlights"/>
    <w:p>
      <w:pPr>
        <w:pStyle w:val="Heading1"/>
      </w:pPr>
      <w:r>
        <w:t xml:space="preserve">Highlights</w:t>
      </w:r>
    </w:p>
    <w:bookmarkStart w:id="26" w:name="keywords"/>
    <w:p>
      <w:pPr>
        <w:pStyle w:val="Heading1"/>
      </w:pPr>
      <w:r>
        <w:t xml:space="preserve">Keywords</w:t>
      </w:r>
    </w:p>
    <w:p>
      <w:pPr>
        <w:pStyle w:val="Normal"/>
      </w:pPr>
      <w:r>
        <w:rPr>
          <w:bCs/>
          <w:b/>
        </w:rPr>
        <w:t xml:space="preserve">Archaeologist; Data Scientist; Quantitative and Qualitative Research;</w:t>
      </w:r>
      <w:r>
        <w:rPr>
          <w:bCs/>
          <w:b/>
        </w:rPr>
        <w:t xml:space="preserve"> </w:t>
      </w:r>
      <w:r>
        <w:rPr>
          <w:bCs/>
          <w:b/>
        </w:rPr>
        <w:t xml:space="preserve">Software-for-Science Developer</w:t>
      </w:r>
    </w:p>
    <w:bookmarkEnd w:id="26"/>
    <w:bookmarkStart w:id="27" w:name="analytical-expertise"/>
    <w:p>
      <w:pPr>
        <w:pStyle w:val="Heading1"/>
      </w:pPr>
      <w:r>
        <w:t xml:space="preserve">Analytical Expertise</w:t>
      </w:r>
    </w:p>
    <w:p>
      <w:pPr>
        <w:numPr>
          <w:ilvl w:val="0"/>
          <w:numId w:val="1001"/>
        </w:numPr>
        <w:pStyle w:val="ListParagraph"/>
      </w:pPr>
      <w:r>
        <w:t xml:space="preserve">Statistics; Regression Models; Time-Series Analysis; Remote Sensing</w:t>
      </w:r>
    </w:p>
    <w:p>
      <w:pPr>
        <w:numPr>
          <w:ilvl w:val="0"/>
          <w:numId w:val="1001"/>
        </w:numPr>
        <w:pStyle w:val="ListParagraph"/>
      </w:pPr>
      <w:r>
        <w:t xml:space="preserve">Geographic Information Science/Software/Systems; Spatial Analysis</w:t>
      </w:r>
    </w:p>
    <w:p>
      <w:pPr>
        <w:numPr>
          <w:ilvl w:val="0"/>
          <w:numId w:val="1001"/>
        </w:numPr>
        <w:pStyle w:val="ListParagraph"/>
      </w:pPr>
      <w:r>
        <w:t xml:space="preserve">Agent-based Models; Computational Simulation; High-Performance Computing; Chronological Modelling</w:t>
      </w:r>
    </w:p>
    <w:bookmarkEnd w:id="27"/>
    <w:bookmarkStart w:id="28" w:name="programming-languages"/>
    <w:p>
      <w:pPr>
        <w:pStyle w:val="Heading1"/>
      </w:pPr>
      <w:r>
        <w:t xml:space="preserve">Programming Languages</w:t>
      </w:r>
    </w:p>
    <w:p>
      <w:pPr>
        <w:numPr>
          <w:ilvl w:val="0"/>
          <w:numId w:val="1002"/>
        </w:numPr>
        <w:pStyle w:val="ListParagraph"/>
      </w:pPr>
      <w:r>
        <w:t xml:space="preserve">R</w:t>
      </w:r>
    </w:p>
    <w:p>
      <w:pPr>
        <w:numPr>
          <w:ilvl w:val="0"/>
          <w:numId w:val="1002"/>
        </w:numPr>
        <w:pStyle w:val="ListParagraph"/>
      </w:pPr>
      <w:r>
        <w:t xml:space="preserve">Python</w:t>
      </w:r>
    </w:p>
    <w:p>
      <w:pPr>
        <w:numPr>
          <w:ilvl w:val="0"/>
          <w:numId w:val="1002"/>
        </w:numPr>
        <w:pStyle w:val="ListParagraph"/>
      </w:pPr>
      <w:r>
        <w:t xml:space="preserve">BASH</w:t>
      </w:r>
    </w:p>
    <w:bookmarkEnd w:id="28"/>
    <w:bookmarkStart w:id="29" w:name="publication-record"/>
    <w:p>
      <w:pPr>
        <w:pStyle w:val="Heading1"/>
      </w:pPr>
      <w:r>
        <w:t xml:space="preserve">Publication Record</w:t>
      </w:r>
    </w:p>
    <w:p>
      <w:pPr>
        <w:numPr>
          <w:ilvl w:val="0"/>
          <w:numId w:val="1003"/>
        </w:numPr>
        <w:pStyle w:val="ListParagraph"/>
      </w:pPr>
      <w:r>
        <w:t xml:space="preserve">35 peer-reviewed publications (15 as first author) in top journals including Nature, Nature Cities, and Nature Communications</w:t>
      </w:r>
    </w:p>
    <w:bookmarkEnd w:id="29"/>
    <w:bookmarkStart w:id="31" w:name="teaching"/>
    <w:p>
      <w:pPr>
        <w:pStyle w:val="Heading1"/>
      </w:pPr>
      <w:r>
        <w:t xml:space="preserve">Teaching</w:t>
      </w:r>
    </w:p>
    <w:p>
      <w:pPr>
        <w:numPr>
          <w:ilvl w:val="0"/>
          <w:numId w:val="1004"/>
        </w:numPr>
        <w:pStyle w:val="ListParagraph"/>
      </w:pPr>
      <w:r>
        <w:t xml:space="preserve">Two undergraduate courses, including curriculum development, on Archaeological Science/Data Science</w:t>
      </w:r>
    </w:p>
    <w:p>
      <w:pPr>
        <w:numPr>
          <w:ilvl w:val="0"/>
          <w:numId w:val="1004"/>
        </w:numPr>
        <w:pStyle w:val="ListParagraph"/>
      </w:pPr>
      <w:r>
        <w:t xml:space="preserve">5 semesters of undergraduate teaching assistant experience</w:t>
      </w:r>
    </w:p>
    <w:p>
      <w:pPr>
        <w:numPr>
          <w:ilvl w:val="0"/>
          <w:numId w:val="1004"/>
        </w:numPr>
        <w:pStyle w:val="ListParagraph"/>
      </w:pPr>
      <w:r>
        <w:t xml:space="preserve">Supervisory committee member for two graduate students, one MA and one PhD</w:t>
      </w:r>
    </w:p>
    <w:p>
      <w:pPr>
        <w:numPr>
          <w:ilvl w:val="0"/>
          <w:numId w:val="1004"/>
        </w:numPr>
        <w:pStyle w:val="ListParagraph"/>
      </w:pPr>
      <w:r>
        <w:t xml:space="preserve">Certified Carpentries Instructor (data science and software for science)</w:t>
      </w:r>
      <w:r>
        <w:t xml:space="preserve"> </w:t>
      </w:r>
      <w:hyperlink r:id="rId30">
        <w:r>
          <w:rPr>
            <w:rStyle w:val="Hyperlink"/>
          </w:rPr>
          <w:t xml:space="preserve">carpentries.org</w:t>
        </w:r>
      </w:hyperlink>
    </w:p>
    <w:bookmarkEnd w:id="31"/>
    <w:bookmarkStart w:id="32" w:name="funding"/>
    <w:p>
      <w:pPr>
        <w:pStyle w:val="Heading1"/>
      </w:pPr>
      <w:r>
        <w:t xml:space="preserve">Funding</w:t>
      </w:r>
    </w:p>
    <w:p>
      <w:pPr>
        <w:numPr>
          <w:ilvl w:val="0"/>
          <w:numId w:val="1005"/>
        </w:numPr>
        <w:pStyle w:val="ListParagraph"/>
      </w:pPr>
      <w:r>
        <w:t xml:space="preserve">$368,250 CAD in awards, fellowships, and grants</w:t>
      </w:r>
    </w:p>
    <w:bookmarkEnd w:id="32"/>
    <w:bookmarkStart w:id="33" w:name="archaeological-field-experience"/>
    <w:p>
      <w:pPr>
        <w:pStyle w:val="Heading1"/>
      </w:pPr>
      <w:r>
        <w:t xml:space="preserve">Archaeological Field Experience</w:t>
      </w:r>
    </w:p>
    <w:p>
      <w:pPr>
        <w:numPr>
          <w:ilvl w:val="0"/>
          <w:numId w:val="1006"/>
        </w:numPr>
        <w:pStyle w:val="ListParagraph"/>
      </w:pPr>
      <w:r>
        <w:t xml:space="preserve">directing and managing archaeological field projects in Cambodia and Sri Lanka</w:t>
      </w:r>
    </w:p>
    <w:p>
      <w:pPr>
        <w:numPr>
          <w:ilvl w:val="0"/>
          <w:numId w:val="1006"/>
        </w:numPr>
        <w:pStyle w:val="ListParagraph"/>
      </w:pPr>
      <w:r>
        <w:t xml:space="preserve">academic excavation and survey in Belize, Turkey, and Canada</w:t>
      </w:r>
    </w:p>
    <w:p>
      <w:pPr>
        <w:numPr>
          <w:ilvl w:val="0"/>
          <w:numId w:val="1006"/>
        </w:numPr>
        <w:pStyle w:val="ListParagraph"/>
      </w:pPr>
      <w:r>
        <w:t xml:space="preserve">20 months, cultural resource management (survey, test-pitting, excavation)</w:t>
      </w:r>
    </w:p>
    <w:bookmarkEnd w:id="33"/>
    <w:bookmarkEnd w:id="34"/>
    <w:bookmarkStart w:id="35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7"/>
        </w:numPr>
        <w:pStyle w:val="ListParagraph"/>
      </w:pPr>
      <w:r>
        <w:t xml:space="preserve">(2011-2017) PhD in Archaeology, Simon Fraser University, Burnaby, BC, Canada: Archaeological and Palaeoenvironmental Time Series Analysis</w:t>
      </w:r>
    </w:p>
    <w:p>
      <w:pPr>
        <w:numPr>
          <w:ilvl w:val="0"/>
          <w:numId w:val="1007"/>
        </w:numPr>
        <w:pStyle w:val="ListParagraph"/>
      </w:pPr>
      <w:r>
        <w:t xml:space="preserve">(2008-2010) MA in Anthropology, Trent University, Peterborough, ON, Canada: Collapse of the Pre-Pottery Neolithic</w:t>
      </w:r>
      <w:r>
        <w:t xml:space="preserve"> </w:t>
      </w:r>
      <w:r>
        <w:t xml:space="preserve">‘</w:t>
      </w:r>
      <w:r>
        <w:t xml:space="preserve">B</w:t>
      </w:r>
      <w:r>
        <w:t xml:space="preserve">’</w:t>
      </w:r>
      <w:r>
        <w:t xml:space="preserve"> </w:t>
      </w:r>
      <w:r>
        <w:t xml:space="preserve">in Southwest Asia</w:t>
      </w:r>
    </w:p>
    <w:p>
      <w:pPr>
        <w:numPr>
          <w:ilvl w:val="0"/>
          <w:numId w:val="1007"/>
        </w:numPr>
        <w:pStyle w:val="ListParagraph"/>
      </w:pPr>
      <w:r>
        <w:t xml:space="preserve">(2001-2005) BA Honours in Classical and Near Eastern Archaeology, University of Saskatchewan, Saskatoon, SK, Canada</w:t>
      </w:r>
    </w:p>
    <w:bookmarkEnd w:id="35"/>
    <w:bookmarkStart w:id="36" w:name="awards-and-fellowships"/>
    <w:p>
      <w:pPr>
        <w:pStyle w:val="Heading1"/>
      </w:pPr>
      <w:r>
        <w:t xml:space="preserve">Awards and Fellowships</w:t>
      </w:r>
    </w:p>
    <w:p>
      <w:pPr>
        <w:numPr>
          <w:ilvl w:val="0"/>
          <w:numId w:val="1008"/>
        </w:numPr>
        <w:pStyle w:val="ListParagraph"/>
      </w:pPr>
      <w:r>
        <w:t xml:space="preserve">2017-2019 Human Evolutionary Studies Program Post-Doctoral Fellowship, Simon Fraser University ($90,000 CAD)</w:t>
      </w:r>
    </w:p>
    <w:p>
      <w:pPr>
        <w:numPr>
          <w:ilvl w:val="0"/>
          <w:numId w:val="1008"/>
        </w:numPr>
        <w:pStyle w:val="ListParagraph"/>
      </w:pPr>
      <w:r>
        <w:t xml:space="preserve">2016 Mitacs PhD Fellowship, Simon Fraser University and the University of British Columbia ($60,000 CAD)</w:t>
      </w:r>
    </w:p>
    <w:p>
      <w:pPr>
        <w:numPr>
          <w:ilvl w:val="0"/>
          <w:numId w:val="1008"/>
        </w:numPr>
        <w:pStyle w:val="ListParagraph"/>
      </w:pPr>
      <w:r>
        <w:t xml:space="preserve">2015-2016 Simon Fraser University Department of Archaeology PhD Fellowship ($6,250 CAD)</w:t>
      </w:r>
    </w:p>
    <w:p>
      <w:pPr>
        <w:numPr>
          <w:ilvl w:val="0"/>
          <w:numId w:val="1008"/>
        </w:numPr>
        <w:pStyle w:val="ListParagraph"/>
      </w:pPr>
      <w:r>
        <w:t xml:space="preserve">2014-2015 Simon Fraser University Human Evolutionary Studies Program PhD Fellowship ($12,250 CAD)</w:t>
      </w:r>
    </w:p>
    <w:p>
      <w:pPr>
        <w:numPr>
          <w:ilvl w:val="0"/>
          <w:numId w:val="1008"/>
        </w:numPr>
        <w:pStyle w:val="ListParagraph"/>
      </w:pPr>
      <w:r>
        <w:t xml:space="preserve">2014-2015 Simon Fraser University Department of Archaeology PhD Fellowship ($6,250 CAD)</w:t>
      </w:r>
    </w:p>
    <w:p>
      <w:pPr>
        <w:numPr>
          <w:ilvl w:val="0"/>
          <w:numId w:val="1008"/>
        </w:numPr>
        <w:pStyle w:val="ListParagraph"/>
      </w:pPr>
      <w:r>
        <w:t xml:space="preserve">2011-2014 Social Sciences and Humanities Research Council Joseph-Armand Bombardier Canadian Graduate Scholarship ($105,000 CAD)</w:t>
      </w:r>
    </w:p>
    <w:p>
      <w:pPr>
        <w:numPr>
          <w:ilvl w:val="0"/>
          <w:numId w:val="1008"/>
        </w:numPr>
        <w:pStyle w:val="ListParagraph"/>
      </w:pPr>
      <w:r>
        <w:t xml:space="preserve">2011-2014 Simon Fraser University Provost Prize ($15,000 CAD)</w:t>
      </w:r>
    </w:p>
    <w:p>
      <w:pPr>
        <w:numPr>
          <w:ilvl w:val="0"/>
          <w:numId w:val="1008"/>
        </w:numPr>
        <w:pStyle w:val="ListParagraph"/>
      </w:pPr>
      <w:r>
        <w:t xml:space="preserve">2010 University College London Overseas Research Scholarship (Declined) ($68,000 CAD)</w:t>
      </w:r>
    </w:p>
    <w:p>
      <w:pPr>
        <w:numPr>
          <w:ilvl w:val="0"/>
          <w:numId w:val="1008"/>
        </w:numPr>
        <w:pStyle w:val="ListParagraph"/>
      </w:pPr>
      <w:r>
        <w:t xml:space="preserve">2009 Trent University, William and Geoffrey Hamblin Memorial Graduate Award ($500 CAD)</w:t>
      </w:r>
    </w:p>
    <w:bookmarkEnd w:id="36"/>
    <w:bookmarkStart w:id="85" w:name="publications-and-academic-contributions"/>
    <w:p>
      <w:pPr>
        <w:pStyle w:val="Heading1"/>
      </w:pPr>
      <w:r>
        <w:t xml:space="preserve">Publications and Academic Contributions</w:t>
      </w:r>
    </w:p>
    <w:bookmarkStart w:id="79" w:name="peer-reviewed-journal-articles"/>
    <w:p>
      <w:pPr>
        <w:pStyle w:val="Heading1"/>
      </w:pPr>
      <w:r>
        <w:t xml:space="preserve">Peer-Reviewed Journal Articles</w:t>
      </w:r>
    </w:p>
    <w:bookmarkStart w:id="41" w:name="section"/>
    <w:p>
      <w:pPr>
        <w:pStyle w:val="Heading3"/>
      </w:pPr>
      <w:r>
        <w:t xml:space="preserve">2026</w:t>
      </w:r>
    </w:p>
    <w:p>
      <w:pPr>
        <w:numPr>
          <w:ilvl w:val="0"/>
          <w:numId w:val="1009"/>
        </w:numPr>
        <w:pStyle w:val="ListParagraph"/>
      </w:pPr>
      <w:r>
        <w:rPr>
          <w:bCs/>
          <w:b/>
        </w:rPr>
        <w:t xml:space="preserve">Carleton, W.C.</w:t>
      </w:r>
      <w:r>
        <w:t xml:space="preserve">, Klassen, S., Murphy, J.T., Roberts, P. (in press) Comparative Spatial Analysis Reveals Important Structural Similarities Between Ancient Angkor and Late Anglo-Saxon Hampshire. Journal of Archaeological Method and Theory.</w:t>
      </w:r>
      <w:r>
        <w:t xml:space="preserve"> </w:t>
      </w:r>
      <w:hyperlink r:id="rId37">
        <w:r>
          <w:rPr>
            <w:rStyle w:val="Hyperlink"/>
          </w:rPr>
          <w:t xml:space="preserve">DOI: 10.1007/s10816-026-09798-w</w:t>
        </w:r>
      </w:hyperlink>
    </w:p>
    <w:p>
      <w:pPr>
        <w:numPr>
          <w:ilvl w:val="0"/>
          <w:numId w:val="1009"/>
        </w:numPr>
        <w:pStyle w:val="ListParagraph"/>
      </w:pPr>
      <w:r>
        <w:t xml:space="preserve">Patalano, R., Miller, J., Shipton, C.,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Gayantha, K., Gleixner, G., et al. (2026) Plant Wax Biomarker Evidence for Late Pleistocene-to-Holocene Forest Resilience and Ecological Refugium Dynamics at Panga ya Saidi, Coastal Kenya.</w:t>
      </w:r>
      <w:r>
        <w:t xml:space="preserve"> </w:t>
      </w:r>
      <w:hyperlink r:id="rId38">
        <w:r>
          <w:rPr>
            <w:rStyle w:val="Hyperlink"/>
          </w:rPr>
          <w:t xml:space="preserve">DOI: 10.21203/rs.3.rs-8758549/v1</w:t>
        </w:r>
      </w:hyperlink>
    </w:p>
    <w:p>
      <w:pPr>
        <w:numPr>
          <w:ilvl w:val="0"/>
          <w:numId w:val="1009"/>
        </w:numPr>
        <w:pStyle w:val="ListParagraph"/>
      </w:pPr>
      <w:r>
        <w:rPr>
          <w:bCs/>
          <w:b/>
        </w:rPr>
        <w:t xml:space="preserve">Carleton, W.C.</w:t>
      </w:r>
      <w:r>
        <w:t xml:space="preserve">, Lawrence, D., Brotherson, D., Ebert, C., Lobo, J., Ortman, S.G., et al. (2026) Making comparative archaeological and historical urbanism rigorous and open access through the URBank data platform. Antiquity, 1–7.</w:t>
      </w:r>
      <w:r>
        <w:t xml:space="preserve"> </w:t>
      </w:r>
      <w:hyperlink r:id="rId39">
        <w:r>
          <w:rPr>
            <w:rStyle w:val="Hyperlink"/>
          </w:rPr>
          <w:t xml:space="preserve">DOI: 10.15184/aqy.2026.10287</w:t>
        </w:r>
      </w:hyperlink>
    </w:p>
    <w:p>
      <w:pPr>
        <w:numPr>
          <w:ilvl w:val="0"/>
          <w:numId w:val="1009"/>
        </w:numPr>
        <w:pStyle w:val="ListParagraph"/>
      </w:pPr>
      <w:r>
        <w:t xml:space="preserve">Scerri, E.M.L., Blinkhorn, J., Groucutt, H.S., Stewart, M., Candy, I., Allué, E., et al. (2026) Hunter-gatherer sea voyages extended to remotest Mediterranean islands. Nature, 641, 137–143.</w:t>
      </w:r>
      <w:r>
        <w:t xml:space="preserve"> </w:t>
      </w:r>
      <w:hyperlink r:id="rId40">
        <w:r>
          <w:rPr>
            <w:rStyle w:val="Hyperlink"/>
          </w:rPr>
          <w:t xml:space="preserve">DOI: 10.1038/s41586-025-08780-y</w:t>
        </w:r>
      </w:hyperlink>
    </w:p>
    <w:bookmarkEnd w:id="41"/>
    <w:bookmarkStart w:id="46" w:name="section-1"/>
    <w:p>
      <w:pPr>
        <w:pStyle w:val="Heading3"/>
      </w:pPr>
      <w:r>
        <w:t xml:space="preserve">2025</w:t>
      </w:r>
    </w:p>
    <w:p>
      <w:pPr>
        <w:numPr>
          <w:ilvl w:val="0"/>
          <w:numId w:val="1010"/>
        </w:numPr>
        <w:pStyle w:val="ListParagraph"/>
      </w:pPr>
      <w:r>
        <w:t xml:space="preserve">Stewart, M., Peters, C., Ziegler, M.J.,</w:t>
      </w:r>
      <w:r>
        <w:t xml:space="preserve"> </w:t>
      </w:r>
      <w:r>
        <w:rPr>
          <w:bCs/>
          <w:b/>
        </w:rPr>
        <w:t xml:space="preserve">Carleton, W.C.</w:t>
      </w:r>
      <w:r>
        <w:t xml:space="preserve">, Roberts, P., Boivin, N., et al. (2025) The state of the late Quaternary megafauna extinction debate: a systematic review and analysis. Frontiers in Mammal Science, 4, 1678231.</w:t>
      </w:r>
      <w:r>
        <w:t xml:space="preserve"> </w:t>
      </w:r>
      <w:hyperlink r:id="rId42">
        <w:r>
          <w:rPr>
            <w:rStyle w:val="Hyperlink"/>
          </w:rPr>
          <w:t xml:space="preserve">DOI: 10.3389/fmamm.2025.1678231</w:t>
        </w:r>
      </w:hyperlink>
    </w:p>
    <w:p>
      <w:pPr>
        <w:numPr>
          <w:ilvl w:val="0"/>
          <w:numId w:val="1010"/>
        </w:numPr>
        <w:pStyle w:val="ListParagraph"/>
      </w:pPr>
      <w:r>
        <w:rPr>
          <w:bCs/>
          <w:b/>
        </w:rPr>
        <w:t xml:space="preserve">Carleton, W.C.</w:t>
      </w:r>
      <w:r>
        <w:t xml:space="preserve">, Elton, H., Miranda, W., Work, I., Safarik, D., Winkelmann, R., et al. (2025) Parallel scaling of elite wealth in ancient Roman and modern cities with implications for understanding urban inequality. Nature Cities.</w:t>
      </w:r>
      <w:r>
        <w:t xml:space="preserve"> </w:t>
      </w:r>
      <w:hyperlink r:id="rId43">
        <w:r>
          <w:rPr>
            <w:rStyle w:val="Hyperlink"/>
          </w:rPr>
          <w:t xml:space="preserve">DOI: 10.1038/s44284-025-00213-1</w:t>
        </w:r>
      </w:hyperlink>
    </w:p>
    <w:p>
      <w:pPr>
        <w:numPr>
          <w:ilvl w:val="0"/>
          <w:numId w:val="1010"/>
        </w:numPr>
        <w:pStyle w:val="ListParagraph"/>
      </w:pPr>
      <w:r>
        <w:t xml:space="preserve">Ziegler, M.J., Robinson, M., Aceituno, F.J., Morcote-Ríos, G., Becerra-Valdivia, L., et al. (2025) Human dietary diversity in the Colombian Andes at the terminal Pleistocene-late Holocene sites Tequendama and Aguazuque. iScience, 28(1).</w:t>
      </w:r>
      <w:r>
        <w:t xml:space="preserve"> </w:t>
      </w:r>
      <w:hyperlink r:id="rId44">
        <w:r>
          <w:rPr>
            <w:rStyle w:val="Hyperlink"/>
          </w:rPr>
          <w:t xml:space="preserve">DOI: 10.1016/j.isci.2024.111624</w:t>
        </w:r>
      </w:hyperlink>
    </w:p>
    <w:p>
      <w:pPr>
        <w:numPr>
          <w:ilvl w:val="0"/>
          <w:numId w:val="1010"/>
        </w:numPr>
        <w:pStyle w:val="ListParagraph"/>
      </w:pPr>
      <w:r>
        <w:t xml:space="preserve">Roberts, P., Los, S.,</w:t>
      </w:r>
      <w:r>
        <w:t xml:space="preserve"> </w:t>
      </w:r>
      <w:r>
        <w:rPr>
          <w:bCs/>
          <w:b/>
        </w:rPr>
        <w:t xml:space="preserve">Carleton, W.C.</w:t>
      </w:r>
      <w:r>
        <w:t xml:space="preserve">, Winkelmann, R., Maezumi, S.Y. (2025)</w:t>
      </w:r>
      <w:r>
        <w:t xml:space="preserve"> </w:t>
      </w:r>
      <w:r>
        <w:t xml:space="preserve">‘</w:t>
      </w:r>
      <w:r>
        <w:t xml:space="preserve">Wildland–Urban Interfaces</w:t>
      </w:r>
      <w:r>
        <w:t xml:space="preserve">’</w:t>
      </w:r>
      <w:r>
        <w:t xml:space="preserve"> </w:t>
      </w:r>
      <w:r>
        <w:t xml:space="preserve">from an Archaeological Perspective. Journal of Urban Archaeology, 11, 141–154.</w:t>
      </w:r>
      <w:r>
        <w:t xml:space="preserve"> </w:t>
      </w:r>
      <w:hyperlink r:id="rId45">
        <w:r>
          <w:rPr>
            <w:rStyle w:val="Hyperlink"/>
          </w:rPr>
          <w:t xml:space="preserve">DOI: 10.1484/J.JUA.5.150272</w:t>
        </w:r>
      </w:hyperlink>
    </w:p>
    <w:bookmarkEnd w:id="46"/>
    <w:bookmarkStart w:id="48" w:name="section-2"/>
    <w:p>
      <w:pPr>
        <w:pStyle w:val="Heading3"/>
      </w:pPr>
      <w:r>
        <w:t xml:space="preserve">2024</w:t>
      </w:r>
    </w:p>
    <w:p>
      <w:pPr>
        <w:numPr>
          <w:ilvl w:val="0"/>
          <w:numId w:val="1011"/>
        </w:numPr>
        <w:pStyle w:val="ListParagraph"/>
      </w:pPr>
      <w:r>
        <w:t xml:space="preserve">Roberts, P.,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Amano, N., Findley D.M., Hamilton, R., Maezumi, S.Y., Winkelmann, R., Laubichler, M.D., Renn, J. (2024) Using urban pasts to speak to urban presents in the Anthropocene. Nature Cities</w:t>
      </w:r>
      <w:r>
        <w:t xml:space="preserve"> </w:t>
      </w:r>
      <w:hyperlink r:id="rId47">
        <w:r>
          <w:rPr>
            <w:rStyle w:val="Hyperlink"/>
          </w:rPr>
          <w:t xml:space="preserve">DOI: 10.1038/s44284-023-00014-4</w:t>
        </w:r>
      </w:hyperlink>
      <w:r>
        <w:t xml:space="preserve">.</w:t>
      </w:r>
    </w:p>
    <w:p>
      <w:pPr>
        <w:numPr>
          <w:ilvl w:val="0"/>
          <w:numId w:val="1011"/>
        </w:numPr>
        <w:pStyle w:val="ListParagraph"/>
      </w:pPr>
      <w:r>
        <w:t xml:space="preserve">Willett, P.T.,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Nils Broothaerts, N., Vandam, R. (under review) Changing with the Times: From agricultural potential to spatially explicit reconstructions of past land use. Holocene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DOI: TBD</w:t>
        </w:r>
      </w:hyperlink>
    </w:p>
    <w:bookmarkEnd w:id="48"/>
    <w:bookmarkStart w:id="52" w:name="section-3"/>
    <w:p>
      <w:pPr>
        <w:pStyle w:val="Heading3"/>
      </w:pPr>
      <w:r>
        <w:t xml:space="preserve">2023</w:t>
      </w:r>
    </w:p>
    <w:p>
      <w:pPr>
        <w:numPr>
          <w:ilvl w:val="0"/>
          <w:numId w:val="1012"/>
        </w:numPr>
        <w:pStyle w:val="ListParagraph"/>
      </w:pPr>
      <w:r>
        <w:t xml:space="preserve">Maezumi, Y.S., Power, M.J., Smith, R.J., McLauchlan, K.K., Brunelle, A.R.,</w:t>
      </w:r>
      <w:r>
        <w:t xml:space="preserve"> </w:t>
      </w:r>
      <w:r>
        <w:rPr>
          <w:bCs/>
          <w:b/>
        </w:rPr>
        <w:t xml:space="preserve">Carleton, W.C.</w:t>
      </w:r>
      <w:r>
        <w:t xml:space="preserve">, Kay, A.U., Roberts, P., Mayle, F.E. (2023) Fire-human-climate interactions in the Bolivian Amazon rainforest ecotone from the Last Glacial Maximum to late Holocene. Frontiers in Environmental Archaeology</w:t>
      </w:r>
      <w:r>
        <w:t xml:space="preserve"> </w:t>
      </w:r>
      <w:hyperlink r:id="rId49">
        <w:r>
          <w:rPr>
            <w:rStyle w:val="Hyperlink"/>
          </w:rPr>
          <w:t xml:space="preserve">DOI: 10.3389/fearc.2023.1208985</w:t>
        </w:r>
      </w:hyperlink>
    </w:p>
    <w:p>
      <w:pPr>
        <w:numPr>
          <w:ilvl w:val="0"/>
          <w:numId w:val="1012"/>
        </w:numPr>
        <w:pStyle w:val="ListParagraph"/>
      </w:pPr>
      <w:r>
        <w:rPr>
          <w:bCs/>
          <w:b/>
        </w:rPr>
        <w:t xml:space="preserve">Carleton, W.</w:t>
      </w:r>
      <w:r>
        <w:t xml:space="preserve">, Klassen, S., Niles-Weed, J., Evans, D., Roberts, P., Groucutt, H. (2023) Bayesian regression versus machine learning for rapid age estimation of archaeological features identified in lidar scans at Angkor. Scientific Reports</w:t>
      </w:r>
      <w:r>
        <w:t xml:space="preserve"> </w:t>
      </w:r>
      <w:hyperlink r:id="rId50">
        <w:r>
          <w:rPr>
            <w:rStyle w:val="Hyperlink"/>
          </w:rPr>
          <w:t xml:space="preserve">DOI: 10.1038/s41598-023-44875-0</w:t>
        </w:r>
      </w:hyperlink>
    </w:p>
    <w:p>
      <w:pPr>
        <w:numPr>
          <w:ilvl w:val="0"/>
          <w:numId w:val="1012"/>
        </w:numPr>
        <w:pStyle w:val="ListParagraph"/>
      </w:pPr>
      <w:r>
        <w:t xml:space="preserve">Patalano, R., Arthur, C.,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Challis, S., Dewar, G., Gayantha, K., Gleixner, G., Ilgner, J., Lucas, M., Marzo, M., Mokhachane, R., Pazan, K., Spurite, D., Morley, M., Parker, A., Mitchell, P., Stewart, B., Roberts, P. Ecological stability of Late Pleistocene-to-Holocene Lesotho, southern Africa, facilitated human upland habitation. Nature Communications Earth and Environment</w:t>
      </w:r>
      <w:r>
        <w:t xml:space="preserve"> </w:t>
      </w:r>
      <w:hyperlink r:id="rId51">
        <w:r>
          <w:rPr>
            <w:rStyle w:val="Hyperlink"/>
          </w:rPr>
          <w:t xml:space="preserve">DOI: 10.1038/s43247-023-00784-8</w:t>
        </w:r>
      </w:hyperlink>
    </w:p>
    <w:bookmarkEnd w:id="52"/>
    <w:bookmarkStart w:id="56" w:name="section-4"/>
    <w:p>
      <w:pPr>
        <w:pStyle w:val="Heading3"/>
      </w:pPr>
      <w:r>
        <w:t xml:space="preserve">2022</w:t>
      </w:r>
    </w:p>
    <w:p>
      <w:pPr>
        <w:numPr>
          <w:ilvl w:val="0"/>
          <w:numId w:val="1013"/>
        </w:numPr>
        <w:pStyle w:val="ListParagraph"/>
      </w:pPr>
      <w:r>
        <w:t xml:space="preserve">Stewart, M.,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Groucutt, H. (2022) Extreme events in biological, societal, and earth sciences: a systematic review of the literature. Frontiers in Earth Science</w:t>
      </w:r>
      <w:r>
        <w:t xml:space="preserve"> </w:t>
      </w:r>
      <w:hyperlink r:id="rId53">
        <w:r>
          <w:rPr>
            <w:rStyle w:val="Hyperlink"/>
          </w:rPr>
          <w:t xml:space="preserve">DOI: 10.3389/feart.2022.786829</w:t>
        </w:r>
      </w:hyperlink>
    </w:p>
    <w:p>
      <w:pPr>
        <w:numPr>
          <w:ilvl w:val="0"/>
          <w:numId w:val="1013"/>
        </w:numPr>
        <w:pStyle w:val="ListParagraph"/>
      </w:pPr>
      <w:r>
        <w:t xml:space="preserve">Stewart, M.,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Groucutt, H. (2022) Reply to: Accurate population proxies do not exist between 11.7 and 15 ka in North America. Nature Communications</w:t>
      </w:r>
      <w:r>
        <w:t xml:space="preserve"> </w:t>
      </w:r>
      <w:hyperlink r:id="rId54">
        <w:r>
          <w:rPr>
            <w:rStyle w:val="Hyperlink"/>
          </w:rPr>
          <w:t xml:space="preserve">DOI: 10.1038/s41467-022-32356-3</w:t>
        </w:r>
      </w:hyperlink>
    </w:p>
    <w:p>
      <w:pPr>
        <w:numPr>
          <w:ilvl w:val="0"/>
          <w:numId w:val="1013"/>
        </w:numPr>
        <w:pStyle w:val="ListParagraph"/>
      </w:pPr>
      <w:r>
        <w:t xml:space="preserve">Rondeau, R.,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Collard, M., Driver, J. (2022) Does the Locally-Adaptive Model of Archaeological Potential (LAMAP) work for hunter-gatherer sites? A test using data from the Tanana Valley, Alaska. PLoS ONE</w:t>
      </w:r>
      <w:r>
        <w:t xml:space="preserve"> </w:t>
      </w:r>
      <w:hyperlink r:id="rId55">
        <w:r>
          <w:rPr>
            <w:rStyle w:val="Hyperlink"/>
          </w:rPr>
          <w:t xml:space="preserve">DOI: 10.1371/journal.pone.0265597</w:t>
        </w:r>
      </w:hyperlink>
    </w:p>
    <w:bookmarkEnd w:id="56"/>
    <w:bookmarkStart w:id="59" w:name="section-5"/>
    <w:p>
      <w:pPr>
        <w:pStyle w:val="Heading3"/>
      </w:pPr>
      <w:r>
        <w:t xml:space="preserve">2022</w:t>
      </w:r>
    </w:p>
    <w:p>
      <w:pPr>
        <w:numPr>
          <w:ilvl w:val="0"/>
          <w:numId w:val="1014"/>
        </w:numPr>
        <w:pStyle w:val="ListParagraph"/>
      </w:pPr>
      <w:r>
        <w:t xml:space="preserve">Stewart, M.,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Groucutt, H. (2022) Extreme events in biological, societal, and earth sciences: a systematic review of the literature. Frontiers in Earth Science</w:t>
      </w:r>
      <w:r>
        <w:t xml:space="preserve"> </w:t>
      </w:r>
      <w:hyperlink r:id="rId53">
        <w:r>
          <w:rPr>
            <w:rStyle w:val="Hyperlink"/>
          </w:rPr>
          <w:t xml:space="preserve">DOI: 10.3389/feart.2022.786829</w:t>
        </w:r>
      </w:hyperlink>
    </w:p>
    <w:p>
      <w:pPr>
        <w:numPr>
          <w:ilvl w:val="0"/>
          <w:numId w:val="1014"/>
        </w:numPr>
        <w:pStyle w:val="ListParagraph"/>
      </w:pPr>
      <w:r>
        <w:t xml:space="preserve">Stewart, M.,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Groucutt, H. (2022) Reply to: Accurate population proxies do not exist between 11.7 and 15 ka in North America. Nature Communications</w:t>
      </w:r>
      <w:r>
        <w:t xml:space="preserve"> </w:t>
      </w:r>
      <w:hyperlink r:id="rId57">
        <w:r>
          <w:rPr>
            <w:rStyle w:val="Hyperlink"/>
          </w:rPr>
          <w:t xml:space="preserve">DOI: 0.1038/s41467-022-32356-3</w:t>
        </w:r>
      </w:hyperlink>
    </w:p>
    <w:p>
      <w:pPr>
        <w:numPr>
          <w:ilvl w:val="0"/>
          <w:numId w:val="1014"/>
        </w:numPr>
        <w:pStyle w:val="ListParagraph"/>
      </w:pPr>
      <w:r>
        <w:t xml:space="preserve">Rondeau, R.,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Collard, M., Driver, J. (2022) Does the Locally-Adaptive Model of Archaeological Potential (LAMAP) work for hunter-gatherer sites? A test using data from the Tanana Valley, Alaska. PLoS ONE</w:t>
      </w:r>
      <w:r>
        <w:t xml:space="preserve"> </w:t>
      </w:r>
      <w:hyperlink r:id="rId55">
        <w:r>
          <w:rPr>
            <w:rStyle w:val="Hyperlink"/>
          </w:rPr>
          <w:t xml:space="preserve">DOI: 10.1371/journal.pone.0265597</w:t>
        </w:r>
      </w:hyperlink>
    </w:p>
    <w:p>
      <w:pPr>
        <w:numPr>
          <w:ilvl w:val="0"/>
          <w:numId w:val="1014"/>
        </w:numPr>
        <w:pStyle w:val="ListParagraph"/>
      </w:pPr>
      <w:r>
        <w:t xml:space="preserve">Groucutt, H.,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Fenech, K., Gauci, R., Grima, R., Scerri, E., Stewart, M., and Vella, N. (2022) The 4.2 ka event and the end of the Maltese ’Temple Period’. Frontiers in Earth Science</w:t>
      </w:r>
      <w:r>
        <w:t xml:space="preserve"> </w:t>
      </w:r>
      <w:hyperlink r:id="rId58">
        <w:r>
          <w:rPr>
            <w:rStyle w:val="Hyperlink"/>
          </w:rPr>
          <w:t xml:space="preserve">DOI: 10.3389/feart.2021.771683</w:t>
        </w:r>
      </w:hyperlink>
    </w:p>
    <w:bookmarkEnd w:id="59"/>
    <w:bookmarkStart w:id="66" w:name="section-6"/>
    <w:p>
      <w:pPr>
        <w:pStyle w:val="Heading3"/>
      </w:pPr>
      <w:r>
        <w:t xml:space="preserve">2021</w:t>
      </w:r>
    </w:p>
    <w:p>
      <w:pPr>
        <w:numPr>
          <w:ilvl w:val="0"/>
          <w:numId w:val="1015"/>
        </w:numPr>
        <w:pStyle w:val="ListParagraph"/>
      </w:pPr>
      <w:r>
        <w:rPr>
          <w:bCs/>
          <w:b/>
        </w:rPr>
        <w:t xml:space="preserve">Carleton, W.</w:t>
      </w:r>
      <w:r>
        <w:t xml:space="preserve">, Campbell, D., Collard, M. (2021) A reassessment of the impact of temperature change on European conflict during the second millennium CE using a bespoke Bayesian time-series model. Climatic Change.</w:t>
      </w:r>
      <w:r>
        <w:t xml:space="preserve"> </w:t>
      </w:r>
      <w:hyperlink r:id="rId60">
        <w:r>
          <w:rPr>
            <w:rStyle w:val="Hyperlink"/>
          </w:rPr>
          <w:t xml:space="preserve">DOI: 10.1007/s10584-021-03022-2</w:t>
        </w:r>
      </w:hyperlink>
    </w:p>
    <w:p>
      <w:pPr>
        <w:numPr>
          <w:ilvl w:val="0"/>
          <w:numId w:val="1015"/>
        </w:numPr>
        <w:pStyle w:val="ListParagraph"/>
      </w:pPr>
      <w:r>
        <w:rPr>
          <w:bCs/>
          <w:b/>
        </w:rPr>
        <w:t xml:space="preserve">Carleton, W.</w:t>
      </w:r>
      <w:r>
        <w:t xml:space="preserve">, Stewart, M., Collard, M., Groucutt, H. (2021) A Song of Neither Ice nor Fire: Temperature Extremes had No Impact on Violent Conflict Among European Societies During the 2nd Millennium CE. Frontiers in Earth Science.</w:t>
      </w:r>
      <w:r>
        <w:t xml:space="preserve"> </w:t>
      </w:r>
      <w:hyperlink r:id="rId61">
        <w:r>
          <w:rPr>
            <w:rStyle w:val="Hyperlink"/>
          </w:rPr>
          <w:t xml:space="preserve">DOI: 10.3389/feart.2021.769107</w:t>
        </w:r>
      </w:hyperlink>
    </w:p>
    <w:p>
      <w:pPr>
        <w:numPr>
          <w:ilvl w:val="0"/>
          <w:numId w:val="1015"/>
        </w:numPr>
        <w:pStyle w:val="ListParagraph"/>
      </w:pPr>
      <w:r>
        <w:t xml:space="preserve">Collard, M.,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Campbell, D. (2021) Rainfall, temperature, and Classic Maya conflict: A comparison of hypotheses using Bayesian time-series analysis. PLoS One, 16(7):e0253043.</w:t>
      </w:r>
      <w:r>
        <w:t xml:space="preserve"> </w:t>
      </w:r>
      <w:hyperlink r:id="rId62">
        <w:r>
          <w:rPr>
            <w:rStyle w:val="Hyperlink"/>
          </w:rPr>
          <w:t xml:space="preserve">DOI: 10.1371/journal.pone.0253043</w:t>
        </w:r>
      </w:hyperlink>
    </w:p>
    <w:p>
      <w:pPr>
        <w:numPr>
          <w:ilvl w:val="0"/>
          <w:numId w:val="1015"/>
        </w:numPr>
        <w:pStyle w:val="ListParagraph"/>
      </w:pPr>
      <w:r>
        <w:t xml:space="preserve">Groucutt, H. and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 </w:t>
      </w:r>
      <w:r>
        <w:t xml:space="preserve">(2021) Mass-kill hunting and Late Quaternary ecology: New insights into the</w:t>
      </w:r>
      <w:r>
        <w:t xml:space="preserve"> </w:t>
      </w:r>
      <w:r>
        <w:t xml:space="preserve">‘</w:t>
      </w:r>
      <w:r>
        <w:t xml:space="preserve">desert kite</w:t>
      </w:r>
      <w:r>
        <w:t xml:space="preserve">’</w:t>
      </w:r>
      <w:r>
        <w:t xml:space="preserve"> </w:t>
      </w:r>
      <w:r>
        <w:t xml:space="preserve">phenomenon in Arabia. Journal of Archaeological Science: Reports.</w:t>
      </w:r>
      <w:r>
        <w:t xml:space="preserve"> </w:t>
      </w:r>
      <w:hyperlink r:id="rId63">
        <w:r>
          <w:rPr>
            <w:rStyle w:val="Hyperlink"/>
          </w:rPr>
          <w:t xml:space="preserve">DOI: 10.1016/j.jasrep.2021.102995</w:t>
        </w:r>
      </w:hyperlink>
    </w:p>
    <w:p>
      <w:pPr>
        <w:numPr>
          <w:ilvl w:val="0"/>
          <w:numId w:val="1015"/>
        </w:numPr>
        <w:pStyle w:val="ListParagraph"/>
      </w:pPr>
      <w:r>
        <w:t xml:space="preserve">Groucutt, H., White, T., Scerri, E.M.L., Andrieux, E., Clark-Wilson, R., Breeze, P.S., Armitage, S.J., Stewart, M., Drake, N., Louys, J., Price, G., Duval, M., Parton, A., Candy, I.,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Clark-Balzan, L., Shipton, C., Jennings, R.P., Zahir, M., Blinkhorn, J., Blockley, S., Al-Omari, A., Alsharekh, A., Petraglia, M.D. (2021) Multiple hominin dispersals into Southwest Asia over the last 400,000 years. Nature, 597(7876):376-380.</w:t>
      </w:r>
      <w:r>
        <w:t xml:space="preserve"> </w:t>
      </w:r>
      <w:hyperlink r:id="rId64">
        <w:r>
          <w:rPr>
            <w:rStyle w:val="Hyperlink"/>
          </w:rPr>
          <w:t xml:space="preserve">DOI: 10.1038/s41586-021-03863-y</w:t>
        </w:r>
      </w:hyperlink>
    </w:p>
    <w:p>
      <w:pPr>
        <w:numPr>
          <w:ilvl w:val="0"/>
          <w:numId w:val="1015"/>
        </w:numPr>
        <w:pStyle w:val="ListParagraph"/>
      </w:pPr>
      <w:r>
        <w:t xml:space="preserve">Stewart, M.,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Groucutt, H. (2021) Climate change, not human population growth, correlates with the Late Pleistocene megafauna extinctions in North America. Nature Communications.</w:t>
      </w:r>
      <w:r>
        <w:t xml:space="preserve"> </w:t>
      </w:r>
      <w:hyperlink r:id="rId65">
        <w:r>
          <w:rPr>
            <w:rStyle w:val="Hyperlink"/>
          </w:rPr>
          <w:t xml:space="preserve">DOI: 10.1038/s41467-021-21201-8</w:t>
        </w:r>
      </w:hyperlink>
    </w:p>
    <w:bookmarkEnd w:id="66"/>
    <w:bookmarkStart w:id="69" w:name="section-7"/>
    <w:p>
      <w:pPr>
        <w:pStyle w:val="Heading3"/>
      </w:pPr>
      <w:r>
        <w:t xml:space="preserve">2020</w:t>
      </w:r>
    </w:p>
    <w:p>
      <w:pPr>
        <w:numPr>
          <w:ilvl w:val="0"/>
          <w:numId w:val="1016"/>
        </w:numPr>
        <w:pStyle w:val="ListParagraph"/>
      </w:pPr>
      <w:r>
        <w:rPr>
          <w:bCs/>
          <w:b/>
        </w:rPr>
        <w:t xml:space="preserve">Carleton W.</w:t>
      </w:r>
      <w:r>
        <w:t xml:space="preserve"> </w:t>
      </w:r>
      <w:r>
        <w:t xml:space="preserve">and Groucutt, H. (2020) Sum things are not what they seem: Problems with point-wise interpretations and quantitative analyses of proxies based on aggregated radiocarbon dates. The Holocene.</w:t>
      </w:r>
      <w:r>
        <w:t xml:space="preserve"> </w:t>
      </w:r>
      <w:hyperlink r:id="rId67">
        <w:r>
          <w:rPr>
            <w:rStyle w:val="Hyperlink"/>
          </w:rPr>
          <w:t xml:space="preserve">DOI: 10.1177/0959683620981700</w:t>
        </w:r>
      </w:hyperlink>
    </w:p>
    <w:p>
      <w:pPr>
        <w:numPr>
          <w:ilvl w:val="0"/>
          <w:numId w:val="1016"/>
        </w:numPr>
        <w:pStyle w:val="ListParagraph"/>
      </w:pPr>
      <w:r>
        <w:rPr>
          <w:bCs/>
          <w:b/>
        </w:rPr>
        <w:t xml:space="preserve">Carleton, W.</w:t>
      </w:r>
      <w:r>
        <w:t xml:space="preserve"> </w:t>
      </w:r>
      <w:r>
        <w:t xml:space="preserve">(2020) Evaluating Bayesian radiocarbon-dated event-count (REC) models for the study of long-term human and environmental processes. Journal of Quaternary Science.</w:t>
      </w:r>
      <w:r>
        <w:t xml:space="preserve"> </w:t>
      </w:r>
      <w:hyperlink r:id="rId68">
        <w:r>
          <w:rPr>
            <w:rStyle w:val="Hyperlink"/>
          </w:rPr>
          <w:t xml:space="preserve">DOI: 10.1002/jqs.3256</w:t>
        </w:r>
      </w:hyperlink>
    </w:p>
    <w:bookmarkEnd w:id="69"/>
    <w:bookmarkStart w:id="78" w:name="and-older"/>
    <w:p>
      <w:pPr>
        <w:pStyle w:val="Heading3"/>
      </w:pPr>
      <w:r>
        <w:t xml:space="preserve">2019 and older</w:t>
      </w:r>
    </w:p>
    <w:p>
      <w:pPr>
        <w:numPr>
          <w:ilvl w:val="0"/>
          <w:numId w:val="1017"/>
        </w:numPr>
        <w:pStyle w:val="ListParagraph"/>
      </w:pPr>
      <w:r>
        <w:rPr>
          <w:bCs/>
          <w:b/>
        </w:rPr>
        <w:t xml:space="preserve">Carleton, W.</w:t>
      </w:r>
      <w:r>
        <w:t xml:space="preserve">, McCauley, B., Costopolous, A., Collard, M. (2019) Agent-based model experiments cast doubt on Dunnell’s adaptive waste explanation for cultural elaboration. Science and Technology in Archaeology (STAR).</w:t>
      </w:r>
      <w:r>
        <w:t xml:space="preserve"> </w:t>
      </w:r>
      <w:hyperlink r:id="rId70">
        <w:r>
          <w:rPr>
            <w:rStyle w:val="Hyperlink"/>
          </w:rPr>
          <w:t xml:space="preserve">DOI: 10.1080/20548923.2019.1647648</w:t>
        </w:r>
      </w:hyperlink>
    </w:p>
    <w:p>
      <w:pPr>
        <w:numPr>
          <w:ilvl w:val="0"/>
          <w:numId w:val="1017"/>
        </w:numPr>
        <w:pStyle w:val="ListParagraph"/>
      </w:pPr>
      <w:r>
        <w:rPr>
          <w:bCs/>
          <w:b/>
        </w:rPr>
        <w:t xml:space="preserve">Carleton, W.</w:t>
      </w:r>
      <w:r>
        <w:t xml:space="preserve">, and Collard, M. (2019) Recent major themes and research areas in the study of human-environment interaction in prehistory. Environmental Archaeology.</w:t>
      </w:r>
      <w:r>
        <w:t xml:space="preserve"> </w:t>
      </w:r>
      <w:hyperlink r:id="rId71">
        <w:r>
          <w:rPr>
            <w:rStyle w:val="Hyperlink"/>
          </w:rPr>
          <w:t xml:space="preserve">DOI: 10.1080/14614103.2018.1560932</w:t>
        </w:r>
      </w:hyperlink>
    </w:p>
    <w:p>
      <w:pPr>
        <w:numPr>
          <w:ilvl w:val="0"/>
          <w:numId w:val="1017"/>
        </w:numPr>
        <w:pStyle w:val="ListParagraph"/>
      </w:pPr>
      <w:r>
        <w:rPr>
          <w:bCs/>
          <w:b/>
        </w:rPr>
        <w:t xml:space="preserve">Carleton, W.</w:t>
      </w:r>
      <w:r>
        <w:t xml:space="preserve">, Campbell, D., Collard, M. (2018) Chronological uncertainty severely complicates the identification of cyclical processes in radiocarbon-dated time-series. Palaeogeography, Palaeoclimatology, Palaeoecology 506:22-29.</w:t>
      </w:r>
      <w:r>
        <w:t xml:space="preserve"> </w:t>
      </w:r>
      <w:hyperlink r:id="rId72">
        <w:r>
          <w:rPr>
            <w:rStyle w:val="Hyperlink"/>
          </w:rPr>
          <w:t xml:space="preserve">DOI: 10.1016/j.palaeo.2018.06.002</w:t>
        </w:r>
      </w:hyperlink>
    </w:p>
    <w:p>
      <w:pPr>
        <w:numPr>
          <w:ilvl w:val="0"/>
          <w:numId w:val="1017"/>
        </w:numPr>
        <w:pStyle w:val="ListParagraph"/>
      </w:pPr>
      <w:r>
        <w:rPr>
          <w:bCs/>
          <w:b/>
        </w:rPr>
        <w:t xml:space="preserve">Carleton, W.</w:t>
      </w:r>
      <w:r>
        <w:t xml:space="preserve">, Campbell, D., Collard, M. (2018) Radiocarbon dating uncertainty and the reliability of the PEWMA method of time-series analysis for research on long-term human-environment interaction. PloS ONE 13(1): e0191055.</w:t>
      </w:r>
      <w:r>
        <w:t xml:space="preserve"> </w:t>
      </w:r>
      <w:hyperlink r:id="rId73">
        <w:r>
          <w:rPr>
            <w:rStyle w:val="Hyperlink"/>
          </w:rPr>
          <w:t xml:space="preserve">DOI: 10.1371/journal.pone.0191055</w:t>
        </w:r>
      </w:hyperlink>
    </w:p>
    <w:p>
      <w:pPr>
        <w:numPr>
          <w:ilvl w:val="0"/>
          <w:numId w:val="1017"/>
        </w:numPr>
        <w:pStyle w:val="ListParagraph"/>
      </w:pPr>
      <w:r>
        <w:rPr>
          <w:bCs/>
          <w:b/>
        </w:rPr>
        <w:t xml:space="preserve">Carleton, W.</w:t>
      </w:r>
      <w:r>
        <w:t xml:space="preserve">, Campbell, D., Collard, M. (2017) Increasing temperature exacerbated Classic Maya conflict over the long term. Quaternary Science Reviews 163:209–218.</w:t>
      </w:r>
      <w:r>
        <w:t xml:space="preserve"> </w:t>
      </w:r>
      <w:hyperlink r:id="rId74">
        <w:r>
          <w:rPr>
            <w:rStyle w:val="Hyperlink"/>
          </w:rPr>
          <w:t xml:space="preserve">DOI: 10.1016/j.quascirev.2017.02.022</w:t>
        </w:r>
      </w:hyperlink>
    </w:p>
    <w:p>
      <w:pPr>
        <w:numPr>
          <w:ilvl w:val="0"/>
          <w:numId w:val="1017"/>
        </w:numPr>
        <w:pStyle w:val="ListParagraph"/>
      </w:pPr>
      <w:r>
        <w:rPr>
          <w:bCs/>
          <w:b/>
        </w:rPr>
        <w:t xml:space="preserve">Carleton, W.</w:t>
      </w:r>
      <w:r>
        <w:t xml:space="preserve">, Cheong, K., Savage, D., Barry, J., Conolly, J., Iannone, G. (2017) A Comprehensive Test of the Locally-Adaptive Model of Archaeological Potential (LAMAP). Journal of Archaeological Science: Reports, 11:59–68.</w:t>
      </w:r>
      <w:r>
        <w:t xml:space="preserve"> </w:t>
      </w:r>
      <w:hyperlink r:id="rId75">
        <w:r>
          <w:rPr>
            <w:rStyle w:val="Hyperlink"/>
          </w:rPr>
          <w:t xml:space="preserve">DOI: 10.1016/j.jasrep.2016.11.027</w:t>
        </w:r>
      </w:hyperlink>
    </w:p>
    <w:p>
      <w:pPr>
        <w:numPr>
          <w:ilvl w:val="0"/>
          <w:numId w:val="1017"/>
        </w:numPr>
        <w:pStyle w:val="ListParagraph"/>
      </w:pPr>
      <w:r>
        <w:rPr>
          <w:bCs/>
          <w:b/>
        </w:rPr>
        <w:t xml:space="preserve">Carleton, W.</w:t>
      </w:r>
      <w:r>
        <w:t xml:space="preserve">, Campbell, D., Collard, M. (2014) A reassessment of the impact of drought cycles on the Classic Maya. Quaternary Science Reviews 105:151–161. [DOI: 10.1016/j.quascirev.2014.09.032](https://www.sciencedirect.com/sc</w:t>
      </w:r>
    </w:p>
    <w:p>
      <w:pPr>
        <w:numPr>
          <w:ilvl w:val="0"/>
          <w:numId w:val="1017"/>
        </w:numPr>
        <w:pStyle w:val="ListParagraph"/>
      </w:pPr>
      <w:r>
        <w:rPr>
          <w:bCs/>
          <w:b/>
        </w:rPr>
        <w:t xml:space="preserve">Carleton, W.</w:t>
      </w:r>
      <w:r>
        <w:t xml:space="preserve">, Conolly, J., and Collard, M. (2013) Corporate kin-groups, social memory, and ``history houses’’? A quantitative test of recent reconstructions of social organization and building function at Çatalhöyük during the PPNB. Journal of Archaeological Science, 40(4):1816–1822.</w:t>
      </w:r>
      <w:r>
        <w:t xml:space="preserve"> </w:t>
      </w:r>
      <w:hyperlink r:id="rId76">
        <w:r>
          <w:rPr>
            <w:rStyle w:val="Hyperlink"/>
          </w:rPr>
          <w:t xml:space="preserve">DOI: 10.1016/j.jas.2012.11.011</w:t>
        </w:r>
      </w:hyperlink>
    </w:p>
    <w:p>
      <w:pPr>
        <w:numPr>
          <w:ilvl w:val="0"/>
          <w:numId w:val="1017"/>
        </w:numPr>
        <w:pStyle w:val="ListParagraph"/>
      </w:pPr>
      <w:r>
        <w:rPr>
          <w:bCs/>
          <w:b/>
        </w:rPr>
        <w:t xml:space="preserve">Carleton, W.</w:t>
      </w:r>
      <w:r>
        <w:t xml:space="preserve">, Conolly J., and Iannone G. (2012) A Locally-Adaptive Model of Archaeological Potential (LAMAP). Journal of Archaeological Science, 39(11):3371–3385.</w:t>
      </w:r>
      <w:r>
        <w:t xml:space="preserve"> </w:t>
      </w:r>
      <w:hyperlink r:id="rId77">
        <w:r>
          <w:rPr>
            <w:rStyle w:val="Hyperlink"/>
          </w:rPr>
          <w:t xml:space="preserve">DOI: 10.1016/j.jas.2012.05.022</w:t>
        </w:r>
      </w:hyperlink>
    </w:p>
    <w:bookmarkEnd w:id="78"/>
    <w:bookmarkEnd w:id="79"/>
    <w:bookmarkStart w:id="81" w:name="peer-reviewed-book-chapters"/>
    <w:p>
      <w:pPr>
        <w:pStyle w:val="Heading1"/>
      </w:pPr>
      <w:r>
        <w:t xml:space="preserve">Peer-Reviewed Book Chapters</w:t>
      </w:r>
    </w:p>
    <w:p>
      <w:pPr>
        <w:numPr>
          <w:ilvl w:val="0"/>
          <w:numId w:val="1018"/>
        </w:numPr>
        <w:pStyle w:val="ListParagraph"/>
      </w:pPr>
      <w:r>
        <w:t xml:space="preserve">Vandam, R., Willett, P.,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Poblome, J. (2021) Get Going with Survey Legacy Data. The 2018 and 2019 Archaeological Survey Results from the Sagalassos Archaeological Research Project, in</w:t>
      </w:r>
      <w:r>
        <w:t xml:space="preserve"> </w:t>
      </w:r>
      <w:r>
        <w:rPr>
          <w:iCs/>
          <w:i/>
        </w:rPr>
        <w:t xml:space="preserve">The Archaeology of Anatolia Volume IV: Recent Discoveries (2018–2020)</w:t>
      </w:r>
      <w:r>
        <w:t xml:space="preserve">. Cambridge Scholars Publishing.</w:t>
      </w:r>
      <w:r>
        <w:t xml:space="preserve"> </w:t>
      </w:r>
      <w:hyperlink r:id="rId80">
        <w:r>
          <w:rPr>
            <w:rStyle w:val="Hyperlink"/>
          </w:rPr>
          <w:t xml:space="preserve">Online record</w:t>
        </w:r>
      </w:hyperlink>
    </w:p>
    <w:bookmarkEnd w:id="81"/>
    <w:bookmarkStart w:id="83" w:name="book-chapters"/>
    <w:p>
      <w:pPr>
        <w:pStyle w:val="Heading1"/>
      </w:pPr>
      <w:r>
        <w:t xml:space="preserve">Book Chapters</w:t>
      </w:r>
    </w:p>
    <w:p>
      <w:pPr>
        <w:numPr>
          <w:ilvl w:val="0"/>
          <w:numId w:val="1019"/>
        </w:numPr>
        <w:pStyle w:val="ListParagraph"/>
      </w:pPr>
      <w:r>
        <w:t xml:space="preserve">Willett, P.,</w:t>
      </w:r>
      <w:r>
        <w:t xml:space="preserve"> </w:t>
      </w:r>
      <w:r>
        <w:rPr>
          <w:bCs/>
          <w:b/>
        </w:rPr>
        <w:t xml:space="preserve">Carleton, W.</w:t>
      </w:r>
      <w:r>
        <w:t xml:space="preserve">, Torun, F. E., Vandam, R., Poblome, J., and Garstki, K. (Accepted/In press). Modeling Archaeological Potentials in Southwest Anatolia. A Tool for Planning Sustainable Futures at Ancient Sagalassos. In Critical Archaeology in the Digital Age Cotsen Press.</w:t>
      </w:r>
      <w:r>
        <w:t xml:space="preserve"> </w:t>
      </w:r>
      <w:hyperlink r:id="rId82">
        <w:r>
          <w:rPr>
            <w:rStyle w:val="Hyperlink"/>
          </w:rPr>
          <w:t xml:space="preserve">Online record</w:t>
        </w:r>
      </w:hyperlink>
    </w:p>
    <w:bookmarkEnd w:id="83"/>
    <w:bookmarkStart w:id="84" w:name="conference-presentations"/>
    <w:p>
      <w:pPr>
        <w:pStyle w:val="Heading1"/>
      </w:pPr>
      <w:r>
        <w:t xml:space="preserve">Conference Presentations</w:t>
      </w:r>
    </w:p>
    <w:p>
      <w:pPr>
        <w:numPr>
          <w:ilvl w:val="0"/>
          <w:numId w:val="1020"/>
        </w:numPr>
        <w:pStyle w:val="ListParagraph"/>
      </w:pPr>
      <w:r>
        <w:rPr>
          <w:bCs/>
          <w:b/>
        </w:rPr>
        <w:t xml:space="preserve">Carleton, W.</w:t>
      </w:r>
      <w:r>
        <w:t xml:space="preserve">, Campbell, D., Collard, M., 2017.</w:t>
      </w:r>
      <w:r>
        <w:t xml:space="preserve"> </w:t>
      </w:r>
      <w:r>
        <w:t xml:space="preserve">“</w:t>
      </w:r>
      <w:r>
        <w:t xml:space="preserve">Chronological uncertainty severely undermines our ability to identify cycles in palaeoenvironmental records</w:t>
      </w:r>
      <w:r>
        <w:t xml:space="preserve">”</w:t>
      </w:r>
      <w:r>
        <w:t xml:space="preserve"> </w:t>
      </w:r>
      <w:r>
        <w:t xml:space="preserve">paper presented at the 23rd Annual Meeting of the European Association of Archaeologists in Maastricht, Netherlands.</w:t>
      </w:r>
    </w:p>
    <w:p>
      <w:pPr>
        <w:numPr>
          <w:ilvl w:val="0"/>
          <w:numId w:val="1020"/>
        </w:numPr>
        <w:pStyle w:val="ListParagraph"/>
      </w:pPr>
      <w:r>
        <w:rPr>
          <w:bCs/>
          <w:b/>
        </w:rPr>
        <w:t xml:space="preserve">Carleton, W.</w:t>
      </w:r>
      <w:r>
        <w:t xml:space="preserve">, Campbell, D., Collard, M., 2017.</w:t>
      </w:r>
      <w:r>
        <w:t xml:space="preserve"> </w:t>
      </w:r>
      <w:r>
        <w:t xml:space="preserve">“</w:t>
      </w:r>
      <w:r>
        <w:t xml:space="preserve">Chronological uncertainty severely undermines our ability to identify cycles in archaeological and palaeoenvironmental records</w:t>
      </w:r>
      <w:r>
        <w:t xml:space="preserve">”</w:t>
      </w:r>
      <w:r>
        <w:t xml:space="preserve"> </w:t>
      </w:r>
      <w:r>
        <w:t xml:space="preserve">paper presented at the 82nd Annual Meeting of the Society for American Archaeology in Vancouver, BC.</w:t>
      </w:r>
    </w:p>
    <w:p>
      <w:pPr>
        <w:numPr>
          <w:ilvl w:val="0"/>
          <w:numId w:val="1020"/>
        </w:numPr>
        <w:pStyle w:val="ListParagraph"/>
      </w:pPr>
      <w:r>
        <w:t xml:space="preserve">Kong, C.,</w:t>
      </w:r>
      <w:r>
        <w:t xml:space="preserve"> </w:t>
      </w:r>
      <w:r>
        <w:rPr>
          <w:bCs/>
          <w:b/>
        </w:rPr>
        <w:t xml:space="preserve">W. Carleton</w:t>
      </w:r>
      <w:r>
        <w:t xml:space="preserve">, D. Savage, J. Conolly, G. Ianonne, J. Barry, 2015.</w:t>
      </w:r>
      <w:r>
        <w:t xml:space="preserve"> </w:t>
      </w:r>
      <w:r>
        <w:t xml:space="preserve">“</w:t>
      </w:r>
      <w:r>
        <w:t xml:space="preserve">Testing a Locally-Adaptive Model of Archaeological Potential (LAMAP) to Assess Ancient Maya Settlement Location and Density in Belize’s North Vaca Plateau,</w:t>
      </w:r>
      <w:r>
        <w:t xml:space="preserve">”</w:t>
      </w:r>
      <w:r>
        <w:t xml:space="preserve"> </w:t>
      </w:r>
      <w:r>
        <w:t xml:space="preserve">paper presented at the 80th Annual Meeting of the Society for American Archaeology in San Francisco, CA.</w:t>
      </w:r>
    </w:p>
    <w:p>
      <w:pPr>
        <w:numPr>
          <w:ilvl w:val="0"/>
          <w:numId w:val="1020"/>
        </w:numPr>
        <w:pStyle w:val="ListParagraph"/>
      </w:pPr>
      <w:r>
        <w:rPr>
          <w:bCs/>
          <w:b/>
        </w:rPr>
        <w:t xml:space="preserve">Carleton, W.</w:t>
      </w:r>
      <w:r>
        <w:t xml:space="preserve">, M. Collard, and D. Campbell. 2015.</w:t>
      </w:r>
      <w:r>
        <w:t xml:space="preserve"> </w:t>
      </w:r>
      <w:r>
        <w:t xml:space="preserve">“</w:t>
      </w:r>
      <w:r>
        <w:t xml:space="preserve">Parched and prickly or hot and bothered? Comparing drought and temperature as potential drivers of Classic Maya Conflict,</w:t>
      </w:r>
      <w:r>
        <w:t xml:space="preserve">”</w:t>
      </w:r>
      <w:r>
        <w:t xml:space="preserve"> </w:t>
      </w:r>
      <w:r>
        <w:t xml:space="preserve">paper presented at the 80th Annual Meeting of the Society for American Archaeology in San Francisco, CA.</w:t>
      </w:r>
    </w:p>
    <w:p>
      <w:pPr>
        <w:numPr>
          <w:ilvl w:val="0"/>
          <w:numId w:val="1020"/>
        </w:numPr>
        <w:pStyle w:val="ListParagraph"/>
      </w:pPr>
      <w:r>
        <w:rPr>
          <w:bCs/>
          <w:b/>
        </w:rPr>
        <w:t xml:space="preserve">Carleton, W.</w:t>
      </w:r>
      <w:r>
        <w:t xml:space="preserve">, M. Collard, and D. Campbell. 2015.</w:t>
      </w:r>
      <w:r>
        <w:t xml:space="preserve"> </w:t>
      </w:r>
      <w:r>
        <w:t xml:space="preserve">“</w:t>
      </w:r>
      <w:r>
        <w:t xml:space="preserve">Parched and prickly or hot and bothered? Comparing drought and temperature as potential drivers of Classic Maya Conflict,</w:t>
      </w:r>
      <w:r>
        <w:t xml:space="preserve">”</w:t>
      </w:r>
      <w:r>
        <w:t xml:space="preserve"> </w:t>
      </w:r>
      <w:r>
        <w:t xml:space="preserve">paper presented at the 4th annual Human Evolutionary Studies Program Symposium, Burnaby, BC.</w:t>
      </w:r>
    </w:p>
    <w:p>
      <w:pPr>
        <w:numPr>
          <w:ilvl w:val="0"/>
          <w:numId w:val="1020"/>
        </w:numPr>
        <w:pStyle w:val="ListParagraph"/>
      </w:pPr>
      <w:r>
        <w:rPr>
          <w:bCs/>
          <w:b/>
        </w:rPr>
        <w:t xml:space="preserve">Carleton, W.</w:t>
      </w:r>
      <w:r>
        <w:t xml:space="preserve">, M. Collard, D. Campbell, and J. Munson. 2013.</w:t>
      </w:r>
      <w:r>
        <w:t xml:space="preserve"> </w:t>
      </w:r>
      <w:r>
        <w:t xml:space="preserve">“</w:t>
      </w:r>
      <w:r>
        <w:t xml:space="preserve">Debating drought cycles and their influence on Maya society,</w:t>
      </w:r>
      <w:r>
        <w:t xml:space="preserve">”</w:t>
      </w:r>
      <w:r>
        <w:t xml:space="preserve"> </w:t>
      </w:r>
      <w:r>
        <w:t xml:space="preserve">paper presented at the 78th annual meeting of the Society for American Archaeology, Honolulu, HI.</w:t>
      </w:r>
    </w:p>
    <w:p>
      <w:pPr>
        <w:numPr>
          <w:ilvl w:val="0"/>
          <w:numId w:val="1020"/>
        </w:numPr>
        <w:pStyle w:val="ListParagraph"/>
      </w:pPr>
      <w:r>
        <w:rPr>
          <w:bCs/>
          <w:b/>
        </w:rPr>
        <w:t xml:space="preserve">Carleton, W.</w:t>
      </w:r>
      <w:r>
        <w:t xml:space="preserve">, J. Conolly, and M. Collard. 2012.</w:t>
      </w:r>
      <w:r>
        <w:t xml:space="preserve"> </w:t>
      </w:r>
      <w:r>
        <w:t xml:space="preserve">“</w:t>
      </w:r>
      <w:r>
        <w:t xml:space="preserve">Socioeconomic structure at Catalhoyuk: debating corporate kin-groups,</w:t>
      </w:r>
      <w:r>
        <w:t xml:space="preserve">”</w:t>
      </w:r>
      <w:r>
        <w:t xml:space="preserve"> </w:t>
      </w:r>
      <w:r>
        <w:t xml:space="preserve">paper presented at the 77th annual meeting of the Society for American Archaeology, Memphis, TN.</w:t>
      </w:r>
    </w:p>
    <w:bookmarkEnd w:id="84"/>
    <w:bookmarkEnd w:id="85"/>
    <w:bookmarkStart w:id="91" w:name="teaching-and-supervision"/>
    <w:p>
      <w:pPr>
        <w:pStyle w:val="Heading1"/>
      </w:pPr>
      <w:r>
        <w:t xml:space="preserve">Teaching and Supervision</w:t>
      </w:r>
    </w:p>
    <w:bookmarkStart w:id="86" w:name="courses-taught"/>
    <w:p>
      <w:pPr>
        <w:pStyle w:val="Heading1"/>
      </w:pPr>
      <w:r>
        <w:t xml:space="preserve">Courses Taught</w:t>
      </w:r>
    </w:p>
    <w:p>
      <w:pPr>
        <w:numPr>
          <w:ilvl w:val="0"/>
          <w:numId w:val="1021"/>
        </w:numPr>
        <w:pStyle w:val="ListParagraph"/>
      </w:pPr>
      <w:r>
        <w:t xml:space="preserve">2023 Summer Session: Archaeological Data Science, University of Cologne, Germany</w:t>
      </w:r>
    </w:p>
    <w:p>
      <w:pPr>
        <w:numPr>
          <w:ilvl w:val="0"/>
          <w:numId w:val="1021"/>
        </w:numPr>
        <w:pStyle w:val="ListParagraph"/>
      </w:pPr>
      <w:r>
        <w:t xml:space="preserve">2023 Summer Session (co-taught): Archaeological Science and Statistics, Friedrich Schiller University, Jena, Germany</w:t>
      </w:r>
    </w:p>
    <w:bookmarkEnd w:id="86"/>
    <w:bookmarkStart w:id="89" w:name="students-supervised"/>
    <w:p>
      <w:pPr>
        <w:pStyle w:val="Heading1"/>
      </w:pPr>
      <w:r>
        <w:t xml:space="preserve">Students Supervised</w:t>
      </w:r>
    </w:p>
    <w:p>
      <w:pPr>
        <w:numPr>
          <w:ilvl w:val="0"/>
          <w:numId w:val="1022"/>
        </w:numPr>
        <w:pStyle w:val="ListParagraph"/>
      </w:pPr>
      <w:r>
        <w:t xml:space="preserve">2022-present: PhD (in process) committee member for</w:t>
      </w:r>
      <w:r>
        <w:t xml:space="preserve"> </w:t>
      </w:r>
      <w:hyperlink r:id="rId87">
        <w:r>
          <w:rPr>
            <w:rStyle w:val="Hyperlink"/>
          </w:rPr>
          <w:t xml:space="preserve">Amy Hatton</w:t>
        </w:r>
      </w:hyperlink>
      <w:r>
        <w:t xml:space="preserve">, Extreme Events Research Group, Max Planck Institute of Geoanthropology</w:t>
      </w:r>
    </w:p>
    <w:p>
      <w:pPr>
        <w:numPr>
          <w:ilvl w:val="0"/>
          <w:numId w:val="1022"/>
        </w:numPr>
        <w:pStyle w:val="ListParagraph"/>
      </w:pPr>
      <w:r>
        <w:t xml:space="preserve">2019-2021: MA (defense passed) committee member for</w:t>
      </w:r>
      <w:r>
        <w:t xml:space="preserve"> </w:t>
      </w:r>
      <w:hyperlink r:id="rId88">
        <w:r>
          <w:rPr>
            <w:rStyle w:val="Hyperlink"/>
          </w:rPr>
          <w:t xml:space="preserve">Rob Rondeau</w:t>
        </w:r>
      </w:hyperlink>
      <w:r>
        <w:t xml:space="preserve">, Department of Archaeology, Simon Fraser University</w:t>
      </w:r>
    </w:p>
    <w:bookmarkEnd w:id="89"/>
    <w:bookmarkStart w:id="90" w:name="teaching-assistance"/>
    <w:p>
      <w:pPr>
        <w:pStyle w:val="Heading1"/>
      </w:pPr>
      <w:r>
        <w:t xml:space="preserve">Teaching Assistance</w:t>
      </w:r>
    </w:p>
    <w:p>
      <w:pPr>
        <w:numPr>
          <w:ilvl w:val="0"/>
          <w:numId w:val="1023"/>
        </w:numPr>
        <w:pStyle w:val="ListParagraph"/>
      </w:pPr>
      <w:r>
        <w:t xml:space="preserve">2016: ARCH131 Human Origins, Department of Archaeology, Simon Fraser University</w:t>
      </w:r>
    </w:p>
    <w:p>
      <w:pPr>
        <w:numPr>
          <w:ilvl w:val="0"/>
          <w:numId w:val="1023"/>
        </w:numPr>
        <w:pStyle w:val="ListParagraph"/>
      </w:pPr>
      <w:r>
        <w:t xml:space="preserve">2015: ARCH131 Human Origins, Department of Archaeology, Simon Fraser University</w:t>
      </w:r>
    </w:p>
    <w:p>
      <w:pPr>
        <w:numPr>
          <w:ilvl w:val="0"/>
          <w:numId w:val="1023"/>
        </w:numPr>
        <w:pStyle w:val="ListParagraph"/>
      </w:pPr>
      <w:r>
        <w:t xml:space="preserve">2012: ARCH100 Ancient Peoples and Places, Simon Fraser University</w:t>
      </w:r>
    </w:p>
    <w:p>
      <w:pPr>
        <w:numPr>
          <w:ilvl w:val="0"/>
          <w:numId w:val="1023"/>
        </w:numPr>
        <w:pStyle w:val="ListParagraph"/>
      </w:pPr>
      <w:r>
        <w:t xml:space="preserve">2009 (Fall/Winter): ARCH400 Archaeological Method and Theory, Department of Anthropology, Trent University</w:t>
      </w:r>
    </w:p>
    <w:bookmarkEnd w:id="90"/>
    <w:bookmarkEnd w:id="91"/>
    <w:bookmarkStart w:id="96" w:name="professional-involvement"/>
    <w:p>
      <w:pPr>
        <w:pStyle w:val="Heading1"/>
      </w:pPr>
      <w:r>
        <w:t xml:space="preserve">Professional Involvement</w:t>
      </w:r>
    </w:p>
    <w:bookmarkStart w:id="92" w:name="academic-administrative-service"/>
    <w:p>
      <w:pPr>
        <w:pStyle w:val="Heading1"/>
      </w:pPr>
      <w:r>
        <w:t xml:space="preserve">Academic Administrative Service</w:t>
      </w:r>
    </w:p>
    <w:p>
      <w:pPr>
        <w:numPr>
          <w:ilvl w:val="0"/>
          <w:numId w:val="1024"/>
        </w:numPr>
        <w:pStyle w:val="ListParagraph"/>
      </w:pPr>
      <w:r>
        <w:t xml:space="preserve">2023-present: Ombudsperson, Max Planck Institute of Geoanthropology</w:t>
      </w:r>
    </w:p>
    <w:bookmarkEnd w:id="92"/>
    <w:bookmarkStart w:id="95" w:name="editorial-experience"/>
    <w:p>
      <w:pPr>
        <w:pStyle w:val="Heading1"/>
      </w:pPr>
      <w:r>
        <w:t xml:space="preserve">Editorial Experience</w:t>
      </w:r>
    </w:p>
    <w:p>
      <w:pPr>
        <w:numPr>
          <w:ilvl w:val="0"/>
          <w:numId w:val="1025"/>
        </w:numPr>
        <w:pStyle w:val="ListParagraph"/>
      </w:pPr>
      <w:r>
        <w:t xml:space="preserve">Present: Editorial board, Discover Cities</w:t>
      </w:r>
    </w:p>
    <w:p>
      <w:pPr>
        <w:numPr>
          <w:ilvl w:val="0"/>
          <w:numId w:val="1025"/>
        </w:numPr>
        <w:pStyle w:val="ListParagraph"/>
      </w:pPr>
      <w:r>
        <w:t xml:space="preserve">2018-Present:</w:t>
      </w:r>
      <w:r>
        <w:t xml:space="preserve"> </w:t>
      </w:r>
      <w:hyperlink r:id="rId93">
        <w:r>
          <w:rPr>
            <w:rStyle w:val="Hyperlink"/>
          </w:rPr>
          <w:t xml:space="preserve">Data-in-Brief</w:t>
        </w:r>
      </w:hyperlink>
    </w:p>
    <w:p>
      <w:pPr>
        <w:numPr>
          <w:ilvl w:val="0"/>
          <w:numId w:val="1025"/>
        </w:numPr>
        <w:pStyle w:val="ListParagraph"/>
      </w:pPr>
      <w:r>
        <w:t xml:space="preserve">Section Editor: Social Sciences (2019-2021),</w:t>
      </w:r>
      <w:r>
        <w:t xml:space="preserve"> </w:t>
      </w:r>
      <w:hyperlink r:id="rId93">
        <w:r>
          <w:rPr>
            <w:rStyle w:val="Hyperlink"/>
          </w:rPr>
          <w:t xml:space="preserve">Data-in-Brief</w:t>
        </w:r>
      </w:hyperlink>
    </w:p>
    <w:p>
      <w:pPr>
        <w:numPr>
          <w:ilvl w:val="0"/>
          <w:numId w:val="1025"/>
        </w:numPr>
        <w:pStyle w:val="ListParagraph"/>
      </w:pPr>
      <w:r>
        <w:t xml:space="preserve">2014-Present:</w:t>
      </w:r>
      <w:r>
        <w:t xml:space="preserve"> </w:t>
      </w:r>
      <w:hyperlink r:id="rId94">
        <w:r>
          <w:rPr>
            <w:rStyle w:val="Hyperlink"/>
          </w:rPr>
          <w:t xml:space="preserve">Journal of Archaeological Science: Reports</w:t>
        </w:r>
      </w:hyperlink>
    </w:p>
    <w:bookmarkEnd w:id="95"/>
    <w:bookmarkEnd w:id="96"/>
    <w:bookmarkStart w:id="99" w:name="employment-history"/>
    <w:p>
      <w:pPr>
        <w:pStyle w:val="Heading1"/>
      </w:pPr>
      <w:r>
        <w:t xml:space="preserve">Employment History</w:t>
      </w:r>
    </w:p>
    <w:p>
      <w:pPr>
        <w:numPr>
          <w:ilvl w:val="0"/>
          <w:numId w:val="1026"/>
        </w:numPr>
        <w:pStyle w:val="ListParagraph"/>
      </w:pPr>
      <w:r>
        <w:t xml:space="preserve">2019-Present: Post-doctoral researcher,</w:t>
      </w:r>
      <w:r>
        <w:t xml:space="preserve"> </w:t>
      </w:r>
      <w:hyperlink r:id="rId97">
        <w:r>
          <w:rPr>
            <w:rStyle w:val="Hyperlink"/>
          </w:rPr>
          <w:t xml:space="preserve">Extreme Events Research Group</w:t>
        </w:r>
      </w:hyperlink>
      <w:r>
        <w:t xml:space="preserve">, Max Planck Institute for Chemical Ecology, Jena, Germany</w:t>
      </w:r>
    </w:p>
    <w:p>
      <w:pPr>
        <w:numPr>
          <w:ilvl w:val="0"/>
          <w:numId w:val="1026"/>
        </w:numPr>
        <w:pStyle w:val="ListParagraph"/>
      </w:pPr>
      <w:r>
        <w:t xml:space="preserve">2017-2019: Post-doctoral researcher in the Department of Archaeology at Simon Fraser University</w:t>
      </w:r>
    </w:p>
    <w:p>
      <w:pPr>
        <w:numPr>
          <w:ilvl w:val="0"/>
          <w:numId w:val="1026"/>
        </w:numPr>
        <w:pStyle w:val="ListParagraph"/>
      </w:pPr>
      <w:r>
        <w:t xml:space="preserve">2015-2017: Technology Intern and Regional Editor for the Americas,</w:t>
      </w:r>
      <w:r>
        <w:t xml:space="preserve"> </w:t>
      </w:r>
      <w:hyperlink r:id="rId98">
        <w:r>
          <w:rPr>
            <w:rStyle w:val="Hyperlink"/>
          </w:rPr>
          <w:t xml:space="preserve">Database of Religious History</w:t>
        </w:r>
      </w:hyperlink>
    </w:p>
    <w:p>
      <w:pPr>
        <w:numPr>
          <w:ilvl w:val="0"/>
          <w:numId w:val="1026"/>
        </w:numPr>
        <w:pStyle w:val="ListParagraph"/>
      </w:pPr>
      <w:r>
        <w:t xml:space="preserve">2013-2014: Research Assistant for the Department of Archaeology, Simon Fraser University</w:t>
      </w:r>
    </w:p>
    <w:p>
      <w:pPr>
        <w:numPr>
          <w:ilvl w:val="0"/>
          <w:numId w:val="1026"/>
        </w:numPr>
        <w:pStyle w:val="ListParagraph"/>
      </w:pPr>
      <w:r>
        <w:t xml:space="preserve">2011: Research Assistant (Field) for the Department of Anthropology, Trent University</w:t>
      </w:r>
    </w:p>
    <w:p>
      <w:pPr>
        <w:numPr>
          <w:ilvl w:val="0"/>
          <w:numId w:val="1026"/>
        </w:numPr>
        <w:pStyle w:val="ListParagraph"/>
      </w:pPr>
      <w:r>
        <w:t xml:space="preserve">2010-2011: Research Assistant for the Department of Anthropology, Trent University</w:t>
      </w:r>
    </w:p>
    <w:p>
      <w:pPr>
        <w:numPr>
          <w:ilvl w:val="0"/>
          <w:numId w:val="1026"/>
        </w:numPr>
        <w:pStyle w:val="ListParagraph"/>
      </w:pPr>
      <w:r>
        <w:t xml:space="preserve">2008-2009: Research Assistant for the Department of Anthropology, Trent University</w:t>
      </w:r>
    </w:p>
    <w:p>
      <w:pPr>
        <w:numPr>
          <w:ilvl w:val="0"/>
          <w:numId w:val="1026"/>
        </w:numPr>
        <w:pStyle w:val="ListParagraph"/>
      </w:pPr>
      <w:r>
        <w:t xml:space="preserve">2005-2007: Arcas Consulting Archaeologists - Staff Archaeologist, Fort St. John, Northern British Columbia (Cultural Resource Management)</w:t>
      </w:r>
    </w:p>
    <w:bookmarkEnd w:id="99"/>
    <w:bookmarkStart w:id="100" w:name="academic-archaeological-field-experience"/>
    <w:p>
      <w:pPr>
        <w:pStyle w:val="Heading1"/>
      </w:pPr>
      <w:r>
        <w:t xml:space="preserve">Academic Archaeological Field Experience</w:t>
      </w:r>
    </w:p>
    <w:p>
      <w:pPr>
        <w:numPr>
          <w:ilvl w:val="0"/>
          <w:numId w:val="1027"/>
        </w:numPr>
        <w:pStyle w:val="ListParagraph"/>
      </w:pPr>
      <w:r>
        <w:t xml:space="preserve">2011: 6 weeks, survey and total-station mapping, Ka’Kabish, Orange Walk, Belize</w:t>
      </w:r>
    </w:p>
    <w:p>
      <w:pPr>
        <w:numPr>
          <w:ilvl w:val="0"/>
          <w:numId w:val="1027"/>
        </w:numPr>
        <w:pStyle w:val="ListParagraph"/>
      </w:pPr>
      <w:r>
        <w:t xml:space="preserve">2009: 6 weeks, excavation at Çatalhöyük, Konya, Turkey</w:t>
      </w:r>
    </w:p>
    <w:p>
      <w:pPr>
        <w:numPr>
          <w:ilvl w:val="0"/>
          <w:numId w:val="1027"/>
        </w:numPr>
        <w:pStyle w:val="ListParagraph"/>
      </w:pPr>
      <w:r>
        <w:t xml:space="preserve">2005: 6-week field school, Wanuskewin Heritage Park, Saskatchewan, Canada</w:t>
      </w:r>
    </w:p>
    <w:bookmarkEnd w:id="100"/>
    <w:sectPr w:rsidR="00D57624" w:rsidSect="00D57624">
      <w:pgSz w:code="9" w:h="16838" w:w="11906"/>
      <w:pgMar w:bottom="720" w:footer="720" w:gutter="0" w:header="720" w:left="720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1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3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4">
    <w:nsid w:val="25FC7C24"/>
    <w:multiLevelType w:val="hybridMultilevel"/>
    <w:tmpl w:val="74AEC45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2A553925"/>
    <w:multiLevelType w:val="hybridMultilevel"/>
    <w:tmpl w:val="2386146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8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9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21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22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23">
    <w:nsid w:val="61135C5D"/>
    <w:multiLevelType w:val="hybridMultilevel"/>
    <w:tmpl w:val="32CADAF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5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86694122" w:numId="1">
    <w:abstractNumId w:val="21"/>
  </w:num>
  <w:num w16cid:durableId="1953974166" w:numId="2">
    <w:abstractNumId w:val="12"/>
  </w:num>
  <w:num w16cid:durableId="1036584233" w:numId="3">
    <w:abstractNumId w:val="10"/>
  </w:num>
  <w:num w16cid:durableId="1025519330" w:numId="4">
    <w:abstractNumId w:val="24"/>
  </w:num>
  <w:num w16cid:durableId="1873684667" w:numId="5">
    <w:abstractNumId w:val="13"/>
  </w:num>
  <w:num w16cid:durableId="54856892" w:numId="6">
    <w:abstractNumId w:val="18"/>
  </w:num>
  <w:num w16cid:durableId="843282658" w:numId="7">
    <w:abstractNumId w:val="20"/>
  </w:num>
  <w:num w16cid:durableId="942415514" w:numId="8">
    <w:abstractNumId w:val="9"/>
  </w:num>
  <w:num w16cid:durableId="527184520" w:numId="9">
    <w:abstractNumId w:val="7"/>
  </w:num>
  <w:num w16cid:durableId="295720033" w:numId="10">
    <w:abstractNumId w:val="6"/>
  </w:num>
  <w:num w16cid:durableId="886456661" w:numId="11">
    <w:abstractNumId w:val="5"/>
  </w:num>
  <w:num w16cid:durableId="1116827121" w:numId="12">
    <w:abstractNumId w:val="4"/>
  </w:num>
  <w:num w16cid:durableId="767390975" w:numId="13">
    <w:abstractNumId w:val="8"/>
  </w:num>
  <w:num w16cid:durableId="394820513" w:numId="14">
    <w:abstractNumId w:val="3"/>
  </w:num>
  <w:num w16cid:durableId="1442992630" w:numId="15">
    <w:abstractNumId w:val="2"/>
  </w:num>
  <w:num w16cid:durableId="435057562" w:numId="16">
    <w:abstractNumId w:val="1"/>
  </w:num>
  <w:num w16cid:durableId="2012564250" w:numId="17">
    <w:abstractNumId w:val="0"/>
  </w:num>
  <w:num w16cid:durableId="429930833" w:numId="18">
    <w:abstractNumId w:val="15"/>
  </w:num>
  <w:num w16cid:durableId="1637026732" w:numId="19">
    <w:abstractNumId w:val="17"/>
  </w:num>
  <w:num w16cid:durableId="156187996" w:numId="20">
    <w:abstractNumId w:val="22"/>
  </w:num>
  <w:num w16cid:durableId="689987648" w:numId="21">
    <w:abstractNumId w:val="19"/>
  </w:num>
  <w:num w16cid:durableId="358356390" w:numId="22">
    <w:abstractNumId w:val="11"/>
  </w:num>
  <w:num w16cid:durableId="1127502601" w:numId="23">
    <w:abstractNumId w:val="25"/>
  </w:num>
  <w:num w16cid:durableId="1785541802" w:numId="24">
    <w:abstractNumId w:val="16"/>
  </w:num>
  <w:num w16cid:durableId="408234262" w:numId="25">
    <w:abstractNumId w:val="23"/>
  </w:num>
  <w:num w16cid:durableId="1127040709" w:numId="26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semiHidden="1" w:unhideWhenUsed="1"/>
    <w:lsdException w:name="FollowedHyperlink" w:qFormat="1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0038D"/>
    <w:pPr>
      <w:spacing w:after="80"/>
      <w:jc w:val="both"/>
    </w:pPr>
    <w:rPr>
      <w:rFonts w:ascii="Aptos" w:hAnsi="Aptos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C0038D"/>
    <w:pPr>
      <w:keepNext/>
      <w:keepLines/>
      <w:spacing w:after="60" w:before="200"/>
      <w:outlineLvl w:val="0"/>
    </w:pPr>
    <w:rPr>
      <w:rFonts w:cstheme="majorBidi" w:eastAsiaTheme="majorEastAsia"/>
      <w:caps/>
      <w:color w:themeColor="text1" w:val="000000"/>
      <w:sz w:val="24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accent1" w:themeShade="80" w:val="1F4E79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cstheme="majorBidi" w:eastAsiaTheme="majorEastAsia" w:hAnsiTheme="majorHAnsi"/>
      <w:i/>
      <w:iCs/>
      <w:color w:themeColor="accent1" w:themeShade="80" w:val="1F4E79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cstheme="majorBidi" w:eastAsiaTheme="majorEastAsia" w:hAnsiTheme="majorHAnsi"/>
      <w:color w:themeColor="accent1" w:themeShade="80" w:val="1F4E79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cstheme="majorBidi" w:eastAsiaTheme="majorEastAsia" w:hAnsiTheme="majorHAnsi"/>
      <w:color w:themeColor="text1" w:themeTint="D8" w:val="272727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0038D"/>
    <w:rPr>
      <w:rFonts w:ascii="Aptos" w:cstheme="majorBidi" w:eastAsiaTheme="majorEastAsia" w:hAnsi="Aptos"/>
      <w:caps/>
      <w:color w:themeColor="text1" w:val="000000"/>
      <w:sz w:val="24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6D3D74"/>
    <w:rPr>
      <w:rFonts w:asciiTheme="majorHAnsi" w:cstheme="majorBidi" w:eastAsiaTheme="majorEastAsia" w:hAnsiTheme="majorHAnsi"/>
      <w:color w:themeColor="accent1" w:themeShade="80" w:val="1F4E79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6D3D74"/>
    <w:rPr>
      <w:rFonts w:asciiTheme="majorHAnsi" w:cstheme="majorBidi" w:eastAsiaTheme="majorEastAsia" w:hAnsiTheme="majorHAnsi"/>
      <w:i/>
      <w:iCs/>
      <w:color w:themeColor="accent1" w:themeShade="80" w:val="1F4E79"/>
    </w:rPr>
  </w:style>
  <w:style w:customStyle="1" w:styleId="Heading5Char" w:type="character">
    <w:name w:val="Heading 5 Char"/>
    <w:basedOn w:val="DefaultParagraphFont"/>
    <w:link w:val="Heading5"/>
    <w:uiPriority w:val="9"/>
    <w:rsid w:val="006D3D74"/>
    <w:rPr>
      <w:rFonts w:asciiTheme="majorHAnsi" w:cstheme="majorBidi" w:eastAsiaTheme="majorEastAsia" w:hAnsiTheme="majorHAnsi"/>
      <w:color w:themeColor="accent1" w:themeShade="80" w:val="1F4E79"/>
    </w:rPr>
  </w:style>
  <w:style w:customStyle="1" w:styleId="Heading6Char" w:type="characte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645252"/>
    <w:rPr>
      <w:rFonts w:asciiTheme="majorHAnsi" w:cstheme="majorBidi" w:eastAsiaTheme="majorEastAsia" w:hAnsiTheme="majorHAnsi"/>
      <w:color w:themeColor="text1" w:themeTint="D8" w:val="272727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645252"/>
    <w:rPr>
      <w:rFonts w:asciiTheme="majorHAnsi" w:cstheme="majorBidi" w:eastAsiaTheme="majorEastAsia" w:hAnsiTheme="majorHAnsi"/>
      <w:i/>
      <w:iCs/>
      <w:color w:themeColor="text1" w:themeTint="D8" w:val="272727"/>
      <w:szCs w:val="21"/>
    </w:rPr>
  </w:style>
  <w:style w:styleId="Title" w:type="paragraph">
    <w:name w:val="Title"/>
    <w:basedOn w:val="Normal"/>
    <w:next w:val="Normal"/>
    <w:link w:val="TitleChar"/>
    <w:uiPriority w:val="10"/>
    <w:qFormat/>
    <w:rsid w:val="00C0038D"/>
    <w:pPr>
      <w:spacing w:after="100" w:before="100"/>
      <w:contextualSpacing/>
      <w:jc w:val="center"/>
    </w:pPr>
    <w:rPr>
      <w:rFonts w:cstheme="majorBidi" w:eastAsiaTheme="majorEastAsia"/>
      <w:b/>
      <w:spacing w:val="-10"/>
      <w:kern w:val="28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0038D"/>
    <w:rPr>
      <w:rFonts w:ascii="Aptos" w:cstheme="majorBidi" w:eastAsiaTheme="majorEastAsia" w:hAnsi="Aptos"/>
      <w:b/>
      <w:spacing w:val="-10"/>
      <w:kern w:val="28"/>
      <w:sz w:val="28"/>
      <w:szCs w:val="56"/>
    </w:rPr>
  </w:style>
  <w:style w:styleId="Subtitle" w:type="paragraph">
    <w:name w:val="Subtitle"/>
    <w:basedOn w:val="Normal"/>
    <w:next w:val="Normal"/>
    <w:link w:val="SubtitleChar"/>
    <w:autoRedefine/>
    <w:uiPriority w:val="11"/>
    <w:qFormat/>
    <w:rsid w:val="00C0038D"/>
    <w:pPr>
      <w:numPr>
        <w:ilvl w:val="1"/>
      </w:numPr>
      <w:spacing w:after="100"/>
      <w:jc w:val="center"/>
    </w:pPr>
    <w:rPr>
      <w:rFonts w:eastAsiaTheme="minorEastAsia"/>
      <w:i/>
      <w:color w:themeColor="text1" w:val="000000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C0038D"/>
    <w:rPr>
      <w:rFonts w:ascii="Aptos" w:eastAsiaTheme="minorEastAsia" w:hAnsi="Aptos"/>
      <w:i/>
      <w:color w:themeColor="text1" w:val="000000"/>
      <w:spacing w:val="15"/>
      <w:sz w:val="20"/>
    </w:rPr>
  </w:style>
  <w:style w:styleId="SubtleEmphasis" w:type="character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645252"/>
    <w:rPr>
      <w:i/>
      <w:iCs/>
      <w:color w:themeColor="accent1" w:themeShade="80" w:val="1F4E79"/>
    </w:rPr>
  </w:style>
  <w:style w:styleId="Strong" w:type="character">
    <w:name w:val="Strong"/>
    <w:basedOn w:val="DefaultParagraphFont"/>
    <w:uiPriority w:val="22"/>
    <w:qFormat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45252"/>
    <w:pPr>
      <w:pBdr>
        <w:top w:color="1F4E79" w:space="10" w:sz="4" w:themeColor="accent1" w:themeShade="80" w:val="single"/>
        <w:bottom w:color="1F4E79" w:space="10" w:sz="4" w:themeColor="accent1" w:themeShade="80" w:val="single"/>
      </w:pBdr>
      <w:spacing w:after="360" w:before="360"/>
      <w:ind w:left="864" w:right="864"/>
      <w:jc w:val="center"/>
    </w:pPr>
    <w:rPr>
      <w:i/>
      <w:iCs/>
      <w:color w:themeColor="accent1" w:themeShade="80" w:val="1F4E79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45252"/>
    <w:rPr>
      <w:i/>
      <w:iCs/>
      <w:color w:themeColor="accent1" w:themeShade="80" w:val="1F4E79"/>
    </w:rPr>
  </w:style>
  <w:style w:styleId="SubtleReference" w:type="character">
    <w:name w:val="Subtle Reference"/>
    <w:basedOn w:val="DefaultParagraphFont"/>
    <w:uiPriority w:val="31"/>
    <w:qFormat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645252"/>
    <w:rPr>
      <w:b/>
      <w:bCs/>
      <w:caps w:val="0"/>
      <w:smallCaps/>
      <w:color w:themeColor="accent1" w:themeShade="80" w:val="1F4E79"/>
      <w:spacing w:val="5"/>
    </w:rPr>
  </w:style>
  <w:style w:styleId="BookTitle" w:type="character">
    <w:name w:val="Book Title"/>
    <w:basedOn w:val="DefaultParagraphFont"/>
    <w:uiPriority w:val="33"/>
    <w:qFormat/>
    <w:rPr>
      <w:b/>
      <w:bCs/>
      <w:i/>
      <w:iCs/>
      <w:spacing w:val="5"/>
    </w:rPr>
  </w:style>
  <w:style w:styleId="Hyperlink" w:type="character">
    <w:name w:val="Hyperlink"/>
    <w:basedOn w:val="DefaultParagraphFont"/>
    <w:uiPriority w:val="99"/>
    <w:unhideWhenUsed/>
    <w:qFormat/>
    <w:rsid w:val="00C0038D"/>
    <w:rPr>
      <w:color w:themeColor="text1" w:themeTint="80" w:val="7F7F7F"/>
      <w:u w:val="none"/>
    </w:rPr>
  </w:style>
  <w:style w:styleId="FollowedHyperlink" w:type="character">
    <w:name w:val="FollowedHyperlink"/>
    <w:basedOn w:val="DefaultParagraphFont"/>
    <w:uiPriority w:val="99"/>
    <w:unhideWhenUsed/>
    <w:qFormat/>
    <w:rsid w:val="00B16343"/>
    <w:rPr>
      <w:color w:themeColor="text1" w:themeTint="80" w:val="7F7F7F"/>
      <w:u w:val="none"/>
    </w:rPr>
  </w:style>
  <w:style w:styleId="Caption" w:type="paragraph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themeColor="text2" w:val="44546A"/>
      <w:szCs w:val="18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645252"/>
    <w:rPr>
      <w:rFonts w:ascii="Segoe UI" w:cs="Segoe UI" w:hAnsi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645252"/>
    <w:rPr>
      <w:rFonts w:ascii="Segoe UI" w:cs="Segoe UI" w:hAnsi="Segoe UI"/>
      <w:szCs w:val="18"/>
    </w:rPr>
  </w:style>
  <w:style w:styleId="BlockText" w:type="paragraph">
    <w:name w:val="Block Text"/>
    <w:basedOn w:val="Normal"/>
    <w:uiPriority w:val="99"/>
    <w:semiHidden/>
    <w:unhideWhenUsed/>
    <w:rsid w:val="00645252"/>
    <w:pPr>
      <w:pBdr>
        <w:top w:color="5B9BD5" w:frame="1" w:shadow="1" w:space="10" w:sz="2" w:themeColor="accent1" w:val="single"/>
        <w:left w:color="5B9BD5" w:frame="1" w:shadow="1" w:space="10" w:sz="2" w:themeColor="accent1" w:val="single"/>
        <w:bottom w:color="5B9BD5" w:frame="1" w:shadow="1" w:space="10" w:sz="2" w:themeColor="accent1" w:val="single"/>
        <w:right w:color="5B9BD5" w:frame="1" w:shadow="1" w:space="10" w:sz="2" w:themeColor="accent1" w:val="single"/>
      </w:pBdr>
      <w:ind w:left="1152" w:right="1152"/>
    </w:pPr>
    <w:rPr>
      <w:rFonts w:eastAsiaTheme="minorEastAsia"/>
      <w:i/>
      <w:iCs/>
      <w:color w:themeColor="accent1" w:themeShade="80" w:val="1F4E79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styleId="CommentReference" w:type="character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645252"/>
    <w:rPr>
      <w:rFonts w:ascii="Segoe UI" w:cs="Segoe UI" w:hAnsi="Segoe UI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645252"/>
    <w:rPr>
      <w:rFonts w:ascii="Segoe UI" w:cs="Segoe UI" w:hAnsi="Segoe UI"/>
      <w:szCs w:val="16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styleId="EnvelopeReturn" w:type="paragraph">
    <w:name w:val="envelope return"/>
    <w:basedOn w:val="Normal"/>
    <w:uiPriority w:val="99"/>
    <w:semiHidden/>
    <w:unhideWhenUsed/>
    <w:rsid w:val="00645252"/>
    <w:rPr>
      <w:rFonts w:asciiTheme="majorHAnsi" w:cstheme="majorBidi" w:eastAsiaTheme="majorEastAsia" w:hAnsiTheme="majorHAnsi"/>
      <w:szCs w:val="20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styleId="HTMLCode" w:type="character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styleId="HTMLKeyboard" w:type="character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styleId="HTMLTypewriter" w:type="charac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styleId="MacroText" w:type="paragraph">
    <w:name w:val="macro"/>
    <w:link w:val="MacroTextChar"/>
    <w:uiPriority w:val="99"/>
    <w:semiHidden/>
    <w:unhideWhenUsed/>
    <w:rsid w:val="00645252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</w:pPr>
    <w:rPr>
      <w:rFonts w:ascii="Consolas" w:hAnsi="Consolas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styleId="PlainText" w:type="paragraph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styleId="PlaceholderText" w:type="character">
    <w:name w:val="Placeholder Text"/>
    <w:basedOn w:val="DefaultParagraphFont"/>
    <w:uiPriority w:val="99"/>
    <w:semiHidden/>
    <w:rsid w:val="00645252"/>
    <w:rPr>
      <w:color w:themeColor="background2" w:themeShade="40" w:val="3B3838"/>
    </w:rPr>
  </w:style>
  <w:style w:styleId="Header" w:type="paragraph">
    <w:name w:val="header"/>
    <w:basedOn w:val="Normal"/>
    <w:link w:val="HeaderChar"/>
    <w:uiPriority w:val="99"/>
    <w:semiHidden/>
    <w:unhideWhenUsed/>
    <w:rsid w:val="006D3D74"/>
  </w:style>
  <w:style w:customStyle="1" w:styleId="HeaderChar" w:type="character">
    <w:name w:val="Header Char"/>
    <w:basedOn w:val="DefaultParagraphFont"/>
    <w:link w:val="Header"/>
    <w:uiPriority w:val="99"/>
    <w:semiHidden/>
    <w:rsid w:val="006D3D74"/>
  </w:style>
  <w:style w:styleId="Footer" w:type="paragraph">
    <w:name w:val="footer"/>
    <w:basedOn w:val="Normal"/>
    <w:link w:val="FooterChar"/>
    <w:uiPriority w:val="99"/>
    <w:semiHidden/>
    <w:unhideWhenUsed/>
    <w:rsid w:val="006D3D74"/>
  </w:style>
  <w:style w:customStyle="1" w:styleId="FooterChar" w:type="character">
    <w:name w:val="Footer Char"/>
    <w:basedOn w:val="DefaultParagraphFont"/>
    <w:link w:val="Footer"/>
    <w:uiPriority w:val="99"/>
    <w:semiHidden/>
    <w:rsid w:val="006D3D74"/>
  </w:style>
  <w:style w:styleId="TOC9" w:type="paragraph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styleId="ListParagraph" w:type="paragraph">
    <w:name w:val="List Paragraph"/>
    <w:basedOn w:val="Normal"/>
    <w:uiPriority w:val="34"/>
    <w:unhideWhenUsed/>
    <w:qFormat/>
    <w:rsid w:val="007E3388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8" Target="http://religiondatabase.org/landing/" TargetMode="External" /><Relationship Type="http://schemas.openxmlformats.org/officeDocument/2006/relationships/hyperlink" Id="rId97" Target="http://www.ice.mpg.de/ext/index.php?id=extreme-events" TargetMode="External" /><Relationship Type="http://schemas.openxmlformats.org/officeDocument/2006/relationships/hyperlink" Id="rId30" Target="https://carpentries.org" TargetMode="External" /><Relationship Type="http://schemas.openxmlformats.org/officeDocument/2006/relationships/hyperlink" Id="rId57" Target="https://doi.org/0.1038/s41467-022-32356-3" TargetMode="External" /><Relationship Type="http://schemas.openxmlformats.org/officeDocument/2006/relationships/hyperlink" Id="rId60" Target="https://doi.org/10.1007/s10584-021-03022-2" TargetMode="External" /><Relationship Type="http://schemas.openxmlformats.org/officeDocument/2006/relationships/hyperlink" Id="rId37" Target="https://doi.org/10.1007/s10816-026-09798-w" TargetMode="External" /><Relationship Type="http://schemas.openxmlformats.org/officeDocument/2006/relationships/hyperlink" Id="rId44" Target="https://doi.org/10.1016/j.isci.2024.111624" TargetMode="External" /><Relationship Type="http://schemas.openxmlformats.org/officeDocument/2006/relationships/hyperlink" Id="rId63" Target="https://doi.org/10.1016/j.jasrep.2021.102995" TargetMode="External" /><Relationship Type="http://schemas.openxmlformats.org/officeDocument/2006/relationships/hyperlink" Id="rId54" Target="https://doi.org/10.1038/s41467-022-32356-3" TargetMode="External" /><Relationship Type="http://schemas.openxmlformats.org/officeDocument/2006/relationships/hyperlink" Id="rId64" Target="https://doi.org/10.1038/s41586-021-03863-y" TargetMode="External" /><Relationship Type="http://schemas.openxmlformats.org/officeDocument/2006/relationships/hyperlink" Id="rId40" Target="https://doi.org/10.1038/s41586-025-08780-y" TargetMode="External" /><Relationship Type="http://schemas.openxmlformats.org/officeDocument/2006/relationships/hyperlink" Id="rId50" Target="https://doi.org/10.1038/s41598-023-44875-0" TargetMode="External" /><Relationship Type="http://schemas.openxmlformats.org/officeDocument/2006/relationships/hyperlink" Id="rId51" Target="https://doi.org/10.1038/s43247-023-00784-8" TargetMode="External" /><Relationship Type="http://schemas.openxmlformats.org/officeDocument/2006/relationships/hyperlink" Id="rId47" Target="https://doi.org/10.1038/s44284-023-00014-4" TargetMode="External" /><Relationship Type="http://schemas.openxmlformats.org/officeDocument/2006/relationships/hyperlink" Id="rId43" Target="https://doi.org/10.1038/s44284-025-00213-1" TargetMode="External" /><Relationship Type="http://schemas.openxmlformats.org/officeDocument/2006/relationships/hyperlink" Id="rId62" Target="https://doi.org/10.1371/journal.pone.0253043" TargetMode="External" /><Relationship Type="http://schemas.openxmlformats.org/officeDocument/2006/relationships/hyperlink" Id="rId55" Target="https://doi.org/10.1371/journal.pone.0265597" TargetMode="External" /><Relationship Type="http://schemas.openxmlformats.org/officeDocument/2006/relationships/hyperlink" Id="rId45" Target="https://doi.org/10.1484/J.JUA.5.150272" TargetMode="External" /><Relationship Type="http://schemas.openxmlformats.org/officeDocument/2006/relationships/hyperlink" Id="rId39" Target="https://doi.org/10.15184/aqy.2026.10287" TargetMode="External" /><Relationship Type="http://schemas.openxmlformats.org/officeDocument/2006/relationships/hyperlink" Id="rId38" Target="https://doi.org/10.21203/rs.3.rs-8758549/v1" TargetMode="External" /><Relationship Type="http://schemas.openxmlformats.org/officeDocument/2006/relationships/hyperlink" Id="rId49" Target="https://doi.org/10.3389/fearc.2023.1208985" TargetMode="External" /><Relationship Type="http://schemas.openxmlformats.org/officeDocument/2006/relationships/hyperlink" Id="rId61" Target="https://doi.org/10.3389/feart.2021.769107" TargetMode="External" /><Relationship Type="http://schemas.openxmlformats.org/officeDocument/2006/relationships/hyperlink" Id="rId58" Target="https://doi.org/10.3389/feart.2021.771683" TargetMode="External" /><Relationship Type="http://schemas.openxmlformats.org/officeDocument/2006/relationships/hyperlink" Id="rId53" Target="https://doi.org/10.3389/feart.2022.786829" TargetMode="External" /><Relationship Type="http://schemas.openxmlformats.org/officeDocument/2006/relationships/hyperlink" Id="rId42" Target="https://doi.org/10.3389/fmamm.2025.1678231" TargetMode="External" /><Relationship Type="http://schemas.openxmlformats.org/officeDocument/2006/relationships/hyperlink" Id="rId65" Target="https://dx.doi.org/10.1038/s41467-021-21201-8" TargetMode="External" /><Relationship Type="http://schemas.openxmlformats.org/officeDocument/2006/relationships/hyperlink" Id="rId67" Target="https://dx.doi.org/10.1177/0959683620981700" TargetMode="External" /><Relationship Type="http://schemas.openxmlformats.org/officeDocument/2006/relationships/hyperlink" Id="rId21" Target="https://github.com/wccarleton" TargetMode="External" /><Relationship Type="http://schemas.openxmlformats.org/officeDocument/2006/relationships/hyperlink" Id="rId73" Target="https://journals.plos.org/plosone/article?id=10.1371/journal.pone.0191055" TargetMode="External" /><Relationship Type="http://schemas.openxmlformats.org/officeDocument/2006/relationships/hyperlink" Id="rId80" Target="https://limo.libis.be/primo-explore/fulldisplay?docid=LIRIAS3646135&amp;context=L&amp;vid=Lirias&amp;search_scope=Lirias&amp;tab=default_tab&amp;lang=en_US&amp;fromSitemap=1" TargetMode="External" /><Relationship Type="http://schemas.openxmlformats.org/officeDocument/2006/relationships/hyperlink" Id="rId68" Target="https://onlinelibrary.wiley.com/doi/full/10.1002/jqs.3256" TargetMode="External" /><Relationship Type="http://schemas.openxmlformats.org/officeDocument/2006/relationships/hyperlink" Id="rId22" Target="https://orcid.org/0000-0001-7463-8638" TargetMode="External" /><Relationship Type="http://schemas.openxmlformats.org/officeDocument/2006/relationships/hyperlink" Id="rId82" Target="https://researchportal.vub.be/en/publications/modeling-archaeological-potentials-in-southwest-anatolia-a-tool-f" TargetMode="External" /><Relationship Type="http://schemas.openxmlformats.org/officeDocument/2006/relationships/hyperlink" Id="rId23" Target="https://scholar.google.ca/citations?user=0ZG-6CsAAAAJ&amp;hl=en" TargetMode="External" /><Relationship Type="http://schemas.openxmlformats.org/officeDocument/2006/relationships/hyperlink" Id="rId20" Target="https://wccarleton.github.io/" TargetMode="External" /><Relationship Type="http://schemas.openxmlformats.org/officeDocument/2006/relationships/hyperlink" Id="rId93" Target="https://www.journals.elsevier.com/data-in-brief/" TargetMode="External" /><Relationship Type="http://schemas.openxmlformats.org/officeDocument/2006/relationships/hyperlink" Id="rId94" Target="https://www.journals.elsevier.com/journal-of-archaeological-science-reports" TargetMode="External" /><Relationship Type="http://schemas.openxmlformats.org/officeDocument/2006/relationships/hyperlink" Id="rId72" Target="https://www.sciencedirect.com/science/article/pii/S0031018218302165" TargetMode="External" /><Relationship Type="http://schemas.openxmlformats.org/officeDocument/2006/relationships/hyperlink" Id="rId74" Target="https://www.sciencedirect.com/science/article/pii/S0277379116304292" TargetMode="External" /><Relationship Type="http://schemas.openxmlformats.org/officeDocument/2006/relationships/hyperlink" Id="rId77" Target="https://www.sciencedirect.com/science/article/pii/S0305440312002233" TargetMode="External" /><Relationship Type="http://schemas.openxmlformats.org/officeDocument/2006/relationships/hyperlink" Id="rId76" Target="https://www.sciencedirect.com/science/article/pii/S0305440312005055" TargetMode="External" /><Relationship Type="http://schemas.openxmlformats.org/officeDocument/2006/relationships/hyperlink" Id="rId75" Target="https://www.sciencedirect.com/science/article/pii/S2352409X16303005" TargetMode="External" /><Relationship Type="http://schemas.openxmlformats.org/officeDocument/2006/relationships/hyperlink" Id="rId88" Target="https://www.sfu.ca/archaeology/graduate/grad_students/rondeau.html" TargetMode="External" /><Relationship Type="http://schemas.openxmlformats.org/officeDocument/2006/relationships/hyperlink" Id="rId87" Target="https://www.shh.mpg.de/person/116282/1437297" TargetMode="External" /><Relationship Type="http://schemas.openxmlformats.org/officeDocument/2006/relationships/hyperlink" Id="rId71" Target="https://www.tandfonline.com/doi/full/10.1080/14614103.2018.1560932" TargetMode="External" /><Relationship Type="http://schemas.openxmlformats.org/officeDocument/2006/relationships/hyperlink" Id="rId70" Target="https://www.tandfonline.com/doi/full/10.1080/20548923.2019.164764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://religiondatabase.org/landing/" TargetMode="External" /><Relationship Type="http://schemas.openxmlformats.org/officeDocument/2006/relationships/hyperlink" Id="rId97" Target="http://www.ice.mpg.de/ext/index.php?id=extreme-events" TargetMode="External" /><Relationship Type="http://schemas.openxmlformats.org/officeDocument/2006/relationships/hyperlink" Id="rId30" Target="https://carpentries.org" TargetMode="External" /><Relationship Type="http://schemas.openxmlformats.org/officeDocument/2006/relationships/hyperlink" Id="rId57" Target="https://doi.org/0.1038/s41467-022-32356-3" TargetMode="External" /><Relationship Type="http://schemas.openxmlformats.org/officeDocument/2006/relationships/hyperlink" Id="rId60" Target="https://doi.org/10.1007/s10584-021-03022-2" TargetMode="External" /><Relationship Type="http://schemas.openxmlformats.org/officeDocument/2006/relationships/hyperlink" Id="rId37" Target="https://doi.org/10.1007/s10816-026-09798-w" TargetMode="External" /><Relationship Type="http://schemas.openxmlformats.org/officeDocument/2006/relationships/hyperlink" Id="rId44" Target="https://doi.org/10.1016/j.isci.2024.111624" TargetMode="External" /><Relationship Type="http://schemas.openxmlformats.org/officeDocument/2006/relationships/hyperlink" Id="rId63" Target="https://doi.org/10.1016/j.jasrep.2021.102995" TargetMode="External" /><Relationship Type="http://schemas.openxmlformats.org/officeDocument/2006/relationships/hyperlink" Id="rId54" Target="https://doi.org/10.1038/s41467-022-32356-3" TargetMode="External" /><Relationship Type="http://schemas.openxmlformats.org/officeDocument/2006/relationships/hyperlink" Id="rId64" Target="https://doi.org/10.1038/s41586-021-03863-y" TargetMode="External" /><Relationship Type="http://schemas.openxmlformats.org/officeDocument/2006/relationships/hyperlink" Id="rId40" Target="https://doi.org/10.1038/s41586-025-08780-y" TargetMode="External" /><Relationship Type="http://schemas.openxmlformats.org/officeDocument/2006/relationships/hyperlink" Id="rId50" Target="https://doi.org/10.1038/s41598-023-44875-0" TargetMode="External" /><Relationship Type="http://schemas.openxmlformats.org/officeDocument/2006/relationships/hyperlink" Id="rId51" Target="https://doi.org/10.1038/s43247-023-00784-8" TargetMode="External" /><Relationship Type="http://schemas.openxmlformats.org/officeDocument/2006/relationships/hyperlink" Id="rId47" Target="https://doi.org/10.1038/s44284-023-00014-4" TargetMode="External" /><Relationship Type="http://schemas.openxmlformats.org/officeDocument/2006/relationships/hyperlink" Id="rId43" Target="https://doi.org/10.1038/s44284-025-00213-1" TargetMode="External" /><Relationship Type="http://schemas.openxmlformats.org/officeDocument/2006/relationships/hyperlink" Id="rId62" Target="https://doi.org/10.1371/journal.pone.0253043" TargetMode="External" /><Relationship Type="http://schemas.openxmlformats.org/officeDocument/2006/relationships/hyperlink" Id="rId55" Target="https://doi.org/10.1371/journal.pone.0265597" TargetMode="External" /><Relationship Type="http://schemas.openxmlformats.org/officeDocument/2006/relationships/hyperlink" Id="rId45" Target="https://doi.org/10.1484/J.JUA.5.150272" TargetMode="External" /><Relationship Type="http://schemas.openxmlformats.org/officeDocument/2006/relationships/hyperlink" Id="rId39" Target="https://doi.org/10.15184/aqy.2026.10287" TargetMode="External" /><Relationship Type="http://schemas.openxmlformats.org/officeDocument/2006/relationships/hyperlink" Id="rId38" Target="https://doi.org/10.21203/rs.3.rs-8758549/v1" TargetMode="External" /><Relationship Type="http://schemas.openxmlformats.org/officeDocument/2006/relationships/hyperlink" Id="rId49" Target="https://doi.org/10.3389/fearc.2023.1208985" TargetMode="External" /><Relationship Type="http://schemas.openxmlformats.org/officeDocument/2006/relationships/hyperlink" Id="rId61" Target="https://doi.org/10.3389/feart.2021.769107" TargetMode="External" /><Relationship Type="http://schemas.openxmlformats.org/officeDocument/2006/relationships/hyperlink" Id="rId58" Target="https://doi.org/10.3389/feart.2021.771683" TargetMode="External" /><Relationship Type="http://schemas.openxmlformats.org/officeDocument/2006/relationships/hyperlink" Id="rId53" Target="https://doi.org/10.3389/feart.2022.786829" TargetMode="External" /><Relationship Type="http://schemas.openxmlformats.org/officeDocument/2006/relationships/hyperlink" Id="rId42" Target="https://doi.org/10.3389/fmamm.2025.1678231" TargetMode="External" /><Relationship Type="http://schemas.openxmlformats.org/officeDocument/2006/relationships/hyperlink" Id="rId65" Target="https://dx.doi.org/10.1038/s41467-021-21201-8" TargetMode="External" /><Relationship Type="http://schemas.openxmlformats.org/officeDocument/2006/relationships/hyperlink" Id="rId67" Target="https://dx.doi.org/10.1177/0959683620981700" TargetMode="External" /><Relationship Type="http://schemas.openxmlformats.org/officeDocument/2006/relationships/hyperlink" Id="rId21" Target="https://github.com/wccarleton" TargetMode="External" /><Relationship Type="http://schemas.openxmlformats.org/officeDocument/2006/relationships/hyperlink" Id="rId73" Target="https://journals.plos.org/plosone/article?id=10.1371/journal.pone.0191055" TargetMode="External" /><Relationship Type="http://schemas.openxmlformats.org/officeDocument/2006/relationships/hyperlink" Id="rId80" Target="https://limo.libis.be/primo-explore/fulldisplay?docid=LIRIAS3646135&amp;context=L&amp;vid=Lirias&amp;search_scope=Lirias&amp;tab=default_tab&amp;lang=en_US&amp;fromSitemap=1" TargetMode="External" /><Relationship Type="http://schemas.openxmlformats.org/officeDocument/2006/relationships/hyperlink" Id="rId68" Target="https://onlinelibrary.wiley.com/doi/full/10.1002/jqs.3256" TargetMode="External" /><Relationship Type="http://schemas.openxmlformats.org/officeDocument/2006/relationships/hyperlink" Id="rId22" Target="https://orcid.org/0000-0001-7463-8638" TargetMode="External" /><Relationship Type="http://schemas.openxmlformats.org/officeDocument/2006/relationships/hyperlink" Id="rId82" Target="https://researchportal.vub.be/en/publications/modeling-archaeological-potentials-in-southwest-anatolia-a-tool-f" TargetMode="External" /><Relationship Type="http://schemas.openxmlformats.org/officeDocument/2006/relationships/hyperlink" Id="rId23" Target="https://scholar.google.ca/citations?user=0ZG-6CsAAAAJ&amp;hl=en" TargetMode="External" /><Relationship Type="http://schemas.openxmlformats.org/officeDocument/2006/relationships/hyperlink" Id="rId20" Target="https://wccarleton.github.io/" TargetMode="External" /><Relationship Type="http://schemas.openxmlformats.org/officeDocument/2006/relationships/hyperlink" Id="rId93" Target="https://www.journals.elsevier.com/data-in-brief/" TargetMode="External" /><Relationship Type="http://schemas.openxmlformats.org/officeDocument/2006/relationships/hyperlink" Id="rId94" Target="https://www.journals.elsevier.com/journal-of-archaeological-science-reports" TargetMode="External" /><Relationship Type="http://schemas.openxmlformats.org/officeDocument/2006/relationships/hyperlink" Id="rId72" Target="https://www.sciencedirect.com/science/article/pii/S0031018218302165" TargetMode="External" /><Relationship Type="http://schemas.openxmlformats.org/officeDocument/2006/relationships/hyperlink" Id="rId74" Target="https://www.sciencedirect.com/science/article/pii/S0277379116304292" TargetMode="External" /><Relationship Type="http://schemas.openxmlformats.org/officeDocument/2006/relationships/hyperlink" Id="rId77" Target="https://www.sciencedirect.com/science/article/pii/S0305440312002233" TargetMode="External" /><Relationship Type="http://schemas.openxmlformats.org/officeDocument/2006/relationships/hyperlink" Id="rId76" Target="https://www.sciencedirect.com/science/article/pii/S0305440312005055" TargetMode="External" /><Relationship Type="http://schemas.openxmlformats.org/officeDocument/2006/relationships/hyperlink" Id="rId75" Target="https://www.sciencedirect.com/science/article/pii/S2352409X16303005" TargetMode="External" /><Relationship Type="http://schemas.openxmlformats.org/officeDocument/2006/relationships/hyperlink" Id="rId88" Target="https://www.sfu.ca/archaeology/graduate/grad_students/rondeau.html" TargetMode="External" /><Relationship Type="http://schemas.openxmlformats.org/officeDocument/2006/relationships/hyperlink" Id="rId87" Target="https://www.shh.mpg.de/person/116282/1437297" TargetMode="External" /><Relationship Type="http://schemas.openxmlformats.org/officeDocument/2006/relationships/hyperlink" Id="rId71" Target="https://www.tandfonline.com/doi/full/10.1080/14614103.2018.1560932" TargetMode="External" /><Relationship Type="http://schemas.openxmlformats.org/officeDocument/2006/relationships/hyperlink" Id="rId70" Target="https://www.tandfonline.com/doi/full/10.1080/20548923.2019.1647648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leton\AppData\Local\Microsoft\Office\16.0\DTS\en-US%7b91963CB9-442C-4FB9-814F-5D1DF10C3A10%7d\%7b4D4DA716-CADF-43BA-AB84-CEB17D8B81C7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{4D4DA716-CADF-43BA-AB84-CEB17D8B81C7}TF2de6fc23-48e8-448b-960e-1bdc6e9248ab4ef8d1ac_win32-7424dd8ab5ea</Template>
  <TotalTime>0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Curriculum Vitae</dc:title>
  <dc:creator/>
  <cp:keywords/>
  <dcterms:created xsi:type="dcterms:W3CDTF">2026-05-28T10:42:52Z</dcterms:created>
  <dcterms:modified xsi:type="dcterms:W3CDTF">2026-05-28T10:42:52Z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