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CV</w:t>
      </w:r>
      <w:r>
        <w:t xml:space="preserve"> </w:t>
      </w:r>
      <w:r>
        <w:t xml:space="preserve">in</w:t>
      </w:r>
      <w:r>
        <w:t xml:space="preserve"> </w:t>
      </w:r>
      <w:r>
        <w:t xml:space="preserve">Brief</w:t>
      </w:r>
    </w:p>
    <w:bookmarkStart w:id="24" w:name="w.-christopher-carleton-ph.d"/>
    <w:p>
      <w:pPr>
        <w:pStyle w:val="Subtitle"/>
      </w:pPr>
      <w:r>
        <w:t xml:space="preserve">W. Christopher Carleton, Ph.D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60"/>
        <w:gridCol w:w="3960"/>
      </w:tblGrid>
      <w:tr>
        <w:tc>
          <w:tcPr/>
          <w:p>
            <w:pPr>
              <w:pStyle w:val="Normal"/>
              <w:jc w:val="left"/>
            </w:pPr>
            <w:r>
              <w:rPr>
                <w:bCs/>
                <w:b/>
              </w:rPr>
              <w:t xml:space="preserve">Senior Scientist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Website: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wccarleton.github.io</w:t>
              </w:r>
            </w:hyperlink>
          </w:p>
        </w:tc>
      </w:tr>
      <w:tr>
        <w:tc>
          <w:tcPr/>
          <w:p>
            <w:pPr>
              <w:pStyle w:val="Normal"/>
              <w:jc w:val="left"/>
            </w:pPr>
            <w:r>
              <w:rPr>
                <w:bCs/>
                <w:b/>
              </w:rPr>
              <w:t xml:space="preserve">Coevolution of Land Use and Urbanisation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GitHub: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github.com/wccarleton</w:t>
              </w:r>
            </w:hyperlink>
          </w:p>
        </w:tc>
      </w:tr>
      <w:tr>
        <w:tc>
          <w:tcPr/>
          <w:p>
            <w:pPr>
              <w:pStyle w:val="Normal"/>
              <w:jc w:val="left"/>
            </w:pPr>
            <w:r>
              <w:t xml:space="preserve">Max Planck Institute of Geoanthropology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Email: carleton@gea.mpg.de</w:t>
            </w:r>
          </w:p>
        </w:tc>
      </w:tr>
      <w:tr>
        <w:tc>
          <w:tcPr/>
          <w:p>
            <w:pPr>
              <w:pStyle w:val="Normal"/>
              <w:jc w:val="left"/>
            </w:pPr>
            <w:r>
              <w:t xml:space="preserve">Kahlaische Str. 10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ORCID: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0000-0001-7463-8638</w:t>
              </w:r>
            </w:hyperlink>
          </w:p>
        </w:tc>
      </w:tr>
      <w:tr>
        <w:tc>
          <w:tcPr/>
          <w:p>
            <w:pPr>
              <w:pStyle w:val="Normal"/>
              <w:jc w:val="left"/>
            </w:pPr>
            <w:r>
              <w:t xml:space="preserve">07745 Jena, Germany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Google Scholar: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0ZG-6CsAAAAJ</w:t>
              </w:r>
            </w:hyperlink>
          </w:p>
        </w:tc>
      </w:tr>
    </w:tbl>
    <w:bookmarkEnd w:id="24"/>
    <w:bookmarkStart w:id="25" w:name="profile"/>
    <w:p>
      <w:pPr>
        <w:pStyle w:val="Heading1"/>
      </w:pPr>
      <w:r>
        <w:t xml:space="preserve">Profile</w:t>
      </w:r>
    </w:p>
    <w:p>
      <w:pPr>
        <w:pStyle w:val="Normal"/>
      </w:pPr>
      <w:r>
        <w:t xml:space="preserve">Archaeologist and data scientist developing quantitative, spatial, and computational approaches for long-term human-environment records. Current work focuses on comparative urbanism, archaeological data science, remote sensing, Bayesian/time-series modelling, and open scientific software.</w:t>
      </w:r>
    </w:p>
    <w:bookmarkEnd w:id="25"/>
    <w:bookmarkStart w:id="26" w:name="outputs-and-awards"/>
    <w:p>
      <w:pPr>
        <w:pStyle w:val="Heading1"/>
      </w:pPr>
      <w:r>
        <w:t xml:space="preserve">Outputs and Awards</w:t>
      </w:r>
    </w:p>
    <w:p>
      <w:pPr>
        <w:numPr>
          <w:ilvl w:val="0"/>
          <w:numId w:val="1001"/>
        </w:numPr>
        <w:pStyle w:val="ListParagraph"/>
      </w:pPr>
      <w:r>
        <w:t xml:space="preserve">35 peer-reviewed publications (15 as first author) in top journals including Nature, Nature Cities, and Nature Communications</w:t>
      </w:r>
    </w:p>
    <w:p>
      <w:pPr>
        <w:numPr>
          <w:ilvl w:val="0"/>
          <w:numId w:val="1001"/>
        </w:numPr>
        <w:pStyle w:val="ListParagraph"/>
      </w:pPr>
      <w:r>
        <w:t xml:space="preserve">$368,250 CAD in awards, fellowships, and grants</w:t>
      </w:r>
    </w:p>
    <w:p>
      <w:pPr>
        <w:numPr>
          <w:ilvl w:val="0"/>
          <w:numId w:val="1001"/>
        </w:numPr>
        <w:pStyle w:val="ListParagraph"/>
      </w:pPr>
      <w:r>
        <w:t xml:space="preserve">2017-2019 Human Evolutionary Studies Program Post-Doctoral Fellowship, Simon Fraser University ($90,000 CAD)</w:t>
      </w:r>
    </w:p>
    <w:p>
      <w:pPr>
        <w:numPr>
          <w:ilvl w:val="0"/>
          <w:numId w:val="1001"/>
        </w:numPr>
        <w:pStyle w:val="ListParagraph"/>
      </w:pPr>
      <w:r>
        <w:t xml:space="preserve">2016 Mitacs PhD Fellowship, Simon Fraser University and the University of British Columbia ($60,000 CAD)</w:t>
      </w:r>
    </w:p>
    <w:p>
      <w:pPr>
        <w:numPr>
          <w:ilvl w:val="0"/>
          <w:numId w:val="1001"/>
        </w:numPr>
        <w:pStyle w:val="ListParagraph"/>
      </w:pPr>
      <w:r>
        <w:t xml:space="preserve">2011-2014 SSHRC Joseph-Armand Bombardier Canada Graduate Scholarship ($105,000 CAD)</w:t>
      </w:r>
    </w:p>
    <w:bookmarkEnd w:id="26"/>
    <w:bookmarkStart w:id="27" w:name="expertise"/>
    <w:p>
      <w:pPr>
        <w:pStyle w:val="Heading1"/>
      </w:pPr>
      <w:r>
        <w:t xml:space="preserve">Expertise</w:t>
      </w:r>
    </w:p>
    <w:p>
      <w:pPr>
        <w:pStyle w:val="Normal"/>
      </w:pPr>
      <w:r>
        <w:t xml:space="preserve">Archaeological data science | Spatial analysis | Remote sensing | Bayesian modelling | Time-series analysis | Agent-based modelling | R | Python | Bash</w:t>
      </w:r>
    </w:p>
    <w:bookmarkEnd w:id="27"/>
    <w:bookmarkStart w:id="28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2"/>
        </w:numPr>
        <w:pStyle w:val="ListParagraph"/>
      </w:pPr>
      <w:r>
        <w:t xml:space="preserve">2017: PhD in Archaeology, Simon Fraser University</w:t>
      </w:r>
    </w:p>
    <w:p>
      <w:pPr>
        <w:numPr>
          <w:ilvl w:val="0"/>
          <w:numId w:val="1002"/>
        </w:numPr>
        <w:pStyle w:val="ListParagraph"/>
      </w:pPr>
      <w:r>
        <w:t xml:space="preserve">2010: MA in Anthropology, Trent University</w:t>
      </w:r>
    </w:p>
    <w:p>
      <w:pPr>
        <w:numPr>
          <w:ilvl w:val="0"/>
          <w:numId w:val="1002"/>
        </w:numPr>
        <w:pStyle w:val="ListParagraph"/>
      </w:pPr>
      <w:r>
        <w:t xml:space="preserve">2005: BA Honours in Classical and Near Eastern Archaeology, University of Saskatchewan</w:t>
      </w:r>
    </w:p>
    <w:bookmarkEnd w:id="28"/>
    <w:bookmarkStart w:id="36" w:name="selected-recent-publications"/>
    <w:p>
      <w:pPr>
        <w:pStyle w:val="Heading1"/>
      </w:pPr>
      <w:r>
        <w:t xml:space="preserve">Selected Recent Publications</w:t>
      </w:r>
    </w:p>
    <w:p>
      <w:pPr>
        <w:numPr>
          <w:ilvl w:val="0"/>
          <w:numId w:val="1003"/>
        </w:numPr>
        <w:pStyle w:val="ListParagraph"/>
      </w:pPr>
      <w:r>
        <w:rPr>
          <w:bCs/>
          <w:b/>
        </w:rPr>
        <w:t xml:space="preserve">Carleton, W.C.</w:t>
      </w:r>
      <w:r>
        <w:t xml:space="preserve">, et al. (in press) Comparative Spatial Analysis Reveals Important Structural Similarities Between Ancient Angkor and Late Anglo-Saxon Hampshire. Journal of Archaeological Method and Theory.</w:t>
      </w:r>
      <w:r>
        <w:t xml:space="preserve"> </w:t>
      </w:r>
      <w:hyperlink r:id="rId29">
        <w:r>
          <w:rPr>
            <w:rStyle w:val="Hyperlink"/>
          </w:rPr>
          <w:t xml:space="preserve">DOI: 10.1007/s10816-026-09798-w</w:t>
        </w:r>
      </w:hyperlink>
    </w:p>
    <w:p>
      <w:pPr>
        <w:numPr>
          <w:ilvl w:val="0"/>
          <w:numId w:val="1003"/>
        </w:numPr>
        <w:pStyle w:val="ListParagraph"/>
      </w:pPr>
      <w:r>
        <w:rPr>
          <w:bCs/>
          <w:b/>
        </w:rPr>
        <w:t xml:space="preserve">Carleton, W.C.</w:t>
      </w:r>
      <w:r>
        <w:t xml:space="preserve">, et al. (2026) Making comparative archaeological and historical urbanism rigorous and open access through the URBank data platform. Antiquity, 1-7.</w:t>
      </w:r>
      <w:r>
        <w:t xml:space="preserve"> </w:t>
      </w:r>
      <w:hyperlink r:id="rId30">
        <w:r>
          <w:rPr>
            <w:rStyle w:val="Hyperlink"/>
          </w:rPr>
          <w:t xml:space="preserve">DOI: 10.15184/aqy.2026.10287</w:t>
        </w:r>
      </w:hyperlink>
    </w:p>
    <w:p>
      <w:pPr>
        <w:numPr>
          <w:ilvl w:val="0"/>
          <w:numId w:val="1003"/>
        </w:numPr>
        <w:pStyle w:val="ListParagraph"/>
      </w:pPr>
      <w:r>
        <w:t xml:space="preserve">Scerri, E.M.L., …</w:t>
      </w:r>
      <w:r>
        <w:t xml:space="preserve"> </w:t>
      </w:r>
      <w:r>
        <w:rPr>
          <w:bCs/>
          <w:b/>
        </w:rPr>
        <w:t xml:space="preserve">Carleton, W.C.</w:t>
      </w:r>
      <w:r>
        <w:t xml:space="preserve">, … et al. (2026) Hunter-gatherer sea voyages extended to remotest Mediterranean islands. Nature, 641, 137-143.</w:t>
      </w:r>
      <w:r>
        <w:t xml:space="preserve"> </w:t>
      </w:r>
      <w:hyperlink r:id="rId31">
        <w:r>
          <w:rPr>
            <w:rStyle w:val="Hyperlink"/>
          </w:rPr>
          <w:t xml:space="preserve">DOI: 10.1038/s41586-025-08780-y</w:t>
        </w:r>
      </w:hyperlink>
    </w:p>
    <w:p>
      <w:pPr>
        <w:numPr>
          <w:ilvl w:val="0"/>
          <w:numId w:val="1003"/>
        </w:numPr>
        <w:pStyle w:val="ListParagraph"/>
      </w:pPr>
      <w:r>
        <w:rPr>
          <w:bCs/>
          <w:b/>
        </w:rPr>
        <w:t xml:space="preserve">Carleton, W.C.</w:t>
      </w:r>
      <w:r>
        <w:t xml:space="preserve">, et al. (2025) Parallel scaling of elite wealth in ancient Roman and modern cities with implications for understanding urban inequality. Nature Cities.</w:t>
      </w:r>
      <w:r>
        <w:t xml:space="preserve"> </w:t>
      </w:r>
      <w:hyperlink r:id="rId32">
        <w:r>
          <w:rPr>
            <w:rStyle w:val="Hyperlink"/>
          </w:rPr>
          <w:t xml:space="preserve">DOI: 10.1038/s44284-025-00213-1</w:t>
        </w:r>
      </w:hyperlink>
    </w:p>
    <w:p>
      <w:pPr>
        <w:numPr>
          <w:ilvl w:val="0"/>
          <w:numId w:val="1003"/>
        </w:numPr>
        <w:pStyle w:val="ListParagraph"/>
      </w:pPr>
      <w:r>
        <w:t xml:space="preserve">Stewart, M.,</w:t>
      </w:r>
      <w:r>
        <w:t xml:space="preserve"> </w:t>
      </w:r>
      <w:r>
        <w:rPr>
          <w:bCs/>
          <w:b/>
        </w:rPr>
        <w:t xml:space="preserve">Carleton, W.C.</w:t>
      </w:r>
      <w:r>
        <w:t xml:space="preserve">, et al. (2025) The state of the late Quaternary megafauna extinction debate: a systematic review and analysis. Frontiers in Mammal Science, 4, 1678231.</w:t>
      </w:r>
      <w:r>
        <w:t xml:space="preserve"> </w:t>
      </w:r>
      <w:hyperlink r:id="rId33">
        <w:r>
          <w:rPr>
            <w:rStyle w:val="Hyperlink"/>
          </w:rPr>
          <w:t xml:space="preserve">DOI: 10.3389/fmamm.2025.1678231</w:t>
        </w:r>
      </w:hyperlink>
    </w:p>
    <w:p>
      <w:pPr>
        <w:numPr>
          <w:ilvl w:val="0"/>
          <w:numId w:val="1003"/>
        </w:numPr>
        <w:pStyle w:val="ListParagraph"/>
      </w:pPr>
      <w:r>
        <w:rPr>
          <w:bCs/>
          <w:b/>
        </w:rPr>
        <w:t xml:space="preserve">Carleton, W.</w:t>
      </w:r>
      <w:r>
        <w:t xml:space="preserve">, et al. (2023) Bayesian regression versus machine learning for rapid age estimation of archaeological features identified in lidar scans at Angkor. Scientific Reports.</w:t>
      </w:r>
      <w:r>
        <w:t xml:space="preserve"> </w:t>
      </w:r>
      <w:hyperlink r:id="rId34">
        <w:r>
          <w:rPr>
            <w:rStyle w:val="Hyperlink"/>
          </w:rPr>
          <w:t xml:space="preserve">DOI: 10.1038/s41598-023-44875-0</w:t>
        </w:r>
      </w:hyperlink>
    </w:p>
    <w:p>
      <w:pPr>
        <w:numPr>
          <w:ilvl w:val="0"/>
          <w:numId w:val="1003"/>
        </w:numPr>
        <w:pStyle w:val="ListParagraph"/>
      </w:pPr>
      <w:r>
        <w:rPr>
          <w:bCs/>
          <w:b/>
        </w:rPr>
        <w:t xml:space="preserve">Carleton, W.</w:t>
      </w:r>
      <w:r>
        <w:t xml:space="preserve">, Groucutt, H. (2020) Sum things are not what they seem: Problems with point-wise interpretations and quantitative analyses of proxies based on aggregated radiocarbon dates. The Holocene.</w:t>
      </w:r>
      <w:r>
        <w:t xml:space="preserve"> </w:t>
      </w:r>
      <w:hyperlink r:id="rId35">
        <w:r>
          <w:rPr>
            <w:rStyle w:val="Hyperlink"/>
          </w:rPr>
          <w:t xml:space="preserve">DOI: 10.1177/0959683620981700</w:t>
        </w:r>
      </w:hyperlink>
    </w:p>
    <w:bookmarkEnd w:id="36"/>
    <w:sectPr w:rsidR="00D57624" w:rsidSect="00D57624">
      <w:pgSz w:code="9" w:h="16838" w:w="11906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1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3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25FC7C24"/>
    <w:multiLevelType w:val="hybridMultilevel"/>
    <w:tmpl w:val="74AEC45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2A553925"/>
    <w:multiLevelType w:val="hybridMultilevel"/>
    <w:tmpl w:val="2386146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8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9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21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22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23">
    <w:nsid w:val="61135C5D"/>
    <w:multiLevelType w:val="hybridMultilevel"/>
    <w:tmpl w:val="32CADAF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5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86694122" w:numId="1">
    <w:abstractNumId w:val="21"/>
  </w:num>
  <w:num w16cid:durableId="1953974166" w:numId="2">
    <w:abstractNumId w:val="12"/>
  </w:num>
  <w:num w16cid:durableId="1036584233" w:numId="3">
    <w:abstractNumId w:val="10"/>
  </w:num>
  <w:num w16cid:durableId="1025519330" w:numId="4">
    <w:abstractNumId w:val="24"/>
  </w:num>
  <w:num w16cid:durableId="1873684667" w:numId="5">
    <w:abstractNumId w:val="13"/>
  </w:num>
  <w:num w16cid:durableId="54856892" w:numId="6">
    <w:abstractNumId w:val="18"/>
  </w:num>
  <w:num w16cid:durableId="843282658" w:numId="7">
    <w:abstractNumId w:val="20"/>
  </w:num>
  <w:num w16cid:durableId="942415514" w:numId="8">
    <w:abstractNumId w:val="9"/>
  </w:num>
  <w:num w16cid:durableId="527184520" w:numId="9">
    <w:abstractNumId w:val="7"/>
  </w:num>
  <w:num w16cid:durableId="295720033" w:numId="10">
    <w:abstractNumId w:val="6"/>
  </w:num>
  <w:num w16cid:durableId="886456661" w:numId="11">
    <w:abstractNumId w:val="5"/>
  </w:num>
  <w:num w16cid:durableId="1116827121" w:numId="12">
    <w:abstractNumId w:val="4"/>
  </w:num>
  <w:num w16cid:durableId="767390975" w:numId="13">
    <w:abstractNumId w:val="8"/>
  </w:num>
  <w:num w16cid:durableId="394820513" w:numId="14">
    <w:abstractNumId w:val="3"/>
  </w:num>
  <w:num w16cid:durableId="1442992630" w:numId="15">
    <w:abstractNumId w:val="2"/>
  </w:num>
  <w:num w16cid:durableId="435057562" w:numId="16">
    <w:abstractNumId w:val="1"/>
  </w:num>
  <w:num w16cid:durableId="2012564250" w:numId="17">
    <w:abstractNumId w:val="0"/>
  </w:num>
  <w:num w16cid:durableId="429930833" w:numId="18">
    <w:abstractNumId w:val="15"/>
  </w:num>
  <w:num w16cid:durableId="1637026732" w:numId="19">
    <w:abstractNumId w:val="17"/>
  </w:num>
  <w:num w16cid:durableId="156187996" w:numId="20">
    <w:abstractNumId w:val="22"/>
  </w:num>
  <w:num w16cid:durableId="689987648" w:numId="21">
    <w:abstractNumId w:val="19"/>
  </w:num>
  <w:num w16cid:durableId="358356390" w:numId="22">
    <w:abstractNumId w:val="11"/>
  </w:num>
  <w:num w16cid:durableId="1127502601" w:numId="23">
    <w:abstractNumId w:val="25"/>
  </w:num>
  <w:num w16cid:durableId="1785541802" w:numId="24">
    <w:abstractNumId w:val="16"/>
  </w:num>
  <w:num w16cid:durableId="408234262" w:numId="25">
    <w:abstractNumId w:val="23"/>
  </w:num>
  <w:num w16cid:durableId="1127040709" w:numId="26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0038D"/>
    <w:pPr>
      <w:spacing w:after="80"/>
      <w:jc w:val="both"/>
    </w:pPr>
    <w:rPr>
      <w:rFonts w:ascii="Aptos" w:hAnsi="Aptos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C0038D"/>
    <w:pPr>
      <w:keepNext/>
      <w:keepLines/>
      <w:spacing w:after="60" w:before="200"/>
      <w:outlineLvl w:val="0"/>
    </w:pPr>
    <w:rPr>
      <w:rFonts w:cstheme="majorBidi" w:eastAsiaTheme="majorEastAsia"/>
      <w:caps/>
      <w:color w:themeColor="text1" w:val="000000"/>
      <w:sz w:val="24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accent1" w:themeShade="80" w:val="1F4E7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80" w:val="1F4E79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cstheme="majorBidi" w:eastAsiaTheme="majorEastAsia" w:hAnsiTheme="majorHAnsi"/>
      <w:color w:themeColor="accent1" w:themeShade="80" w:val="1F4E79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0038D"/>
    <w:rPr>
      <w:rFonts w:ascii="Aptos" w:cstheme="majorBidi" w:eastAsiaTheme="majorEastAsia" w:hAnsi="Aptos"/>
      <w:caps/>
      <w:color w:themeColor="text1" w:val="000000"/>
      <w:sz w:val="24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6D3D74"/>
    <w:rPr>
      <w:rFonts w:asciiTheme="majorHAnsi" w:cstheme="majorBidi" w:eastAsiaTheme="majorEastAsia" w:hAnsiTheme="majorHAnsi"/>
      <w:color w:themeColor="accent1" w:themeShade="80" w:val="1F4E79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6D3D74"/>
    <w:rPr>
      <w:rFonts w:asciiTheme="majorHAnsi" w:cstheme="majorBidi" w:eastAsiaTheme="majorEastAsia" w:hAnsiTheme="majorHAnsi"/>
      <w:i/>
      <w:iCs/>
      <w:color w:themeColor="accent1" w:themeShade="80" w:val="1F4E79"/>
    </w:rPr>
  </w:style>
  <w:style w:customStyle="1" w:styleId="Heading5Char" w:type="character">
    <w:name w:val="Heading 5 Char"/>
    <w:basedOn w:val="DefaultParagraphFont"/>
    <w:link w:val="Heading5"/>
    <w:uiPriority w:val="9"/>
    <w:rsid w:val="006D3D74"/>
    <w:rPr>
      <w:rFonts w:asciiTheme="majorHAnsi" w:cstheme="majorBidi" w:eastAsiaTheme="majorEastAsia" w:hAnsiTheme="majorHAnsi"/>
      <w:color w:themeColor="accent1" w:themeShade="80" w:val="1F4E79"/>
    </w:rPr>
  </w:style>
  <w:style w:customStyle="1" w:styleId="Heading6Char" w:type="characte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645252"/>
    <w:rPr>
      <w:rFonts w:asciiTheme="majorHAnsi" w:cstheme="majorBidi" w:eastAsiaTheme="majorEastAsia" w:hAnsiTheme="majorHAnsi"/>
      <w:color w:themeColor="text1" w:themeTint="D8" w:val="272727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645252"/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styleId="Title" w:type="paragraph">
    <w:name w:val="Title"/>
    <w:basedOn w:val="Normal"/>
    <w:next w:val="Normal"/>
    <w:link w:val="TitleChar"/>
    <w:uiPriority w:val="10"/>
    <w:qFormat/>
    <w:rsid w:val="00C0038D"/>
    <w:pPr>
      <w:spacing w:after="100" w:before="100"/>
      <w:contextualSpacing/>
      <w:jc w:val="center"/>
    </w:pPr>
    <w:rPr>
      <w:rFonts w:cstheme="majorBidi" w:eastAsiaTheme="majorEastAsia"/>
      <w:b/>
      <w:spacing w:val="-10"/>
      <w:kern w:val="28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0038D"/>
    <w:rPr>
      <w:rFonts w:ascii="Aptos" w:cstheme="majorBidi" w:eastAsiaTheme="majorEastAsia" w:hAnsi="Aptos"/>
      <w:b/>
      <w:spacing w:val="-10"/>
      <w:kern w:val="28"/>
      <w:sz w:val="28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C0038D"/>
    <w:pPr>
      <w:numPr>
        <w:ilvl w:val="1"/>
      </w:numPr>
      <w:spacing w:after="100"/>
      <w:jc w:val="center"/>
    </w:pPr>
    <w:rPr>
      <w:rFonts w:eastAsiaTheme="minorEastAsia"/>
      <w:i/>
      <w:color w:themeColor="text1" w:val="000000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C0038D"/>
    <w:rPr>
      <w:rFonts w:ascii="Aptos" w:eastAsiaTheme="minorEastAsia" w:hAnsi="Aptos"/>
      <w:i/>
      <w:color w:themeColor="text1" w:val="000000"/>
      <w:spacing w:val="15"/>
      <w:sz w:val="20"/>
    </w:rPr>
  </w:style>
  <w:style w:styleId="SubtleEmphasis" w:type="character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645252"/>
    <w:rPr>
      <w:i/>
      <w:iCs/>
      <w:color w:themeColor="accent1" w:themeShade="80" w:val="1F4E79"/>
    </w:rPr>
  </w:style>
  <w:style w:styleId="Strong" w:type="character">
    <w:name w:val="Strong"/>
    <w:basedOn w:val="DefaultParagraphFont"/>
    <w:uiPriority w:val="22"/>
    <w:qFormat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45252"/>
    <w:pPr>
      <w:pBdr>
        <w:top w:color="1F4E79" w:space="10" w:sz="4" w:themeColor="accent1" w:themeShade="80" w:val="single"/>
        <w:bottom w:color="1F4E79" w:space="10" w:sz="4" w:themeColor="accent1" w:themeShade="80" w:val="single"/>
      </w:pBdr>
      <w:spacing w:after="360" w:before="360"/>
      <w:ind w:left="864" w:right="864"/>
      <w:jc w:val="center"/>
    </w:pPr>
    <w:rPr>
      <w:i/>
      <w:iCs/>
      <w:color w:themeColor="accent1" w:themeShade="80" w:val="1F4E79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45252"/>
    <w:rPr>
      <w:i/>
      <w:iCs/>
      <w:color w:themeColor="accent1" w:themeShade="80" w:val="1F4E79"/>
    </w:rPr>
  </w:style>
  <w:style w:styleId="SubtleReference" w:type="character">
    <w:name w:val="Subtle Reference"/>
    <w:basedOn w:val="DefaultParagraphFont"/>
    <w:uiPriority w:val="31"/>
    <w:qFormat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645252"/>
    <w:rPr>
      <w:b/>
      <w:bCs/>
      <w:caps w:val="0"/>
      <w:smallCaps/>
      <w:color w:themeColor="accent1" w:themeShade="80" w:val="1F4E79"/>
      <w:spacing w:val="5"/>
    </w:rPr>
  </w:style>
  <w:style w:styleId="BookTitle" w:type="character">
    <w:name w:val="Book Title"/>
    <w:basedOn w:val="DefaultParagraphFont"/>
    <w:uiPriority w:val="33"/>
    <w:qFormat/>
    <w:rPr>
      <w:b/>
      <w:bCs/>
      <w:i/>
      <w:iCs/>
      <w:spacing w:val="5"/>
    </w:rPr>
  </w:style>
  <w:style w:styleId="Hyperlink" w:type="character">
    <w:name w:val="Hyperlink"/>
    <w:basedOn w:val="DefaultParagraphFont"/>
    <w:uiPriority w:val="99"/>
    <w:unhideWhenUsed/>
    <w:qFormat/>
    <w:rsid w:val="00C0038D"/>
    <w:rPr>
      <w:color w:themeColor="text1" w:themeTint="80" w:val="7F7F7F"/>
      <w:u w:val="none"/>
    </w:rPr>
  </w:style>
  <w:style w:styleId="FollowedHyperlink" w:type="character">
    <w:name w:val="FollowedHyperlink"/>
    <w:basedOn w:val="DefaultParagraphFont"/>
    <w:uiPriority w:val="99"/>
    <w:unhideWhenUsed/>
    <w:qFormat/>
    <w:rsid w:val="00B16343"/>
    <w:rPr>
      <w:color w:themeColor="text1" w:themeTint="80" w:val="7F7F7F"/>
      <w:u w:val="none"/>
    </w:rPr>
  </w:style>
  <w:style w:styleId="Caption" w:type="paragraph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themeColor="text2" w:val="44546A"/>
      <w:szCs w:val="18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645252"/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645252"/>
    <w:rPr>
      <w:rFonts w:ascii="Segoe UI" w:cs="Segoe UI" w:hAnsi="Segoe UI"/>
      <w:szCs w:val="18"/>
    </w:rPr>
  </w:style>
  <w:style w:styleId="BlockText" w:type="paragraph">
    <w:name w:val="Block Text"/>
    <w:basedOn w:val="Normal"/>
    <w:uiPriority w:val="99"/>
    <w:semiHidden/>
    <w:unhideWhenUsed/>
    <w:rsid w:val="00645252"/>
    <w:pPr>
      <w:pBdr>
        <w:top w:color="5B9BD5" w:frame="1" w:shadow="1" w:space="10" w:sz="2" w:themeColor="accent1" w:val="single"/>
        <w:left w:color="5B9BD5" w:frame="1" w:shadow="1" w:space="10" w:sz="2" w:themeColor="accent1" w:val="single"/>
        <w:bottom w:color="5B9BD5" w:frame="1" w:shadow="1" w:space="10" w:sz="2" w:themeColor="accent1" w:val="single"/>
        <w:right w:color="5B9BD5" w:frame="1" w:shadow="1" w:space="10" w:sz="2" w:themeColor="accent1" w:val="single"/>
      </w:pBdr>
      <w:ind w:left="1152" w:right="1152"/>
    </w:pPr>
    <w:rPr>
      <w:rFonts w:eastAsiaTheme="minorEastAsia"/>
      <w:i/>
      <w:iCs/>
      <w:color w:themeColor="accent1" w:themeShade="80" w:val="1F4E79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styleId="CommentReference" w:type="character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645252"/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645252"/>
    <w:rPr>
      <w:rFonts w:ascii="Segoe UI" w:cs="Segoe UI" w:hAnsi="Segoe UI"/>
      <w:szCs w:val="16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styleId="EnvelopeReturn" w:type="paragraph">
    <w:name w:val="envelope return"/>
    <w:basedOn w:val="Normal"/>
    <w:uiPriority w:val="99"/>
    <w:semiHidden/>
    <w:unhideWhenUsed/>
    <w:rsid w:val="00645252"/>
    <w:rPr>
      <w:rFonts w:asciiTheme="majorHAnsi" w:cstheme="majorBidi" w:eastAsiaTheme="majorEastAsia" w:hAnsiTheme="majorHAnsi"/>
      <w:szCs w:val="20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styleId="HTMLCode" w:type="character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styleId="HTMLKeyboard" w:type="character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styleId="HTMLTypewriter" w:type="charac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styleId="MacroText" w:type="paragraph">
    <w:name w:val="macro"/>
    <w:link w:val="MacroTextChar"/>
    <w:uiPriority w:val="99"/>
    <w:semiHidden/>
    <w:unhideWhenUsed/>
    <w:rsid w:val="00645252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</w:pPr>
    <w:rPr>
      <w:rFonts w:ascii="Consolas" w:hAnsi="Consolas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styleId="PlainText" w:type="paragraph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styleId="PlaceholderText" w:type="character">
    <w:name w:val="Placeholder Text"/>
    <w:basedOn w:val="DefaultParagraphFont"/>
    <w:uiPriority w:val="99"/>
    <w:semiHidden/>
    <w:rsid w:val="00645252"/>
    <w:rPr>
      <w:color w:themeColor="background2" w:themeShade="40" w:val="3B3838"/>
    </w:rPr>
  </w:style>
  <w:style w:styleId="Header" w:type="paragraph">
    <w:name w:val="header"/>
    <w:basedOn w:val="Normal"/>
    <w:link w:val="HeaderChar"/>
    <w:uiPriority w:val="99"/>
    <w:semiHidden/>
    <w:unhideWhenUsed/>
    <w:rsid w:val="006D3D74"/>
  </w:style>
  <w:style w:customStyle="1" w:styleId="HeaderChar" w:type="character">
    <w:name w:val="Header Char"/>
    <w:basedOn w:val="DefaultParagraphFont"/>
    <w:link w:val="Header"/>
    <w:uiPriority w:val="99"/>
    <w:semiHidden/>
    <w:rsid w:val="006D3D74"/>
  </w:style>
  <w:style w:styleId="Footer" w:type="paragraph">
    <w:name w:val="footer"/>
    <w:basedOn w:val="Normal"/>
    <w:link w:val="FooterChar"/>
    <w:uiPriority w:val="99"/>
    <w:semiHidden/>
    <w:unhideWhenUsed/>
    <w:rsid w:val="006D3D74"/>
  </w:style>
  <w:style w:customStyle="1" w:styleId="FooterChar" w:type="character">
    <w:name w:val="Footer Char"/>
    <w:basedOn w:val="DefaultParagraphFont"/>
    <w:link w:val="Footer"/>
    <w:uiPriority w:val="99"/>
    <w:semiHidden/>
    <w:rsid w:val="006D3D74"/>
  </w:style>
  <w:style w:styleId="TOC9" w:type="paragraph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styleId="ListParagraph" w:type="paragraph">
    <w:name w:val="List Paragraph"/>
    <w:basedOn w:val="Normal"/>
    <w:uiPriority w:val="34"/>
    <w:unhideWhenUsed/>
    <w:qFormat/>
    <w:rsid w:val="007E3388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doi.org/10.1007/s10816-026-09798-w" TargetMode="External" /><Relationship Type="http://schemas.openxmlformats.org/officeDocument/2006/relationships/hyperlink" Id="rId31" Target="https://doi.org/10.1038/s41586-025-08780-y" TargetMode="External" /><Relationship Type="http://schemas.openxmlformats.org/officeDocument/2006/relationships/hyperlink" Id="rId34" Target="https://doi.org/10.1038/s41598-023-44875-0" TargetMode="External" /><Relationship Type="http://schemas.openxmlformats.org/officeDocument/2006/relationships/hyperlink" Id="rId32" Target="https://doi.org/10.1038/s44284-025-00213-1" TargetMode="External" /><Relationship Type="http://schemas.openxmlformats.org/officeDocument/2006/relationships/hyperlink" Id="rId35" Target="https://doi.org/10.1177/0959683620981700" TargetMode="External" /><Relationship Type="http://schemas.openxmlformats.org/officeDocument/2006/relationships/hyperlink" Id="rId30" Target="https://doi.org/10.15184/aqy.2026.10287" TargetMode="External" /><Relationship Type="http://schemas.openxmlformats.org/officeDocument/2006/relationships/hyperlink" Id="rId33" Target="https://doi.org/10.3389/fmamm.2025.1678231" TargetMode="External" /><Relationship Type="http://schemas.openxmlformats.org/officeDocument/2006/relationships/hyperlink" Id="rId21" Target="https://github.com/wccarleton" TargetMode="External" /><Relationship Type="http://schemas.openxmlformats.org/officeDocument/2006/relationships/hyperlink" Id="rId22" Target="https://orcid.org/0000-0001-7463-8638" TargetMode="External" /><Relationship Type="http://schemas.openxmlformats.org/officeDocument/2006/relationships/hyperlink" Id="rId23" Target="https://scholar.google.ca/citations?user=0ZG-6CsAAAAJ&amp;hl=en" TargetMode="External" /><Relationship Type="http://schemas.openxmlformats.org/officeDocument/2006/relationships/hyperlink" Id="rId20" Target="https://wccarleton.github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s10816-026-09798-w" TargetMode="External" /><Relationship Type="http://schemas.openxmlformats.org/officeDocument/2006/relationships/hyperlink" Id="rId31" Target="https://doi.org/10.1038/s41586-025-08780-y" TargetMode="External" /><Relationship Type="http://schemas.openxmlformats.org/officeDocument/2006/relationships/hyperlink" Id="rId34" Target="https://doi.org/10.1038/s41598-023-44875-0" TargetMode="External" /><Relationship Type="http://schemas.openxmlformats.org/officeDocument/2006/relationships/hyperlink" Id="rId32" Target="https://doi.org/10.1038/s44284-025-00213-1" TargetMode="External" /><Relationship Type="http://schemas.openxmlformats.org/officeDocument/2006/relationships/hyperlink" Id="rId35" Target="https://doi.org/10.1177/0959683620981700" TargetMode="External" /><Relationship Type="http://schemas.openxmlformats.org/officeDocument/2006/relationships/hyperlink" Id="rId30" Target="https://doi.org/10.15184/aqy.2026.10287" TargetMode="External" /><Relationship Type="http://schemas.openxmlformats.org/officeDocument/2006/relationships/hyperlink" Id="rId33" Target="https://doi.org/10.3389/fmamm.2025.1678231" TargetMode="External" /><Relationship Type="http://schemas.openxmlformats.org/officeDocument/2006/relationships/hyperlink" Id="rId21" Target="https://github.com/wccarleton" TargetMode="External" /><Relationship Type="http://schemas.openxmlformats.org/officeDocument/2006/relationships/hyperlink" Id="rId22" Target="https://orcid.org/0000-0001-7463-8638" TargetMode="External" /><Relationship Type="http://schemas.openxmlformats.org/officeDocument/2006/relationships/hyperlink" Id="rId23" Target="https://scholar.google.ca/citations?user=0ZG-6CsAAAAJ&amp;hl=en" TargetMode="External" /><Relationship Type="http://schemas.openxmlformats.org/officeDocument/2006/relationships/hyperlink" Id="rId20" Target="https://wccarleton.github.io/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eton\AppData\Local\Microsoft\Office\16.0\DTS\en-US%7b91963CB9-442C-4FB9-814F-5D1DF10C3A10%7d\%7b4D4DA716-CADF-43BA-AB84-CEB17D8B81C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{4D4DA716-CADF-43BA-AB84-CEB17D8B81C7}TF2de6fc23-48e8-448b-960e-1bdc6e9248ab4ef8d1ac_win32-7424dd8ab5ea</Template>
  <TotalTime>0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in Brief</dc:title>
  <dc:creator/>
  <cp:keywords/>
  <dcterms:created xsi:type="dcterms:W3CDTF">2026-05-28T10:33:02Z</dcterms:created>
  <dcterms:modified xsi:type="dcterms:W3CDTF">2026-05-28T10:33:02Z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