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 xml:space="preserve">CLIENT IMPACT REPORT</w:t>
      </w:r>
    </w:p>
    <w:p>
      <w:pPr>
        <w:jc w:val="center"/>
      </w:pPr>
      <w:r>
        <w:t xml:space="preserve">ABC CPA LTD</w:t>
      </w:r>
    </w:p>
    <w:p>
      <w:pPr>
        <w:jc w:val="center"/>
      </w:pPr>
      <w:r>
        <w:t xml:space="preserve">Date: 7 April 2026</w:t>
      </w:r>
    </w:p>
    <w:p>
      <w:pPr>
        <w:pStyle w:val="Heading2"/>
        <w:spacing w:before="400"/>
      </w:pPr>
      <w:r>
        <w:t xml:space="preserve">Executive Summary</w:t>
      </w:r>
    </w:p>
    <w:p>
      <w:r>
        <w:t xml:space="preserve">This report outlines the impact of new HKFRS standards on the client.</w:t>
      </w:r>
    </w:p>
    <w:p>
      <w:pPr>
        <w:pStyle w:val="Heading2"/>
        <w:spacing w:before="400"/>
      </w:pPr>
      <w:r>
        <w:t xml:space="preserve">Key Findings</w:t>
      </w:r>
    </w:p>
    <w:p>
      <w:pPr>
        <w:spacing w:before="200"/>
      </w:pPr>
      <w:r>
        <w:t xml:space="preserve">• undefined: Medium Impact - undefined</w:t>
      </w:r>
    </w:p>
    <w:p>
      <w:pPr>
        <w:spacing w:before="200"/>
      </w:pPr>
      <w:r>
        <w:t xml:space="preserve">• undefined: Medium Impact - undefined</w:t>
      </w:r>
    </w:p>
    <w:p>
      <w:pPr>
        <w:spacing w:before="200"/>
      </w:pPr>
      <w:r>
        <w:t xml:space="preserve">• undefined: Medium Impact - undefined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452c4c809ccc044877e20898c366e68410a83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2026-04-07T10:42:12.003Z</dcterms:created>
  <dcterms:modified xsi:type="dcterms:W3CDTF">2026-04-07T10:42:12.003Z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