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E1692" w14:textId="5F5A84A5" w:rsidR="00E117E4" w:rsidRDefault="00316048">
      <w:pPr>
        <w:rPr>
          <w:rFonts w:ascii="Times New Roman" w:hAnsi="Times New Roman" w:cs="Times New Roman"/>
          <w:sz w:val="24"/>
          <w:szCs w:val="24"/>
        </w:rPr>
      </w:pPr>
      <w:hyperlink r:id="rId4" w:history="1">
        <w:r w:rsidRPr="00306890">
          <w:rPr>
            <w:rStyle w:val="Hyperlink"/>
            <w:rFonts w:ascii="Times New Roman" w:hAnsi="Times New Roman" w:cs="Times New Roman"/>
            <w:sz w:val="24"/>
            <w:szCs w:val="24"/>
          </w:rPr>
          <w:t>https://industrywired.com/redefining-oil-and-gas-industry-using-disruptive-technology/</w:t>
        </w:r>
      </w:hyperlink>
    </w:p>
    <w:p w14:paraId="763995B4" w14:textId="07626463" w:rsidR="00316048" w:rsidRDefault="00316048">
      <w:pPr>
        <w:rPr>
          <w:rFonts w:ascii="Times New Roman" w:hAnsi="Times New Roman" w:cs="Times New Roman"/>
          <w:sz w:val="24"/>
          <w:szCs w:val="24"/>
        </w:rPr>
      </w:pPr>
      <w:hyperlink r:id="rId5" w:history="1">
        <w:r w:rsidRPr="00306890">
          <w:rPr>
            <w:rStyle w:val="Hyperlink"/>
            <w:rFonts w:ascii="Times New Roman" w:hAnsi="Times New Roman" w:cs="Times New Roman"/>
            <w:sz w:val="24"/>
            <w:szCs w:val="24"/>
          </w:rPr>
          <w:t>https://www2.deloitte.com/us/en/insights/industry/oil-and-gas/digital-transformation-midstream-oil-and-gas.html?id=gx:2el:3dc:4dgt-mid-og:5awa:6di:11022018</w:t>
        </w:r>
      </w:hyperlink>
    </w:p>
    <w:p w14:paraId="50C763C4" w14:textId="7FDAF004" w:rsidR="00316048" w:rsidRDefault="00316048">
      <w:pPr>
        <w:rPr>
          <w:rFonts w:ascii="Times New Roman" w:hAnsi="Times New Roman" w:cs="Times New Roman"/>
          <w:sz w:val="24"/>
          <w:szCs w:val="24"/>
        </w:rPr>
      </w:pPr>
    </w:p>
    <w:p w14:paraId="0D36CDC8" w14:textId="7D3B739A" w:rsidR="00316048" w:rsidRPr="005526FE" w:rsidRDefault="00736D4C" w:rsidP="00736D4C">
      <w:pPr>
        <w:rPr>
          <w:rFonts w:ascii="Times New Roman" w:hAnsi="Times New Roman" w:cs="Times New Roman"/>
          <w:sz w:val="24"/>
          <w:szCs w:val="24"/>
        </w:rPr>
      </w:pPr>
      <w:r w:rsidRPr="00736D4C">
        <w:rPr>
          <w:rFonts w:ascii="Times New Roman" w:hAnsi="Times New Roman" w:cs="Times New Roman"/>
          <w:sz w:val="24"/>
          <w:szCs w:val="24"/>
        </w:rPr>
        <w:t>There are many disruptive technologies that can be used to benefit Callon Petroleum. Many things in the oil and gas industry can be made digital such as pipes and valves, making them “smart.” Monitoring these instruments in real-time can make it easier for companies like Callon Petroleum. Another example of disruptive technology is seismic imaging. CP can use seismic imaging to analyze wells and land to see what is an optimal area to drill. Something not mentioned in these articles is the use of drones and what they can do in the event of a crisis. Some companies use drones to take out fires (monitoring a fire's status and spraying the fire with water). In the event something happens at a CP site, a drone can be used to evaluate what is needed and combat the problem. Many oil and gas companies are trying or should be transitioning to digital because it makes tracking everything so much easier.</w:t>
      </w:r>
    </w:p>
    <w:sectPr w:rsidR="00316048" w:rsidRPr="00552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FE"/>
    <w:rsid w:val="00316048"/>
    <w:rsid w:val="005526FE"/>
    <w:rsid w:val="00736D4C"/>
    <w:rsid w:val="00E11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2A59"/>
  <w15:chartTrackingRefBased/>
  <w15:docId w15:val="{5E71E148-20CD-4377-A110-275366AF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6048"/>
    <w:rPr>
      <w:color w:val="0563C1" w:themeColor="hyperlink"/>
      <w:u w:val="single"/>
    </w:rPr>
  </w:style>
  <w:style w:type="character" w:styleId="UnresolvedMention">
    <w:name w:val="Unresolved Mention"/>
    <w:basedOn w:val="DefaultParagraphFont"/>
    <w:uiPriority w:val="99"/>
    <w:semiHidden/>
    <w:unhideWhenUsed/>
    <w:rsid w:val="003160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2.deloitte.com/us/en/insights/industry/oil-and-gas/digital-transformation-midstream-oil-and-gas.html?id=gx:2el:3dc:4dgt-mid-og:5awa:6di:11022018" TargetMode="External"/><Relationship Id="rId4" Type="http://schemas.openxmlformats.org/officeDocument/2006/relationships/hyperlink" Target="https://industrywired.com/redefining-oil-and-gas-industry-using-disruptive-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1</cp:revision>
  <dcterms:created xsi:type="dcterms:W3CDTF">2021-04-05T16:57:00Z</dcterms:created>
  <dcterms:modified xsi:type="dcterms:W3CDTF">2021-04-05T18:47:00Z</dcterms:modified>
</cp:coreProperties>
</file>