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rystalstack"/>
    <w:p>
      <w:pPr>
        <w:pStyle w:val="Heading1"/>
      </w:pPr>
      <w:r>
        <w:t xml:space="preserve">CrystalStack</w:t>
      </w:r>
    </w:p>
    <w:p>
      <w:pPr>
        <w:pStyle w:val="FirstParagraph"/>
      </w:pPr>
      <w:r>
        <w:rPr>
          <w:b/>
          <w:bCs/>
        </w:rPr>
        <w:t xml:space="preserve">CrystalStack</w:t>
      </w:r>
      <w:r>
        <w:t xml:space="preserve"> </w:t>
      </w:r>
      <w:r>
        <w:t xml:space="preserve">builds the five classical interlayer stacking arrangements of a</w:t>
      </w:r>
      <w:r>
        <w:t xml:space="preserve"> </w:t>
      </w:r>
      <w:r>
        <w:t xml:space="preserve">2D covalent organic framework (COF) from a single-layer CIF, through a small</w:t>
      </w:r>
      <w:r>
        <w:t xml:space="preserve"> </w:t>
      </w:r>
      <w:r>
        <w:t xml:space="preserve">Flask web application. Upload one or more monolayers, pick the stacking modes,</w:t>
      </w:r>
      <w:r>
        <w:t xml:space="preserve"> </w:t>
      </w:r>
      <w:r>
        <w:t xml:space="preserve">and download ready-to-view CIF files of the resulting bilayers.</w:t>
      </w:r>
    </w:p>
    <w:bookmarkStart w:id="20" w:name="what-it-does"/>
    <w:p>
      <w:pPr>
        <w:pStyle w:val="Heading2"/>
      </w:pPr>
      <w:r>
        <w:t xml:space="preserve">What it does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Construction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eclipsed (AA)</w:t>
            </w:r>
          </w:p>
        </w:tc>
        <w:tc>
          <w:tcPr/>
          <w:p>
            <w:pPr>
              <w:pStyle w:val="Compact"/>
            </w:pPr>
            <w:r>
              <w:t xml:space="preserve">second layer directly above the first, zero in-plane 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inclined</w:t>
            </w:r>
          </w:p>
        </w:tc>
        <w:tc>
          <w:tcPr/>
          <w:p>
            <w:pPr>
              <w:pStyle w:val="Compact"/>
            </w:pPr>
            <w:r>
              <w:t xml:space="preserve">second layer shifted laterally and lowered; the crystallographic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axis becomes tilted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serrated (AA′)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doubled; layers alternate between AA and AA′ positions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staggered (AB)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doubled; second layer placed on the pore site of the layer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rotated</w:t>
            </w:r>
          </w:p>
        </w:tc>
        <w:tc>
          <w:tcPr/>
          <w:p>
            <w:pPr>
              <w:pStyle w:val="Compact"/>
            </w:pPr>
            <w:r>
              <w:t xml:space="preserve">second layer generated by a symmetry operation (transpose by default, 60°–300° rotations and mirrors also offered), not by a translation</w:t>
            </w:r>
          </w:p>
        </w:tc>
      </w:tr>
    </w:tbl>
    <w:p>
      <w:pPr>
        <w:pStyle w:val="BodyText"/>
      </w:pPr>
      <w:r>
        <w:t xml:space="preserve">Key properties: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CIF in, CIF out.</w:t>
      </w:r>
      <w:r>
        <w:t xml:space="preserve"> </w:t>
      </w:r>
      <w:r>
        <w:t xml:space="preserve">Input is a P1 CIF of a single layer; every output is</w:t>
      </w:r>
      <w:r>
        <w:t xml:space="preserve"> </w:t>
      </w:r>
      <w:r>
        <w:t xml:space="preserve">written as a standard P1 CIF that opens directly in common crystallographic</w:t>
      </w:r>
      <w:r>
        <w:t xml:space="preserve"> </w:t>
      </w:r>
      <w:r>
        <w:t xml:space="preserve">viewers.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Automatic offset selection.</w:t>
      </w:r>
      <w:r>
        <w:t xml:space="preserve"> </w:t>
      </w:r>
      <w:r>
        <w:t xml:space="preserve">For hexagonal and square lattices the</w:t>
      </w:r>
      <w:r>
        <w:t xml:space="preserve"> </w:t>
      </w:r>
      <w:r>
        <w:t xml:space="preserve">staggered mode places the upper layer on the pore centre of the lower one;</w:t>
      </w:r>
      <w:r>
        <w:t xml:space="preserve"> </w:t>
      </w:r>
      <w:r>
        <w:t xml:space="preserve">the serrated mode applies the AA′ glide known from the reference</w:t>
      </w:r>
      <w:r>
        <w:t xml:space="preserve"> </w:t>
      </w:r>
      <w:r>
        <w:t xml:space="preserve">systems. Every generated offset reports its provenance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matched 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, ...).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Manual override.</w:t>
      </w:r>
      <w:r>
        <w:t xml:space="preserve"> </w:t>
      </w:r>
      <w:r>
        <w:t xml:space="preserve">Fractional or Cartesian offsets can be entered by hand;</w:t>
      </w:r>
      <w:r>
        <w:t xml:space="preserve"> </w:t>
      </w:r>
      <w:r>
        <w:t xml:space="preserve">the inclined mode then derives the tilted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axis and the tilt angle from</w:t>
      </w:r>
      <w:r>
        <w:t xml:space="preserve"> </w:t>
      </w:r>
      <w:r>
        <w:t xml:space="preserve">the given projection.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Batch processing.</w:t>
      </w:r>
      <w:r>
        <w:t xml:space="preserve"> </w:t>
      </w:r>
      <w:r>
        <w:t xml:space="preserve">Several CIF files can be uploaded at once; all of</w:t>
      </w:r>
      <w:r>
        <w:t xml:space="preserve"> </w:t>
      </w:r>
      <w:r>
        <w:t xml:space="preserve">them are processed with the same parameters and the results are bundled</w:t>
      </w:r>
      <w:r>
        <w:t xml:space="preserve"> </w:t>
      </w:r>
      <w:r>
        <w:t xml:space="preserve">into one ZIP, organised in one folder per input file.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Monolayer extraction.</w:t>
      </w:r>
      <w:r>
        <w:t xml:space="preserve"> </w:t>
      </w:r>
      <w:r>
        <w:t xml:space="preserve">A multilayer input can additionally be exported</w:t>
      </w:r>
      <w:r>
        <w:t xml:space="preserve"> </w:t>
      </w:r>
      <w:r>
        <w:t xml:space="preserve">as its first sheet alone (</w:t>
      </w:r>
      <w:r>
        <w:rPr>
          <w:rStyle w:val="VerbatimChar"/>
        </w:rPr>
        <w:t xml:space="preserve">monolayer.cif</w:t>
      </w:r>
      <w:r>
        <w:t xml:space="preserve">), with the</w:t>
      </w:r>
      <w:r>
        <w:t xml:space="preserve"> </w:t>
      </w:r>
      <w:r>
        <w:rPr>
          <w:i/>
          <w:iCs/>
        </w:rPr>
        <w:t xml:space="preserve">c</w:t>
      </w:r>
      <w:r>
        <w:t xml:space="preserve"> </w:t>
      </w:r>
      <w:r>
        <w:t xml:space="preserve">axis reset to a</w:t>
      </w:r>
      <w:r>
        <w:t xml:space="preserve"> </w:t>
      </w:r>
      <w:r>
        <w:t xml:space="preserve">single layer, ready to be stacked again.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 transparency.</w:t>
      </w:r>
      <w:r>
        <w:t xml:space="preserve"> </w:t>
      </w:r>
      <w:r>
        <w:t xml:space="preserve">Symmetry operations listed in a CIF are expanded</w:t>
      </w:r>
      <w:r>
        <w:t xml:space="preserve"> </w:t>
      </w:r>
      <w:r>
        <w:t xml:space="preserve">automatically and the expansion is reported (</w:t>
      </w:r>
      <w:r>
        <w:rPr>
          <w:rStyle w:val="VerbatimChar"/>
        </w:rPr>
        <w:t xml:space="preserve">42 sites x 8 operations -&gt; 336 atoms</w:t>
      </w:r>
      <w:r>
        <w:t xml:space="preserve">). A file that</w:t>
      </w:r>
      <w:r>
        <w:t xml:space="preserve"> </w:t>
      </w:r>
      <w:r>
        <w:rPr>
          <w:i/>
          <w:iCs/>
        </w:rPr>
        <w:t xml:space="preserve">declares</w:t>
      </w:r>
      <w:r>
        <w:t xml:space="preserve"> </w:t>
      </w:r>
      <w:r>
        <w:t xml:space="preserve">a space group but lists no operations</w:t>
      </w:r>
      <w:r>
        <w:t xml:space="preserve"> </w:t>
      </w:r>
      <w:r>
        <w:t xml:space="preserve">is rejected with an explanation instead of being silently read as its</w:t>
      </w:r>
      <w:r>
        <w:t xml:space="preserve"> </w:t>
      </w:r>
      <w:r>
        <w:t xml:space="preserve">asymmetric unit; 1D chains and molecular (non-layered) inputs are rejected</w:t>
      </w:r>
      <w:r>
        <w:t xml:space="preserve"> </w:t>
      </w:r>
      <w:r>
        <w:t xml:space="preserve">with a clear message as well.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Rotated mode is validated, never silent.</w:t>
      </w:r>
      <w:r>
        <w:t xml:space="preserve"> </w:t>
      </w:r>
      <w:r>
        <w:t xml:space="preserve">Before a rotation / mirror</w:t>
      </w:r>
      <w:r>
        <w:t xml:space="preserve"> </w:t>
      </w:r>
      <w:r>
        <w:t xml:space="preserve">stacking is built, the operation is checked against the layer (a PBC</w:t>
      </w:r>
      <w:r>
        <w:t xml:space="preserve"> </w:t>
      </w:r>
      <w:r>
        <w:t xml:space="preserve">residual test) and applied about the nearest symmetry axis — the axes of a</w:t>
      </w:r>
      <w:r>
        <w:t xml:space="preserve"> </w:t>
      </w:r>
      <w:r>
        <w:t xml:space="preserve">2D net need not sit at the origin. An operation that is no symmetry</w:t>
      </w:r>
      <w:r>
        <w:t xml:space="preserve"> </w:t>
      </w:r>
      <w:r>
        <w:t xml:space="preserve">operation of the layer at all produces a loud warning and an</w:t>
      </w:r>
      <w:r>
        <w:t xml:space="preserve"> </w:t>
      </w:r>
      <w:r>
        <w:rPr>
          <w:rStyle w:val="VerbatimChar"/>
        </w:rPr>
        <w:t xml:space="preserve">unvalidated</w:t>
      </w:r>
      <w:r>
        <w:t xml:space="preserve"> </w:t>
      </w:r>
      <w:r>
        <w:t xml:space="preserve">provenance flag. A staggered offset that maps atoms exactly</w:t>
      </w:r>
      <w:r>
        <w:t xml:space="preserve"> </w:t>
      </w:r>
      <w:r>
        <w:t xml:space="preserve">onto atoms (node-on-node, typical of non-primitive cells) is diagnosed the</w:t>
      </w:r>
      <w:r>
        <w:t xml:space="preserve"> </w:t>
      </w:r>
      <w:r>
        <w:t xml:space="preserve">same way.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Validated.</w:t>
      </w:r>
      <w:r>
        <w:t xml:space="preserve"> </w:t>
      </w:r>
      <w:r>
        <w:t xml:space="preserve">Offsets and cell parameters reproduce DFT-relaxed reference</w:t>
      </w:r>
      <w:r>
        <w:t xml:space="preserve"> </w:t>
      </w:r>
      <w:r>
        <w:t xml:space="preserve">structures collected in</w:t>
      </w:r>
      <w:r>
        <w:t xml:space="preserve"> </w:t>
      </w:r>
      <w:r>
        <w:rPr>
          <w:rStyle w:val="VerbatimChar"/>
        </w:rPr>
        <w:t xml:space="preserve">reference/</w:t>
      </w:r>
      <w:r>
        <w:t xml:space="preserve"> </w:t>
      </w:r>
      <w:r>
        <w:t xml:space="preserve">(see below); the regression suite</w:t>
      </w:r>
      <w:r>
        <w:t xml:space="preserve"> </w:t>
      </w:r>
      <w:r>
        <w:t xml:space="preserve">checks them numerically.</w:t>
      </w:r>
    </w:p>
    <w:bookmarkEnd w:id="20"/>
    <w:bookmarkStart w:id="24" w:name="quick-start"/>
    <w:p>
      <w:pPr>
        <w:pStyle w:val="Heading2"/>
      </w:pPr>
      <w:r>
        <w:t xml:space="preserve">Quick start</w:t>
      </w:r>
    </w:p>
    <w:bookmarkStart w:id="21" w:name="windows-one-click"/>
    <w:p>
      <w:pPr>
        <w:pStyle w:val="Heading3"/>
      </w:pPr>
      <w:r>
        <w:t xml:space="preserve">Windows (one-click)</w:t>
      </w:r>
    </w:p>
    <w:p>
      <w:pPr>
        <w:pStyle w:val="FirstParagraph"/>
      </w:pPr>
      <w:r>
        <w:t xml:space="preserve">Double-click</w:t>
      </w:r>
      <w:r>
        <w:t xml:space="preserve"> </w:t>
      </w:r>
      <w:r>
        <w:rPr>
          <w:rStyle w:val="VerbatimChar"/>
        </w:rPr>
        <w:t xml:space="preserve">run_webapp.bat</w:t>
      </w:r>
      <w:r>
        <w:t xml:space="preserve">. It detects a suitable Python (3.10+), creates a</w:t>
      </w:r>
      <w:r>
        <w:t xml:space="preserve"> </w:t>
      </w:r>
      <w:r>
        <w:t xml:space="preserve">local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, installs the dependencies and starts the server; the browser</w:t>
      </w:r>
      <w:r>
        <w:t xml:space="preserve"> </w:t>
      </w:r>
      <w:r>
        <w:t xml:space="preserve">opens automatically.</w:t>
      </w:r>
    </w:p>
    <w:bookmarkEnd w:id="21"/>
    <w:bookmarkStart w:id="23" w:name="any-platform"/>
    <w:p>
      <w:pPr>
        <w:pStyle w:val="Heading3"/>
      </w:pPr>
      <w:r>
        <w:t xml:space="preserve">Any platform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CommentTok"/>
        </w:rPr>
        <w:t xml:space="preserve"># activate the virtual environment, then: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app.py</w:t>
      </w:r>
    </w:p>
    <w:p>
      <w:pPr>
        <w:pStyle w:val="FirstParagraph"/>
      </w:pPr>
      <w:r>
        <w:t xml:space="preserve">Then open</w:t>
      </w:r>
      <w:r>
        <w:t xml:space="preserve"> </w:t>
      </w:r>
      <w:hyperlink r:id="rId22">
        <w:r>
          <w:rPr>
            <w:rStyle w:val="Hyperlink"/>
          </w:rPr>
          <w:t xml:space="preserve">http://127.0.0.1:5000</w:t>
        </w:r>
      </w:hyperlink>
      <w:r>
        <w:t xml:space="preserve"> </w:t>
      </w:r>
      <w:r>
        <w:t xml:space="preserve">in a browser (a free port is used if 5000</w:t>
      </w:r>
      <w:r>
        <w:t xml:space="preserve"> </w:t>
      </w:r>
      <w:r>
        <w:t xml:space="preserve">is taken).</w:t>
      </w:r>
    </w:p>
    <w:bookmarkEnd w:id="23"/>
    <w:bookmarkEnd w:id="24"/>
    <w:bookmarkStart w:id="25" w:name="usage"/>
    <w:p>
      <w:pPr>
        <w:pStyle w:val="Heading2"/>
      </w:pPr>
      <w:r>
        <w:t xml:space="preserve">Usage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Upload</w:t>
      </w:r>
      <w:r>
        <w:t xml:space="preserve"> </w:t>
      </w:r>
      <w:r>
        <w:t xml:space="preserve">one or more CIFs, each containing one layer (see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Choose</w:t>
      </w:r>
      <w:r>
        <w:t xml:space="preserve"> </w:t>
      </w:r>
      <w:r>
        <w:t xml:space="preserve">the stacking modes and adjust parameters if needed</w:t>
      </w:r>
      <w:r>
        <w:t xml:space="preserve"> </w:t>
      </w:r>
      <w:r>
        <w:t xml:space="preserve">(layer gap, in-plane offset); for multilayer inputs an extracted</w:t>
      </w:r>
      <w:r>
        <w:t xml:space="preserve"> </w:t>
      </w:r>
      <w:r>
        <w:rPr>
          <w:rStyle w:val="VerbatimChar"/>
        </w:rPr>
        <w:t xml:space="preserve">monolayer.cif</w:t>
      </w:r>
      <w:r>
        <w:t xml:space="preserve"> </w:t>
      </w:r>
      <w:r>
        <w:t xml:space="preserve">can be requested as well.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Download</w:t>
      </w:r>
      <w:r>
        <w:t xml:space="preserve"> </w:t>
      </w:r>
      <w:r>
        <w:t xml:space="preserve">the generated CIF files, individually or bundled as a ZIP.</w:t>
      </w:r>
    </w:p>
    <w:bookmarkEnd w:id="25"/>
    <w:bookmarkStart w:id="26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rPr>
          <w:rStyle w:val="VerbatimChar"/>
        </w:rPr>
        <w:t xml:space="preserve">examples/</w:t>
      </w:r>
      <w:r>
        <w:t xml:space="preserve"> </w:t>
      </w:r>
      <w:r>
        <w:t xml:space="preserve">ships with ready-to-run inputs: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COF-1_monolayer.cif</w:t>
            </w:r>
          </w:p>
        </w:tc>
        <w:tc>
          <w:tcPr/>
          <w:p>
            <w:pPr>
              <w:pStyle w:val="Compact"/>
            </w:pPr>
            <w:r>
              <w:t xml:space="preserve">COF-1 monolayer, hexagonal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COF-5_monolayer.cif</w:t>
            </w:r>
          </w:p>
        </w:tc>
        <w:tc>
          <w:tcPr/>
          <w:p>
            <w:pPr>
              <w:pStyle w:val="Compact"/>
            </w:pPr>
            <w:r>
              <w:t xml:space="preserve">COF-5 monolayer, hexagonal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CTF-1_monolayer.cif</w:t>
            </w:r>
          </w:p>
        </w:tc>
        <w:tc>
          <w:tcPr/>
          <w:p>
            <w:pPr>
              <w:pStyle w:val="Compact"/>
            </w:pPr>
            <w:r>
              <w:t xml:space="preserve">CTF-1 monolayer, hexagonal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Pc-PBBA_monolayer.cif</w:t>
            </w:r>
          </w:p>
        </w:tc>
        <w:tc>
          <w:tcPr/>
          <w:p>
            <w:pPr>
              <w:pStyle w:val="Compact"/>
            </w:pPr>
            <w:r>
              <w:t xml:space="preserve">Pc-PBBA monolayer, square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CuPc_monolayer.cif</w:t>
            </w:r>
          </w:p>
        </w:tc>
        <w:tc>
          <w:tcPr/>
          <w:p>
            <w:pPr>
              <w:pStyle w:val="Compact"/>
            </w:pPr>
            <w:r>
              <w:t xml:space="preserve">first layer extracted from the rotated reference bilayer; run the rotated mode on it to regenerate that bilayer</w:t>
            </w:r>
          </w:p>
        </w:tc>
      </w:tr>
    </w:tbl>
    <w:bookmarkEnd w:id="26"/>
    <w:bookmarkStart w:id="27" w:name="reference-data"/>
    <w:p>
      <w:pPr>
        <w:pStyle w:val="Heading2"/>
      </w:pPr>
      <w:r>
        <w:t xml:space="preserve">Reference data</w:t>
      </w:r>
    </w:p>
    <w:p>
      <w:pPr>
        <w:pStyle w:val="FirstParagraph"/>
      </w:pPr>
      <w:r>
        <w:rPr>
          <w:rStyle w:val="VerbatimChar"/>
        </w:rPr>
        <w:t xml:space="preserve">reference/</w:t>
      </w:r>
      <w:r>
        <w:t xml:space="preserve"> </w:t>
      </w:r>
      <w:r>
        <w:t xml:space="preserve">contains the CIF files used to validate the construction rules</w:t>
      </w:r>
      <w:r>
        <w:t xml:space="preserve"> </w:t>
      </w:r>
      <w:r>
        <w:t xml:space="preserve">(eclipsed, inclined, serrated and staggered arrangements of COF-1, COF-5,</w:t>
      </w:r>
      <w:r>
        <w:t xml:space="preserve"> </w:t>
      </w:r>
      <w:r>
        <w:t xml:space="preserve">CTF-1 and Pc-PBBA, plus the rotated reference). These are the structures the</w:t>
      </w:r>
      <w:r>
        <w:t xml:space="preserve"> </w:t>
      </w:r>
      <w:r>
        <w:t xml:space="preserve">regression tests compare against.</w:t>
      </w:r>
    </w:p>
    <w:bookmarkEnd w:id="27"/>
    <w:bookmarkStart w:id="28" w:name="repository-layout"/>
    <w:p>
      <w:pPr>
        <w:pStyle w:val="Heading2"/>
      </w:pPr>
      <w:r>
        <w:t xml:space="preserve">Repository layout</w:t>
      </w:r>
    </w:p>
    <w:p>
      <w:pPr>
        <w:pStyle w:val="SourceCode"/>
      </w:pPr>
      <w:r>
        <w:rPr>
          <w:rStyle w:val="VerbatimChar"/>
        </w:rPr>
        <w:t xml:space="preserve">crystalstack/</w:t>
      </w:r>
      <w:r>
        <w:br/>
      </w:r>
      <w:r>
        <w:rPr>
          <w:rStyle w:val="VerbatimChar"/>
        </w:rPr>
        <w:t xml:space="preserve">├── app.py                 Flask application (UI, upload, run management)</w:t>
      </w:r>
      <w:r>
        <w:br/>
      </w:r>
      <w:r>
        <w:rPr>
          <w:rStyle w:val="VerbatimChar"/>
        </w:rPr>
        <w:t xml:space="preserve">├── layer_stacking.py      core stacking engine</w:t>
      </w:r>
      <w:r>
        <w:br/>
      </w:r>
      <w:r>
        <w:rPr>
          <w:rStyle w:val="VerbatimChar"/>
        </w:rPr>
        <w:t xml:space="preserve">├── stacking_rules.py      automatic offset selection and provenance</w:t>
      </w:r>
      <w:r>
        <w:br/>
      </w:r>
      <w:r>
        <w:rPr>
          <w:rStyle w:val="VerbatimChar"/>
        </w:rPr>
        <w:t xml:space="preserve">├── cif_io.py              CIF reader/writer (P1, symmetry expansion)</w:t>
      </w:r>
      <w:r>
        <w:br/>
      </w:r>
      <w:r>
        <w:rPr>
          <w:rStyle w:val="VerbatimChar"/>
        </w:rPr>
        <w:t xml:space="preserve">├── benchmark_scaling.py   timing benchmark</w:t>
      </w:r>
      <w:r>
        <w:br/>
      </w:r>
      <w:r>
        <w:rPr>
          <w:rStyle w:val="VerbatimChar"/>
        </w:rPr>
        <w:t xml:space="preserve">├── test_layer_stacking.py regression suite (135 checks)</w:t>
      </w:r>
      <w:r>
        <w:br/>
      </w:r>
      <w:r>
        <w:rPr>
          <w:rStyle w:val="VerbatimChar"/>
        </w:rPr>
        <w:t xml:space="preserve">├── smoke_test_web.py      end-to-end web smoke test</w:t>
      </w:r>
      <w:r>
        <w:br/>
      </w:r>
      <w:r>
        <w:rPr>
          <w:rStyle w:val="VerbatimChar"/>
        </w:rPr>
        <w:t xml:space="preserve">├── run_webapp.bat         Windows one-click launcher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templates/  static/    web interface</w:t>
      </w:r>
      <w:r>
        <w:br/>
      </w:r>
      <w:r>
        <w:rPr>
          <w:rStyle w:val="VerbatimChar"/>
        </w:rPr>
        <w:t xml:space="preserve">├── reference/             DFT reference structures (CIF)</w:t>
      </w:r>
      <w:r>
        <w:br/>
      </w:r>
      <w:r>
        <w:rPr>
          <w:rStyle w:val="VerbatimChar"/>
        </w:rPr>
        <w:t xml:space="preserve">└── examples/              sample monolayer inputs (CIF)</w:t>
      </w:r>
    </w:p>
    <w:bookmarkEnd w:id="28"/>
    <w:bookmarkStart w:id="29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3"/>
        </w:numPr>
      </w:pPr>
      <w:r>
        <w:t xml:space="preserve">Python ≥ 3.10</w:t>
      </w:r>
    </w:p>
    <w:p>
      <w:pPr>
        <w:pStyle w:val="Compact"/>
        <w:numPr>
          <w:ilvl w:val="0"/>
          <w:numId w:val="1003"/>
        </w:numPr>
      </w:pPr>
      <w:r>
        <w:t xml:space="preserve">numpy, scipy, Flask (see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</w:t>
      </w:r>
    </w:p>
    <w:bookmarkEnd w:id="29"/>
    <w:bookmarkStart w:id="30" w:name="tests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test_layer_stacking.py    </w:t>
      </w:r>
      <w:r>
        <w:rPr>
          <w:rStyle w:val="CommentTok"/>
        </w:rPr>
        <w:t xml:space="preserve"># 135 checks, engine + rules + CIF I/O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smoke_test_web.py         </w:t>
      </w:r>
      <w:r>
        <w:rPr>
          <w:rStyle w:val="CommentTok"/>
        </w:rPr>
        <w:t xml:space="preserve"># end-to-end test against the Flask test client</w:t>
      </w:r>
    </w:p>
    <w:bookmarkEnd w:id="30"/>
    <w:bookmarkStart w:id="31" w:name="citation"/>
    <w:p>
      <w:pPr>
        <w:pStyle w:val="Heading2"/>
      </w:pPr>
      <w:r>
        <w:t xml:space="preserve">Citation</w:t>
      </w:r>
    </w:p>
    <w:p>
      <w:pPr>
        <w:pStyle w:val="FirstParagraph"/>
      </w:pPr>
      <w:r>
        <w:t xml:space="preserve">A manuscript describing the methodology is in preparation; citation details</w:t>
      </w:r>
      <w:r>
        <w:t xml:space="preserve"> </w:t>
      </w:r>
      <w:r>
        <w:t xml:space="preserve">will be added upon publication.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127.0.0.1:50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127.0.0.1:50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2026-10-04T13:24:11Z</dcterms:created>
  <dcterms:modified xsi:type="dcterms:W3CDTF">2026-10-04T13:24:11Z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