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CrystalStack</w:t>
      </w:r>
    </w:p>
    <w:p>
      <w:r>
        <w:rPr>
          <w:b/>
        </w:rPr>
        <w:t>CrystalStack</w:t>
      </w:r>
      <w:r>
        <w:t xml:space="preserve"> builds the five classical interlayer stacking arrangements of a</w:t>
      </w:r>
    </w:p>
    <w:p>
      <w:r>
        <w:t>2D covalent organic framework (COF) from a single-layer CIF, through a small</w:t>
      </w:r>
    </w:p>
    <w:p>
      <w:r>
        <w:t>Flask web application. Upload one monolayer, pick the stacking modes, and</w:t>
      </w:r>
    </w:p>
    <w:p>
      <w:r>
        <w:t>download ready-to-view CIF files of the resulting bilayers.</w:t>
      </w:r>
    </w:p>
    <w:p>
      <w:pPr>
        <w:pStyle w:val="Heading1"/>
      </w:pPr>
      <w:r>
        <w:t>What it does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Construction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eclipsed (AA)</w:t>
            </w:r>
          </w:p>
        </w:tc>
        <w:tc>
          <w:tcPr>
            <w:tcW w:type="dxa" w:w="4320"/>
          </w:tcPr>
          <w:p>
            <w:r/>
            <w:r>
              <w:t>second layer directly above the first, zero in-plane offset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inclined</w:t>
            </w:r>
          </w:p>
        </w:tc>
        <w:tc>
          <w:tcPr>
            <w:tcW w:type="dxa" w:w="4320"/>
          </w:tcPr>
          <w:p>
            <w:r/>
            <w:r>
              <w:t xml:space="preserve">second layer shifted laterally and lowered; the crystallographic </w:t>
            </w:r>
            <w:r>
              <w:rPr>
                <w:i/>
              </w:rPr>
              <w:t>c</w:t>
            </w:r>
            <w:r>
              <w:t xml:space="preserve"> axis becomes tilted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serrated (AA&amp;prime;)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c</w:t>
            </w:r>
            <w:r>
              <w:t xml:space="preserve"> doubled; layers alternate between AA and AA&amp;prime; positions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staggered (AB)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c</w:t>
            </w:r>
            <w:r>
              <w:t xml:space="preserve"> doubled; second layer placed on the pore site of the layer below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rotated</w:t>
            </w:r>
          </w:p>
        </w:tc>
        <w:tc>
          <w:tcPr>
            <w:tcW w:type="dxa" w:w="4320"/>
          </w:tcPr>
          <w:p>
            <w:r/>
            <w:r>
              <w:t>second layer generated by a symmetry operation (transpose mirror across the diagonal), not by a translation</w:t>
            </w:r>
          </w:p>
        </w:tc>
      </w:tr>
    </w:tbl>
    <w:p/>
    <w:p>
      <w:r>
        <w:t>Key properties:</w:t>
      </w:r>
    </w:p>
    <w:p>
      <w:pPr>
        <w:pStyle w:val="ListBullet"/>
      </w:pPr>
      <w:r>
        <w:rPr>
          <w:b/>
        </w:rPr>
        <w:t>CIF in, CIF out.</w:t>
      </w:r>
      <w:r>
        <w:t xml:space="preserve"> Input is a P1 CIF of a single layer; every output is</w:t>
      </w:r>
    </w:p>
    <w:p>
      <w:r>
        <w:t xml:space="preserve">  written as a standard P1 CIF that opens directly in common crystallographic</w:t>
      </w:r>
    </w:p>
    <w:p>
      <w:r>
        <w:t xml:space="preserve">  viewers.</w:t>
      </w:r>
    </w:p>
    <w:p>
      <w:pPr>
        <w:pStyle w:val="ListBullet"/>
      </w:pPr>
      <w:r>
        <w:rPr>
          <w:b/>
        </w:rPr>
        <w:t>Automatic offset selection.</w:t>
      </w:r>
      <w:r>
        <w:t xml:space="preserve"> For hexagonal and square lattices the</w:t>
      </w:r>
    </w:p>
    <w:p>
      <w:r>
        <w:t xml:space="preserve">  staggered mode places the upper layer on the pore centre of the lower one;</w:t>
      </w:r>
    </w:p>
    <w:p>
      <w:r>
        <w:t xml:space="preserve">  the serrated mode applies the AA&amp;prime; glide known from the reference</w:t>
      </w:r>
    </w:p>
    <w:p>
      <w:r>
        <w:t xml:space="preserve">  systems. Every generated offset reports its provenance</w:t>
      </w:r>
    </w:p>
    <w:p>
      <w:r>
        <w:t xml:space="preserve">  (</w:t>
      </w:r>
      <w:r>
        <w:rPr>
          <w:rFonts w:ascii="Consolas" w:hAnsi="Consolas"/>
          <w:color w:val="8A2B0B"/>
        </w:rPr>
        <w:t>matched reference</w:t>
      </w:r>
      <w:r>
        <w:t xml:space="preserve">, </w:t>
      </w:r>
      <w:r>
        <w:rPr>
          <w:rFonts w:ascii="Consolas" w:hAnsi="Consolas"/>
          <w:color w:val="8A2B0B"/>
        </w:rPr>
        <w:t>rule</w:t>
      </w:r>
      <w:r>
        <w:t xml:space="preserve">, </w:t>
      </w:r>
      <w:r>
        <w:rPr>
          <w:rFonts w:ascii="Consolas" w:hAnsi="Consolas"/>
          <w:color w:val="8A2B0B"/>
        </w:rPr>
        <w:t>manual</w:t>
      </w:r>
      <w:r>
        <w:t>, ...).</w:t>
      </w:r>
    </w:p>
    <w:p>
      <w:pPr>
        <w:pStyle w:val="ListBullet"/>
      </w:pPr>
      <w:r>
        <w:rPr>
          <w:b/>
        </w:rPr>
        <w:t>Manual override.</w:t>
      </w:r>
      <w:r>
        <w:t xml:space="preserve"> Fractional or Cartesian offsets can be entered by hand;</w:t>
      </w:r>
    </w:p>
    <w:p>
      <w:r>
        <w:t xml:space="preserve">  the inclined mode then derives the tilted </w:t>
      </w:r>
      <w:r>
        <w:rPr>
          <w:i/>
        </w:rPr>
        <w:t>c</w:t>
      </w:r>
      <w:r>
        <w:t xml:space="preserve"> axis and the tilt angle from</w:t>
      </w:r>
    </w:p>
    <w:p>
      <w:r>
        <w:t xml:space="preserve">  the given projection.</w:t>
      </w:r>
    </w:p>
    <w:p>
      <w:pPr>
        <w:pStyle w:val="ListBullet"/>
      </w:pPr>
      <w:r>
        <w:rPr>
          <w:b/>
        </w:rPr>
        <w:t>Validated.</w:t>
      </w:r>
      <w:r>
        <w:t xml:space="preserve"> Offsets and cell parameters reproduce DFT-relaxed reference</w:t>
      </w:r>
    </w:p>
    <w:p>
      <w:r>
        <w:t xml:space="preserve">  structures collected in </w:t>
      </w:r>
      <w:r>
        <w:rPr>
          <w:rFonts w:ascii="Consolas" w:hAnsi="Consolas"/>
          <w:color w:val="8A2B0B"/>
        </w:rPr>
        <w:t>reference/</w:t>
      </w:r>
      <w:r>
        <w:t xml:space="preserve"> (see below); the regression suite</w:t>
      </w:r>
    </w:p>
    <w:p>
      <w:r>
        <w:t xml:space="preserve">  checks them numerically.</w:t>
      </w:r>
    </w:p>
    <w:p>
      <w:pPr>
        <w:pStyle w:val="Heading1"/>
      </w:pPr>
      <w:r>
        <w:t>Quick start</w:t>
      </w:r>
    </w:p>
    <w:p>
      <w:pPr>
        <w:pStyle w:val="Heading2"/>
      </w:pPr>
      <w:r>
        <w:t>Windows (one-click)</w:t>
      </w:r>
    </w:p>
    <w:p>
      <w:r>
        <w:t xml:space="preserve">Double-click </w:t>
      </w:r>
      <w:r>
        <w:rPr>
          <w:rFonts w:ascii="Consolas" w:hAnsi="Consolas"/>
          <w:color w:val="8A2B0B"/>
        </w:rPr>
        <w:t>run_webapp.bat</w:t>
      </w:r>
      <w:r>
        <w:t>. It detects a suitable Python (3.10+), creates a</w:t>
      </w:r>
    </w:p>
    <w:p>
      <w:r>
        <w:t xml:space="preserve">local </w:t>
      </w:r>
      <w:r>
        <w:rPr>
          <w:rFonts w:ascii="Consolas" w:hAnsi="Consolas"/>
          <w:color w:val="8A2B0B"/>
        </w:rPr>
        <w:t>.venv</w:t>
      </w:r>
      <w:r>
        <w:t>, installs the dependencies and starts the server; the browser</w:t>
      </w:r>
    </w:p>
    <w:p>
      <w:r>
        <w:t>opens automatically.</w:t>
      </w:r>
    </w:p>
    <w:p>
      <w:pPr>
        <w:pStyle w:val="Heading2"/>
      </w:pPr>
      <w:r>
        <w:t>Any platform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python -m venv .venv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# activate the virtual environment, then: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pip install -r requirements.txt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python app.py</w:t>
      </w:r>
    </w:p>
    <w:p>
      <w:r>
        <w:t>Then open &lt;http://127.0.0.1:5000&gt; in a browser (a free port is used if 5000</w:t>
      </w:r>
    </w:p>
    <w:p>
      <w:r>
        <w:t>is taken).</w:t>
      </w:r>
    </w:p>
    <w:p>
      <w:pPr>
        <w:pStyle w:val="Heading1"/>
      </w:pPr>
      <w:r>
        <w:t>Usage</w:t>
      </w:r>
    </w:p>
    <w:p>
      <w:pPr>
        <w:pStyle w:val="ListNumber"/>
      </w:pPr>
      <w:r>
        <w:rPr>
          <w:b/>
        </w:rPr>
        <w:t>Upload</w:t>
      </w:r>
      <w:r>
        <w:t xml:space="preserve"> a CIF containing one layer (see </w:t>
      </w:r>
      <w:r>
        <w:rPr>
          <w:rFonts w:ascii="Consolas" w:hAnsi="Consolas"/>
          <w:color w:val="8A2B0B"/>
        </w:rPr>
        <w:t>examples/</w:t>
      </w:r>
      <w:r>
        <w:t>).</w:t>
      </w:r>
    </w:p>
    <w:p>
      <w:pPr>
        <w:pStyle w:val="ListNumber"/>
      </w:pPr>
      <w:r>
        <w:rPr>
          <w:b/>
        </w:rPr>
        <w:t>Choose</w:t>
      </w:r>
      <w:r>
        <w:t xml:space="preserve"> the stacking modes and adjust parameters if needed</w:t>
      </w:r>
    </w:p>
    <w:p>
      <w:r>
        <w:t xml:space="preserve">   (layer gap, in-plane offset).</w:t>
      </w:r>
    </w:p>
    <w:p>
      <w:pPr>
        <w:pStyle w:val="ListNumber"/>
      </w:pPr>
      <w:r>
        <w:rPr>
          <w:b/>
        </w:rPr>
        <w:t>Download</w:t>
      </w:r>
      <w:r>
        <w:t xml:space="preserve"> the generated CIF files, individually or bundled as a ZIP.</w:t>
      </w:r>
    </w:p>
    <w:p>
      <w:pPr>
        <w:pStyle w:val="Heading1"/>
      </w:pPr>
      <w:r>
        <w:t>Examples</w:t>
      </w:r>
    </w:p>
    <w:p>
      <w:r>
        <w:rPr>
          <w:rFonts w:ascii="Consolas" w:hAnsi="Consolas"/>
          <w:color w:val="8A2B0B"/>
        </w:rPr>
        <w:t>examples/</w:t>
      </w:r>
      <w:r>
        <w:t xml:space="preserve"> ships with ready-to-run inputs: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Content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8A2B0B"/>
              </w:rPr>
              <w:t>COF-1_monolayer.cif</w:t>
            </w:r>
          </w:p>
        </w:tc>
        <w:tc>
          <w:tcPr>
            <w:tcW w:type="dxa" w:w="4320"/>
          </w:tcPr>
          <w:p>
            <w:r/>
            <w:r>
              <w:t>COF-1 monolayer, hexagonal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8A2B0B"/>
              </w:rPr>
              <w:t>COF-5_monolayer.cif</w:t>
            </w:r>
          </w:p>
        </w:tc>
        <w:tc>
          <w:tcPr>
            <w:tcW w:type="dxa" w:w="4320"/>
          </w:tcPr>
          <w:p>
            <w:r/>
            <w:r>
              <w:t>COF-5 monolayer, hexagonal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8A2B0B"/>
              </w:rPr>
              <w:t>CTF-1_monolayer.cif</w:t>
            </w:r>
          </w:p>
        </w:tc>
        <w:tc>
          <w:tcPr>
            <w:tcW w:type="dxa" w:w="4320"/>
          </w:tcPr>
          <w:p>
            <w:r/>
            <w:r>
              <w:t>CTF-1 monolayer, hexagonal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8A2B0B"/>
              </w:rPr>
              <w:t>Pc-PBBA_monolayer.cif</w:t>
            </w:r>
          </w:p>
        </w:tc>
        <w:tc>
          <w:tcPr>
            <w:tcW w:type="dxa" w:w="4320"/>
          </w:tcPr>
          <w:p>
            <w:r/>
            <w:r>
              <w:t>Pc-PBBA monolayer, square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8A2B0B"/>
              </w:rPr>
              <w:t>CuPc-bilayer-rotated.cif</w:t>
            </w:r>
          </w:p>
        </w:tc>
        <w:tc>
          <w:tcPr>
            <w:tcW w:type="dxa" w:w="4320"/>
          </w:tcPr>
          <w:p>
            <w:r/>
            <w:r>
              <w:t>copper phthalocyanine bilayer in the rotated arrangement</w:t>
            </w:r>
          </w:p>
        </w:tc>
      </w:tr>
    </w:tbl>
    <w:p/>
    <w:p>
      <w:pPr>
        <w:pStyle w:val="Heading1"/>
      </w:pPr>
      <w:r>
        <w:t>Reference data</w:t>
      </w:r>
    </w:p>
    <w:p>
      <w:r>
        <w:rPr>
          <w:rFonts w:ascii="Consolas" w:hAnsi="Consolas"/>
          <w:color w:val="8A2B0B"/>
        </w:rPr>
        <w:t>reference/</w:t>
      </w:r>
      <w:r>
        <w:t xml:space="preserve"> contains the CIF files used to validate the construction rules</w:t>
      </w:r>
    </w:p>
    <w:p>
      <w:r>
        <w:t>(eclipsed, inclined, serrated and staggered arrangements of COF-1, COF-5,</w:t>
      </w:r>
    </w:p>
    <w:p>
      <w:r>
        <w:t>CTF-1 and Pc-PBBA, plus the rotated reference). These are the structures the</w:t>
      </w:r>
    </w:p>
    <w:p>
      <w:r>
        <w:t>regression tests compare against.</w:t>
      </w:r>
    </w:p>
    <w:p>
      <w:pPr>
        <w:pStyle w:val="Heading1"/>
      </w:pPr>
      <w:r>
        <w:t>Repository layout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crystalstack/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├── app.py                 Flask application (UI, upload, run management)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├── layer_stacking.py      core stacking engine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├── stacking_rules.py      automatic offset selection and provenance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├── cif_io.py              CIF reader/writer (P1, symmetry expansion)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├── benchmark_scaling.py   timing benchmark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├── test_layer_stacking.py regression suite (103 checks)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├── smoke_test_web.py      end-to-end web smoke test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├── run_webapp.bat         Windows one-click launcher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├── requirements.txt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├── templates/  static/    web interface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├── reference/             DFT reference structures (CIF)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└── examples/              sample monolayer inputs (CIF)</w:t>
      </w:r>
    </w:p>
    <w:p>
      <w:pPr>
        <w:pStyle w:val="Heading1"/>
      </w:pPr>
      <w:r>
        <w:t>Requirements</w:t>
      </w:r>
    </w:p>
    <w:p>
      <w:pPr>
        <w:pStyle w:val="ListBullet"/>
      </w:pPr>
      <w:r>
        <w:t>Python ≥ 3.10</w:t>
      </w:r>
    </w:p>
    <w:p>
      <w:pPr>
        <w:pStyle w:val="ListBullet"/>
      </w:pPr>
      <w:r>
        <w:t xml:space="preserve">numpy, scipy, Flask (see </w:t>
      </w:r>
      <w:r>
        <w:rPr>
          <w:rFonts w:ascii="Consolas" w:hAnsi="Consolas"/>
          <w:color w:val="8A2B0B"/>
        </w:rPr>
        <w:t>requirements.txt</w:t>
      </w:r>
      <w:r>
        <w:t>)</w:t>
      </w:r>
    </w:p>
    <w:p>
      <w:pPr>
        <w:pStyle w:val="Heading1"/>
      </w:pPr>
      <w:r>
        <w:t>Tests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python test_layer_stacking.py    # 103 checks, engine + rules + CIF I/O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python smoke_test_web.py         # end-to-end test against the Flask test client</w:t>
      </w:r>
    </w:p>
    <w:p>
      <w:pPr>
        <w:pStyle w:val="Heading1"/>
      </w:pPr>
      <w:r>
        <w:t>Citation</w:t>
      </w:r>
    </w:p>
    <w:p>
      <w:r>
        <w:t>A manuscript describing the methodology is in preparation; citation details</w:t>
      </w:r>
    </w:p>
    <w:p>
      <w:r>
        <w:t>will be added upon publication.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