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rystalstacker"/>
    <w:p>
      <w:pPr>
        <w:pStyle w:val="1"/>
      </w:pPr>
      <w:r>
        <w:t xml:space="preserve">CrystalStacker</w:t>
      </w:r>
    </w:p>
    <w:p>
      <w:pPr>
        <w:pStyle w:val="FirstParagraph"/>
      </w:pPr>
      <w:r>
        <w:rPr>
          <w:b/>
          <w:bCs/>
        </w:rPr>
        <w:t xml:space="preserve">CrystalStacker</w:t>
      </w:r>
      <w:r>
        <w:t xml:space="preserve"> </w:t>
      </w:r>
      <w:r>
        <w:t xml:space="preserve">builds the five classical interlayer stacking arrangements of a</w:t>
      </w:r>
      <w:r>
        <w:t xml:space="preserve"> </w:t>
      </w:r>
      <w:r>
        <w:t xml:space="preserve">2D covalent organic framework (COF) from a single-layer CIF, through a small</w:t>
      </w:r>
      <w:r>
        <w:t xml:space="preserve"> </w:t>
      </w:r>
      <w:r>
        <w:t xml:space="preserve">Flask web application. Upload one or more monolayers, pick the stacking modes,</w:t>
      </w:r>
      <w:r>
        <w:t xml:space="preserve"> </w:t>
      </w:r>
      <w:r>
        <w:t xml:space="preserve">and download ready-to-view CIF files of the resulting bilayers.</w:t>
      </w:r>
    </w:p>
    <w:bookmarkStart w:id="20" w:name="what-it-does"/>
    <w:p>
      <w:pPr>
        <w:pStyle w:val="2"/>
      </w:pPr>
      <w:r>
        <w:t xml:space="preserve">What it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eclipsed (AA)</w:t>
            </w:r>
          </w:p>
        </w:tc>
        <w:tc>
          <w:tcPr/>
          <w:p>
            <w:pPr>
              <w:pStyle w:val="Compact"/>
            </w:pPr>
            <w:r>
              <w:t xml:space="preserve">second layer directly above the first, zero in-plane 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inclined</w:t>
            </w:r>
          </w:p>
        </w:tc>
        <w:tc>
          <w:tcPr/>
          <w:p>
            <w:pPr>
              <w:pStyle w:val="Compact"/>
            </w:pPr>
            <w:r>
              <w:t xml:space="preserve">second layer shifted laterally and lowered; the crystallographic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axis becomes tilted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serrated (AA′)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doubled; layers alternate between AA and AA′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staggered (AB)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doubled; second layer placed on the pore site of the layer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rotated</w:t>
            </w:r>
          </w:p>
        </w:tc>
        <w:tc>
          <w:tcPr/>
          <w:p>
            <w:pPr>
              <w:pStyle w:val="Compact"/>
            </w:pPr>
            <w:r>
              <w:t xml:space="preserve">second layer generated by a symmetry operation (transpose by default, 60°–300° rotations and mirrors also offered), not by a translation</w:t>
            </w:r>
          </w:p>
        </w:tc>
      </w:tr>
    </w:tbl>
    <w:p>
      <w:pPr>
        <w:pStyle w:val="a0"/>
      </w:pPr>
      <w:r>
        <w:t xml:space="preserve">Key properties: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CIF in, CIF out.</w:t>
      </w:r>
      <w:r>
        <w:t xml:space="preserve"> </w:t>
      </w:r>
      <w:r>
        <w:t xml:space="preserve">Input is a P1 CIF of a single layer; every output is</w:t>
      </w:r>
      <w:r>
        <w:t xml:space="preserve"> </w:t>
      </w:r>
      <w:r>
        <w:t xml:space="preserve">written as a standard P1 CIF that opens directly in common crystallographic</w:t>
      </w:r>
      <w:r>
        <w:t xml:space="preserve"> </w:t>
      </w:r>
      <w:r>
        <w:t xml:space="preserve">viewers.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offset selection.</w:t>
      </w:r>
      <w:r>
        <w:t xml:space="preserve"> </w:t>
      </w:r>
      <w:r>
        <w:t xml:space="preserve">For hexagonal and square lattices the</w:t>
      </w:r>
      <w:r>
        <w:t xml:space="preserve"> </w:t>
      </w:r>
      <w:r>
        <w:t xml:space="preserve">staggered mode places the upper layer on the pore centre of the lower one;</w:t>
      </w:r>
      <w:r>
        <w:t xml:space="preserve"> </w:t>
      </w:r>
      <w:r>
        <w:t xml:space="preserve">the serrated mode applies the AA′ glide known from the reference</w:t>
      </w:r>
      <w:r>
        <w:t xml:space="preserve"> </w:t>
      </w:r>
      <w:r>
        <w:t xml:space="preserve">systems. Every generated offset reports its provenance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matched 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…).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override.</w:t>
      </w:r>
      <w:r>
        <w:t xml:space="preserve"> </w:t>
      </w:r>
      <w:r>
        <w:t xml:space="preserve">Fractional or Cartesian offsets can be entered by hand;</w:t>
      </w:r>
      <w:r>
        <w:t xml:space="preserve"> </w:t>
      </w:r>
      <w:r>
        <w:t xml:space="preserve">the inclined mode then derives the tilted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axis and the tilt angle from</w:t>
      </w:r>
      <w:r>
        <w:t xml:space="preserve"> </w:t>
      </w:r>
      <w:r>
        <w:t xml:space="preserve">the given projection.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processing.</w:t>
      </w:r>
      <w:r>
        <w:t xml:space="preserve"> </w:t>
      </w:r>
      <w:r>
        <w:t xml:space="preserve">Several CIF files can be uploaded at once; all of</w:t>
      </w:r>
      <w:r>
        <w:t xml:space="preserve"> </w:t>
      </w:r>
      <w:r>
        <w:t xml:space="preserve">them are processed with the same parameters and the results are bundled</w:t>
      </w:r>
      <w:r>
        <w:t xml:space="preserve"> </w:t>
      </w:r>
      <w:r>
        <w:t xml:space="preserve">into one ZIP, organised in one folder per input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Monolayer extraction.</w:t>
      </w:r>
      <w:r>
        <w:t xml:space="preserve"> </w:t>
      </w:r>
      <w:r>
        <w:t xml:space="preserve">A multilayer input can additionally be exported</w:t>
      </w:r>
      <w:r>
        <w:t xml:space="preserve"> </w:t>
      </w:r>
      <w:r>
        <w:t xml:space="preserve">as its first sheet alone (</w:t>
      </w:r>
      <w:r>
        <w:rPr>
          <w:rStyle w:val="VerbatimChar"/>
        </w:rPr>
        <w:t xml:space="preserve">monolayer.cif</w:t>
      </w:r>
      <w:r>
        <w:t xml:space="preserve">), with the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axis reset to a</w:t>
      </w:r>
      <w:r>
        <w:t xml:space="preserve"> </w:t>
      </w:r>
      <w:r>
        <w:t xml:space="preserve">single layer, ready to be stacked again.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 stacking direction.</w:t>
      </w:r>
      <w:r>
        <w:t xml:space="preserve"> </w:t>
      </w:r>
      <w:r>
        <w:t xml:space="preserve">A CIF that writes the layer normal along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is recognised from its bond topology and</w:t>
      </w:r>
      <w:r>
        <w:t xml:space="preserve"> </w:t>
      </w:r>
      <w:r>
        <w:t xml:space="preserve">relabelled before anything else happens — the sheets and every Cartesian</w:t>
      </w:r>
      <w:r>
        <w:t xml:space="preserve"> </w:t>
      </w:r>
      <w:r>
        <w:t xml:space="preserve">position are untouched, only the axis names change. The stacking direction</w:t>
      </w:r>
      <w:r>
        <w:t xml:space="preserve"> </w:t>
      </w:r>
      <w:r>
        <w:t xml:space="preserve">is a property of how a file was written down, not of the material, so the</w:t>
      </w:r>
      <w:r>
        <w:t xml:space="preserve"> </w:t>
      </w:r>
      <w:r>
        <w:t xml:space="preserve">relabelling (which is reported, never silent) replaces what used to be a</w:t>
      </w:r>
      <w:r>
        <w:t xml:space="preserve"> </w:t>
      </w:r>
      <w:r>
        <w:t xml:space="preserve">rejection. Structures with no single stacking direction — 3D frameworks,</w:t>
      </w:r>
      <w:r>
        <w:t xml:space="preserve"> </w:t>
      </w:r>
      <w:r>
        <w:t xml:space="preserve">1D chains, molecular crystals — keep being declined, with a message naming</w:t>
      </w:r>
      <w:r>
        <w:t xml:space="preserve"> </w:t>
      </w:r>
      <w:r>
        <w:t xml:space="preserve">what is actually wrong.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 transparency.</w:t>
      </w:r>
      <w:r>
        <w:t xml:space="preserve"> </w:t>
      </w:r>
      <w:r>
        <w:t xml:space="preserve">Symmetry operations listed in a CIF are expanded</w:t>
      </w:r>
      <w:r>
        <w:t xml:space="preserve"> </w:t>
      </w:r>
      <w:r>
        <w:t xml:space="preserve">automatically and the expansion is reported (</w:t>
      </w:r>
      <w:r>
        <w:rPr>
          <w:rStyle w:val="VerbatimChar"/>
        </w:rPr>
        <w:t xml:space="preserve">42 sites x 8 operations -&gt;   336 atoms</w:t>
      </w:r>
      <w:r>
        <w:t xml:space="preserve">). A file that</w:t>
      </w:r>
      <w:r>
        <w:t xml:space="preserve"> </w:t>
      </w:r>
      <w:r>
        <w:rPr>
          <w:i/>
          <w:iCs/>
        </w:rPr>
        <w:t xml:space="preserve">declares</w:t>
      </w:r>
      <w:r>
        <w:t xml:space="preserve"> </w:t>
      </w:r>
      <w:r>
        <w:t xml:space="preserve">a space group but lists no operations</w:t>
      </w:r>
      <w:r>
        <w:t xml:space="preserve"> </w:t>
      </w:r>
      <w:r>
        <w:t xml:space="preserve">is rejected with an explanation instead of being silently read as its</w:t>
      </w:r>
      <w:r>
        <w:t xml:space="preserve"> </w:t>
      </w:r>
      <w:r>
        <w:t xml:space="preserve">asymmetric unit; 1D chains and molecular (non-layered) inputs are rejected</w:t>
      </w:r>
      <w:r>
        <w:t xml:space="preserve"> </w:t>
      </w:r>
      <w:r>
        <w:t xml:space="preserve">with a clear message as well.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Axis conventions are normalised, not guessed at.</w:t>
      </w:r>
      <w:r>
        <w:t xml:space="preserve"> </w:t>
      </w:r>
      <w:r>
        <w:t xml:space="preserve">A CIF whose layers</w:t>
      </w:r>
      <w:r>
        <w:t xml:space="preserve"> </w:t>
      </w:r>
      <w:r>
        <w:t xml:space="preserve">stack along a or b instead of c is relabelled by a cyclic permutation that</w:t>
      </w:r>
      <w:r>
        <w:t xml:space="preserve"> </w:t>
      </w:r>
      <w:r>
        <w:t xml:space="preserve">preserves the cell’s handedness and every atom’s Cartesian coordinate, and</w:t>
      </w:r>
      <w:r>
        <w:t xml:space="preserve"> </w:t>
      </w:r>
      <w:r>
        <w:t xml:space="preserve">the relabelling is reported. Conversely, an input whose atoms are covalently</w:t>
      </w:r>
      <w:r>
        <w:t xml:space="preserve"> </w:t>
      </w:r>
      <w:r>
        <w:t xml:space="preserve">bonded across the c boundary (a 3D framework, not a van der Waals stack) is</w:t>
      </w:r>
      <w:r>
        <w:t xml:space="preserve"> </w:t>
      </w:r>
      <w:r>
        <w:t xml:space="preserve">flagged with the number of crossing bonds instead of being processed</w:t>
      </w:r>
      <w:r>
        <w:t xml:space="preserve"> </w:t>
      </w:r>
      <w:r>
        <w:t xml:space="preserve">silently as a monolayer.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Rotated mode is validated, never silent.</w:t>
      </w:r>
      <w:r>
        <w:t xml:space="preserve"> </w:t>
      </w:r>
      <w:r>
        <w:t xml:space="preserve">Before a rotation / mirror</w:t>
      </w:r>
      <w:r>
        <w:t xml:space="preserve"> </w:t>
      </w:r>
      <w:r>
        <w:t xml:space="preserve">stacking is built, the operation is checked against the layer (a PBC</w:t>
      </w:r>
      <w:r>
        <w:t xml:space="preserve"> </w:t>
      </w:r>
      <w:r>
        <w:t xml:space="preserve">residual test) and applied about the nearest symmetry axis — the axes of a</w:t>
      </w:r>
      <w:r>
        <w:t xml:space="preserve"> </w:t>
      </w:r>
      <w:r>
        <w:t xml:space="preserve">2D net need not sit at the origin. An operation that is no symmetry</w:t>
      </w:r>
      <w:r>
        <w:t xml:space="preserve"> </w:t>
      </w:r>
      <w:r>
        <w:t xml:space="preserve">operation of the layer at all produces a loud warning and an</w:t>
      </w:r>
      <w:r>
        <w:t xml:space="preserve"> </w:t>
      </w:r>
      <w:r>
        <w:rPr>
          <w:rStyle w:val="VerbatimChar"/>
        </w:rPr>
        <w:t xml:space="preserve">unvalidated</w:t>
      </w:r>
      <w:r>
        <w:t xml:space="preserve"> </w:t>
      </w:r>
      <w:r>
        <w:t xml:space="preserve">provenance flag. A staggered offset that maps atoms exactly</w:t>
      </w:r>
      <w:r>
        <w:t xml:space="preserve"> </w:t>
      </w:r>
      <w:r>
        <w:t xml:space="preserve">onto atoms (node-on-node, typical of non-primitive cells) is diagnosed the</w:t>
      </w:r>
      <w:r>
        <w:t xml:space="preserve"> </w:t>
      </w:r>
      <w:r>
        <w:t xml:space="preserve">same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Validated.</w:t>
      </w:r>
      <w:r>
        <w:t xml:space="preserve"> </w:t>
      </w:r>
      <w:r>
        <w:t xml:space="preserve">Offsets and cell parameters reproduce DFT-relaxed reference</w:t>
      </w:r>
      <w:r>
        <w:t xml:space="preserve"> </w:t>
      </w:r>
      <w:r>
        <w:t xml:space="preserve">structures collected in</w:t>
      </w:r>
      <w:r>
        <w:t xml:space="preserve"> </w:t>
      </w:r>
      <w:r>
        <w:rPr>
          <w:rStyle w:val="VerbatimChar"/>
        </w:rPr>
        <w:t xml:space="preserve">reference/</w:t>
      </w:r>
      <w:r>
        <w:t xml:space="preserve"> </w:t>
      </w:r>
      <w:r>
        <w:t xml:space="preserve">(see below); the regression suite</w:t>
      </w:r>
      <w:r>
        <w:t xml:space="preserve"> </w:t>
      </w:r>
      <w:r>
        <w:t xml:space="preserve">checks them numerically.</w:t>
      </w:r>
    </w:p>
    <w:bookmarkEnd w:id="20"/>
    <w:bookmarkStart w:id="25" w:name="quick-start"/>
    <w:p>
      <w:pPr>
        <w:pStyle w:val="2"/>
      </w:pPr>
      <w:r>
        <w:t xml:space="preserve">Quick start</w:t>
      </w:r>
    </w:p>
    <w:bookmarkStart w:id="21" w:name="windows-single-file-exe-no-python-needed"/>
    <w:p>
      <w:pPr>
        <w:pStyle w:val="3"/>
      </w:pPr>
      <w:r>
        <w:t xml:space="preserve">Windows — single-file exe (no Python needed)</w:t>
      </w:r>
    </w:p>
    <w:p>
      <w:pPr>
        <w:pStyle w:val="FirstParagraph"/>
      </w:pPr>
      <w:r>
        <w:t xml:space="preserve">Grab</w:t>
      </w:r>
      <w:r>
        <w:t xml:space="preserve"> </w:t>
      </w:r>
      <w:r>
        <w:rPr>
          <w:rStyle w:val="VerbatimChar"/>
        </w:rPr>
        <w:t xml:space="preserve">CrystalStacker.exe</w:t>
      </w:r>
      <w:r>
        <w:t xml:space="preserve"> </w:t>
      </w:r>
      <w:r>
        <w:t xml:space="preserve">from the repository root, copy it anywhere, and</w:t>
      </w:r>
      <w:r>
        <w:t xml:space="preserve"> </w:t>
      </w:r>
      <w:r>
        <w:t xml:space="preserve">double-click it. It bundles Python, Flask, NumPy and SciPy, so the target</w:t>
      </w:r>
      <w:r>
        <w:t xml:space="preserve"> </w:t>
      </w:r>
      <w:r>
        <w:t xml:space="preserve">machine needs nothing installed. The browser opens automatically and generated</w:t>
      </w:r>
      <w:r>
        <w:t xml:space="preserve"> </w:t>
      </w:r>
      <w:r>
        <w:t xml:space="preserve">structures appear in an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folder next to the exe.</w:t>
      </w:r>
    </w:p>
    <w:bookmarkEnd w:id="21"/>
    <w:bookmarkStart w:id="22" w:name="windows-from-source-one-click"/>
    <w:p>
      <w:pPr>
        <w:pStyle w:val="3"/>
      </w:pPr>
      <w:r>
        <w:t xml:space="preserve">Windows — from source (one-click)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run_webapp.bat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crystalstacker/</w:t>
      </w:r>
      <w:r>
        <w:t xml:space="preserve">. It detects a suitable</w:t>
      </w:r>
      <w:r>
        <w:t xml:space="preserve"> </w:t>
      </w:r>
      <w:r>
        <w:t xml:space="preserve">Python (3.10+), creates a local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installs the dependencies and starts</w:t>
      </w:r>
      <w:r>
        <w:t xml:space="preserve"> </w:t>
      </w:r>
      <w:r>
        <w:t xml:space="preserve">the server; the browser opens automatically.</w:t>
      </w:r>
    </w:p>
    <w:bookmarkEnd w:id="22"/>
    <w:bookmarkStart w:id="24" w:name="any-platform"/>
    <w:p>
      <w:pPr>
        <w:pStyle w:val="3"/>
      </w:pPr>
      <w:r>
        <w:t xml:space="preserve">Any platform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CommentTok"/>
        </w:rPr>
        <w:t xml:space="preserve"># activate the virtual environment, then: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Then open</w:t>
      </w:r>
      <w:r>
        <w:t xml:space="preserve"> </w:t>
      </w:r>
      <w:hyperlink r:id="rId23">
        <w:r>
          <w:rPr>
            <w:rStyle w:val="af"/>
          </w:rPr>
          <w:t xml:space="preserve">http://127.0.0.1:5000</w:t>
        </w:r>
      </w:hyperlink>
      <w:r>
        <w:t xml:space="preserve"> </w:t>
      </w:r>
      <w:r>
        <w:t xml:space="preserve">in a browser (a free port is used if 5000</w:t>
      </w:r>
      <w:r>
        <w:t xml:space="preserve"> </w:t>
      </w:r>
      <w:r>
        <w:t xml:space="preserve">is taken).</w:t>
      </w:r>
    </w:p>
    <w:bookmarkEnd w:id="24"/>
    <w:bookmarkEnd w:id="25"/>
    <w:bookmarkStart w:id="26" w:name="usage"/>
    <w:p>
      <w:pPr>
        <w:pStyle w:val="2"/>
      </w:pPr>
      <w:r>
        <w:t xml:space="preserve">Usage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one or more CIFs, each containing one layer (see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</w:t>
      </w:r>
      <w:r>
        <w:t xml:space="preserve"> </w:t>
      </w:r>
      <w:r>
        <w:t xml:space="preserve">the stacking modes and adjust parameters if needed</w:t>
      </w:r>
      <w:r>
        <w:t xml:space="preserve"> </w:t>
      </w:r>
      <w:r>
        <w:t xml:space="preserve">(layer gap, in-plane offset); for multilayer inputs an extracted</w:t>
      </w:r>
      <w:r>
        <w:t xml:space="preserve"> </w:t>
      </w:r>
      <w:r>
        <w:rPr>
          <w:rStyle w:val="VerbatimChar"/>
        </w:rPr>
        <w:t xml:space="preserve">monolayer.cif</w:t>
      </w:r>
      <w:r>
        <w:t xml:space="preserve"> </w:t>
      </w:r>
      <w:r>
        <w:t xml:space="preserve">can be requested as well.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 the summary table</w:t>
      </w:r>
      <w:r>
        <w:t xml:space="preserve"> </w:t>
      </w:r>
      <w:r>
        <w:t xml:space="preserve">— it is collapsed by default; click</w:t>
      </w:r>
      <w:r>
        <w:t xml:space="preserve"> </w:t>
      </w:r>
      <w:r>
        <w:rPr>
          <w:i/>
          <w:iCs/>
        </w:rPr>
        <w:t xml:space="preserve">Stacking results table</w:t>
      </w:r>
      <w:r>
        <w:t xml:space="preserve"> </w:t>
      </w:r>
      <w:r>
        <w:t xml:space="preserve">to expand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the generated CIF files, individually or bundled as a ZIP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 all (ZIP)</w:t>
      </w:r>
      <w:r>
        <w:t xml:space="preserve">, at the foot of the page).</w:t>
      </w:r>
    </w:p>
    <w:bookmarkEnd w:id="26"/>
    <w:bookmarkStart w:id="27" w:name="building-the-exe-yourself"/>
    <w:p>
      <w:pPr>
        <w:pStyle w:val="2"/>
      </w:pPr>
      <w:r>
        <w:t xml:space="preserve">Building the exe yourself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crystalstacker</w:t>
      </w:r>
      <w:r>
        <w:br/>
      </w:r>
      <w:r>
        <w:rPr>
          <w:rStyle w:val="NormalTok"/>
        </w:rPr>
        <w:t xml:space="preserve">build_exe.bat</w:t>
      </w:r>
    </w:p>
    <w:p>
      <w:pPr>
        <w:pStyle w:val="FirstParagraph"/>
      </w:pPr>
      <w:r>
        <w:t xml:space="preserve">Requires Python 3.10+ on the build machine only; the produced</w:t>
      </w:r>
      <w:r>
        <w:t xml:space="preserve"> </w:t>
      </w:r>
      <w:r>
        <w:rPr>
          <w:rStyle w:val="VerbatimChar"/>
        </w:rPr>
        <w:t xml:space="preserve">dist/CrystalStacker.exe</w:t>
      </w:r>
      <w:r>
        <w:t xml:space="preserve"> </w:t>
      </w:r>
      <w:r>
        <w:t xml:space="preserve">runs anywhere. The script creates a throwaway</w:t>
      </w:r>
      <w:r>
        <w:t xml:space="preserve"> </w:t>
      </w:r>
      <w:r>
        <w:rPr>
          <w:rStyle w:val="VerbatimChar"/>
        </w:rPr>
        <w:t xml:space="preserve">build_env/</w:t>
      </w:r>
      <w:r>
        <w:t xml:space="preserve"> </w:t>
      </w:r>
      <w:r>
        <w:t xml:space="preserve">virtual environment with the pinned versions in</w:t>
      </w:r>
      <w:r>
        <w:t xml:space="preserve"> </w:t>
      </w:r>
      <w:r>
        <w:rPr>
          <w:rStyle w:val="VerbatimChar"/>
        </w:rPr>
        <w:t xml:space="preserve">requirements-build.txt</w:t>
      </w:r>
      <w:r>
        <w:t xml:space="preserve">, so unrelated packages installed alongside the project</w:t>
      </w:r>
      <w:r>
        <w:t xml:space="preserve"> </w:t>
      </w:r>
      <w:r>
        <w:t xml:space="preserve">cannot end up inside the exe. Use</w:t>
      </w:r>
      <w:r>
        <w:t xml:space="preserve"> </w:t>
      </w:r>
      <w:r>
        <w:rPr>
          <w:rStyle w:val="VerbatimChar"/>
        </w:rPr>
        <w:t xml:space="preserve">build_exe.bat --clean</w:t>
      </w:r>
      <w:r>
        <w:t xml:space="preserve"> </w:t>
      </w:r>
      <w:r>
        <w:t xml:space="preserve">to keep the build</w:t>
      </w:r>
      <w:r>
        <w:t xml:space="preserve"> </w:t>
      </w:r>
      <w:r>
        <w:t xml:space="preserve">intermediates for a faster rebuild.</w:t>
      </w:r>
    </w:p>
    <w:p>
      <w:pPr>
        <w:pStyle w:val="a0"/>
      </w:pPr>
      <w:r>
        <w:t xml:space="preserve">First launch takes 10–20 seconds: a one-file exe unpacks itself to a temporary</w:t>
      </w:r>
      <w:r>
        <w:t xml:space="preserve"> </w:t>
      </w:r>
      <w:r>
        <w:t xml:space="preserve">directory before starting. Some antivirus products flag PyInstaller output and</w:t>
      </w:r>
      <w:r>
        <w:t xml:space="preserve"> </w:t>
      </w:r>
      <w:r>
        <w:t xml:space="preserve">need an exclusion.</w:t>
      </w:r>
    </w:p>
    <w:bookmarkEnd w:id="27"/>
    <w:bookmarkStart w:id="28" w:name="examples"/>
    <w:p>
      <w:pPr>
        <w:pStyle w:val="2"/>
      </w:pPr>
      <w:r>
        <w:t xml:space="preserve">Examples</w:t>
      </w:r>
    </w:p>
    <w:p>
      <w:pPr>
        <w:pStyle w:val="FirstParagraph"/>
      </w:pPr>
      <w:r>
        <w:rPr>
          <w:rStyle w:val="VerbatimChar"/>
        </w:rPr>
        <w:t xml:space="preserve">examples/</w:t>
      </w:r>
      <w:r>
        <w:t xml:space="preserve"> </w:t>
      </w:r>
      <w:r>
        <w:t xml:space="preserve">ships with ready-to-run inputs: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COF-1_monolayer.cif</w:t>
            </w:r>
          </w:p>
        </w:tc>
        <w:tc>
          <w:tcPr/>
          <w:p>
            <w:pPr>
              <w:pStyle w:val="Compact"/>
            </w:pPr>
            <w:r>
              <w:t xml:space="preserve">COF-1 monolayer, hexagonal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COF-5_monolayer.cif</w:t>
            </w:r>
          </w:p>
        </w:tc>
        <w:tc>
          <w:tcPr/>
          <w:p>
            <w:pPr>
              <w:pStyle w:val="Compact"/>
            </w:pPr>
            <w:r>
              <w:t xml:space="preserve">COF-5 monolayer, hexagonal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CTF-1_monolayer.cif</w:t>
            </w:r>
          </w:p>
        </w:tc>
        <w:tc>
          <w:tcPr/>
          <w:p>
            <w:pPr>
              <w:pStyle w:val="Compact"/>
            </w:pPr>
            <w:r>
              <w:t xml:space="preserve">CTF-1 monolayer, hexagonal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Pc-PBBA_monolayer.cif</w:t>
            </w:r>
          </w:p>
        </w:tc>
        <w:tc>
          <w:tcPr/>
          <w:p>
            <w:pPr>
              <w:pStyle w:val="Compact"/>
            </w:pPr>
            <w:r>
              <w:t xml:space="preserve">Pc-PBBA monolayer, 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CuPc_monolayer.cif</w:t>
            </w:r>
          </w:p>
        </w:tc>
        <w:tc>
          <w:tcPr/>
          <w:p>
            <w:pPr>
              <w:pStyle w:val="Compact"/>
            </w:pPr>
            <w:r>
              <w:t xml:space="preserve">first layer extracted from the rotated reference bilayer; run the rotated mode on it to regenerate that bilayer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ettb-aa.cif</w:t>
            </w:r>
          </w:p>
        </w:tc>
        <w:tc>
          <w:tcPr/>
          <w:p>
            <w:pPr>
              <w:pStyle w:val="Compact"/>
            </w:pPr>
            <w:r>
              <w:t xml:space="preserve">reported sql framework (Cu2-paddlewheel + tetratopic linker); four-fold non-primitive cell used to demonstrate the node-on-node diagnostic</w:t>
            </w:r>
          </w:p>
        </w:tc>
      </w:tr>
    </w:tbl>
    <w:bookmarkEnd w:id="28"/>
    <w:bookmarkStart w:id="29" w:name="reference-data"/>
    <w:p>
      <w:pPr>
        <w:pStyle w:val="2"/>
      </w:pPr>
      <w:r>
        <w:t xml:space="preserve">Reference data</w:t>
      </w:r>
    </w:p>
    <w:p>
      <w:pPr>
        <w:pStyle w:val="FirstParagraph"/>
      </w:pPr>
      <w:r>
        <w:rPr>
          <w:rStyle w:val="VerbatimChar"/>
        </w:rPr>
        <w:t xml:space="preserve">reference/</w:t>
      </w:r>
      <w:r>
        <w:t xml:space="preserve"> </w:t>
      </w:r>
      <w:r>
        <w:t xml:space="preserve">contains the CIF files used to validate the construction rules</w:t>
      </w:r>
      <w:r>
        <w:t xml:space="preserve"> </w:t>
      </w:r>
      <w:r>
        <w:t xml:space="preserve">(eclipsed, inclined, serrated and staggered arrangements of COF-1, COF-5,</w:t>
      </w:r>
      <w:r>
        <w:t xml:space="preserve"> </w:t>
      </w:r>
      <w:r>
        <w:t xml:space="preserve">CTF-1 and Pc-PBBA, plus the rotated reference). These are the structures the</w:t>
      </w:r>
      <w:r>
        <w:t xml:space="preserve"> </w:t>
      </w:r>
      <w:r>
        <w:t xml:space="preserve">regression tests compare against.</w:t>
      </w:r>
    </w:p>
    <w:bookmarkEnd w:id="29"/>
    <w:bookmarkStart w:id="32" w:name="documentation"/>
    <w:p>
      <w:pPr>
        <w:pStyle w:val="2"/>
      </w:pPr>
      <w:r>
        <w:t xml:space="preserve">Documentation</w:t>
      </w:r>
    </w:p>
    <w:p>
      <w:pPr>
        <w:pStyle w:val="FirstParagraph"/>
      </w:pPr>
      <w:hyperlink r:id="rId30">
        <w:r>
          <w:rPr>
            <w:rStyle w:val="VerbatimChar"/>
          </w:rPr>
          <w:t xml:space="preserve">docs/MANUAL.md</w:t>
        </w:r>
      </w:hyperlink>
      <w:r>
        <w:t xml:space="preserve"> </w:t>
      </w:r>
      <w:r>
        <w:t xml:space="preserve">is the user manual: installation, the input</w:t>
      </w:r>
      <w:r>
        <w:t xml:space="preserve"> </w:t>
      </w:r>
      <w:r>
        <w:t xml:space="preserve">the tool expects (including multilayer, symmetry and stacking-axis cases), every</w:t>
      </w:r>
      <w:r>
        <w:t xml:space="preserve"> </w:t>
      </w:r>
      <w:r>
        <w:t xml:space="preserve">parameter, what the output contains, how sheets are detected, and a</w:t>
      </w:r>
      <w:r>
        <w:t xml:space="preserve"> </w:t>
      </w:r>
      <w:r>
        <w:t xml:space="preserve">symptom → cause → action troubleshooting table.</w:t>
      </w:r>
      <w:r>
        <w:t xml:space="preserve"> </w:t>
      </w:r>
      <w:hyperlink r:id="rId31">
        <w:r>
          <w:rPr>
            <w:rStyle w:val="VerbatimChar"/>
          </w:rPr>
          <w:t xml:space="preserve">docs/cases/</w:t>
        </w:r>
      </w:hyperlink>
      <w:r>
        <w:t xml:space="preserve"> </w:t>
      </w:r>
      <w:r>
        <w:t xml:space="preserve">holds four worked examples — the five stacking</w:t>
      </w:r>
      <w:r>
        <w:t xml:space="preserve"> </w:t>
      </w:r>
      <w:r>
        <w:t xml:space="preserve">modes from one monolayer, multilayer inputs, the rotated mode and its</w:t>
      </w:r>
      <w:r>
        <w:t xml:space="preserve"> </w:t>
      </w:r>
      <w:r>
        <w:t xml:space="preserve">validation, and the boundary cases where the tool warns or refuses.</w:t>
      </w:r>
    </w:p>
    <w:bookmarkEnd w:id="32"/>
    <w:bookmarkStart w:id="33" w:name="repository-layout"/>
    <w:p>
      <w:pPr>
        <w:pStyle w:val="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CrystalStacker/</w:t>
      </w:r>
      <w:r>
        <w:br/>
      </w:r>
      <w:r>
        <w:rPr>
          <w:rStyle w:val="VerbatimChar"/>
        </w:rPr>
        <w:t xml:space="preserve">├── CrystalStacker.exe       prebuilt single-file executable (no Python needed)</w:t>
      </w:r>
      <w:r>
        <w:br/>
      </w:r>
      <w:r>
        <w:rPr>
          <w:rStyle w:val="VerbatimChar"/>
        </w:rPr>
        <w:t xml:space="preserve">├── crystalstacker/          source tree</w:t>
      </w:r>
      <w:r>
        <w:br/>
      </w:r>
      <w:r>
        <w:rPr>
          <w:rStyle w:val="VerbatimChar"/>
        </w:rPr>
        <w:t xml:space="preserve">│   ├── app.py                 Flask application (UI, upload, run management)</w:t>
      </w:r>
      <w:r>
        <w:br/>
      </w:r>
      <w:r>
        <w:rPr>
          <w:rStyle w:val="VerbatimChar"/>
        </w:rPr>
        <w:t xml:space="preserve">│   ├── layer_stacking.py      core stacking engine</w:t>
      </w:r>
      <w:r>
        <w:br/>
      </w:r>
      <w:r>
        <w:rPr>
          <w:rStyle w:val="VerbatimChar"/>
        </w:rPr>
        <w:t xml:space="preserve">│   ├── stacking_rules.py      automatic offset selection and provenance</w:t>
      </w:r>
      <w:r>
        <w:br/>
      </w:r>
      <w:r>
        <w:rPr>
          <w:rStyle w:val="VerbatimChar"/>
        </w:rPr>
        <w:t xml:space="preserve">│   ├── cif_io.py              CIF reader/writer (P1, symmetry expansion)</w:t>
      </w:r>
      <w:r>
        <w:br/>
      </w:r>
      <w:r>
        <w:rPr>
          <w:rStyle w:val="VerbatimChar"/>
        </w:rPr>
        <w:t xml:space="preserve">│   ├── stacking_axis.py       stacking-direction detection, axis relabelling,</w:t>
      </w:r>
      <w:r>
        <w:br/>
      </w:r>
      <w:r>
        <w:rPr>
          <w:rStyle w:val="VerbatimChar"/>
        </w:rPr>
        <w:t xml:space="preserve">│   │                           3D-framework detection (c-crossing bonds)</w:t>
      </w:r>
      <w:r>
        <w:br/>
      </w:r>
      <w:r>
        <w:rPr>
          <w:rStyle w:val="VerbatimChar"/>
        </w:rPr>
        <w:t xml:space="preserve">│   ├── benchmark_scaling.py   timing benchmark</w:t>
      </w:r>
      <w:r>
        <w:br/>
      </w:r>
      <w:r>
        <w:rPr>
          <w:rStyle w:val="VerbatimChar"/>
        </w:rPr>
        <w:t xml:space="preserve">│   ├── test_layer_stacking.py regression suite (161 checks)</w:t>
      </w:r>
      <w:r>
        <w:br/>
      </w:r>
      <w:r>
        <w:rPr>
          <w:rStyle w:val="VerbatimChar"/>
        </w:rPr>
        <w:t xml:space="preserve">│   ├── smoke_test_web.py      end-to-end web smoke test</w:t>
      </w:r>
      <w:r>
        <w:br/>
      </w:r>
      <w:r>
        <w:rPr>
          <w:rStyle w:val="VerbatimChar"/>
        </w:rPr>
        <w:t xml:space="preserve">│   ├── docs/                  user manual and worked case studies</w:t>
      </w:r>
      <w:r>
        <w:br/>
      </w:r>
      <w:r>
        <w:rPr>
          <w:rStyle w:val="VerbatimChar"/>
        </w:rPr>
        <w:t xml:space="preserve">│   ├── build_exe.py           PyInstaller build driver</w:t>
      </w:r>
      <w:r>
        <w:br/>
      </w:r>
      <w:r>
        <w:rPr>
          <w:rStyle w:val="VerbatimChar"/>
        </w:rPr>
        <w:t xml:space="preserve">│   ├── build_exe.bat          one-click exe build</w:t>
      </w:r>
      <w:r>
        <w:br/>
      </w:r>
      <w:r>
        <w:rPr>
          <w:rStyle w:val="VerbatimChar"/>
        </w:rPr>
        <w:t xml:space="preserve">│   ├── run_webapp.bat         Windows one-click launcher (from source)</w:t>
      </w:r>
      <w:r>
        <w:br/>
      </w:r>
      <w:r>
        <w:rPr>
          <w:rStyle w:val="VerbatimChar"/>
        </w:rPr>
        <w:t xml:space="preserve">│   ├── requirements.txt       runtime dependencies</w:t>
      </w:r>
      <w:r>
        <w:br/>
      </w:r>
      <w:r>
        <w:rPr>
          <w:rStyle w:val="VerbatimChar"/>
        </w:rPr>
        <w:t xml:space="preserve">│   ├── requirements-build.txt pinned build-time dependencies</w:t>
      </w:r>
      <w:r>
        <w:br/>
      </w:r>
      <w:r>
        <w:rPr>
          <w:rStyle w:val="VerbatimChar"/>
        </w:rPr>
        <w:t xml:space="preserve">│   ├── templates/  static/    web interface</w:t>
      </w:r>
      <w:r>
        <w:br/>
      </w:r>
      <w:r>
        <w:rPr>
          <w:rStyle w:val="VerbatimChar"/>
        </w:rPr>
        <w:t xml:space="preserve">│   ├── reference/             DFT reference structures (CIF)</w:t>
      </w:r>
      <w:r>
        <w:br/>
      </w:r>
      <w:r>
        <w:rPr>
          <w:rStyle w:val="VerbatimChar"/>
        </w:rPr>
        <w:t xml:space="preserve">│   └── examples/              sample monolayer inputs (CIF)</w:t>
      </w:r>
      <w:r>
        <w:br/>
      </w:r>
      <w:r>
        <w:rPr>
          <w:rStyle w:val="VerbatimChar"/>
        </w:rPr>
        <w:t xml:space="preserve">├── crystalstacker.zip      source archive of the folder above</w:t>
      </w:r>
      <w:r>
        <w:br/>
      </w:r>
      <w:r>
        <w:rPr>
          <w:rStyle w:val="VerbatimChar"/>
        </w:rPr>
        <w:t xml:space="preserve">├── README.md  README.docx</w:t>
      </w:r>
      <w:r>
        <w:br/>
      </w:r>
      <w:r>
        <w:rPr>
          <w:rStyle w:val="VerbatimChar"/>
        </w:rPr>
        <w:t xml:space="preserve">└── LICENSE</w:t>
      </w:r>
    </w:p>
    <w:bookmarkEnd w:id="33"/>
    <w:bookmarkStart w:id="34" w:name="requirements"/>
    <w:p>
      <w:pPr>
        <w:pStyle w:val="2"/>
      </w:pPr>
      <w:r>
        <w:t xml:space="preserve">Requirements</w:t>
      </w:r>
    </w:p>
    <w:p>
      <w:pPr>
        <w:pStyle w:val="Compact"/>
        <w:numPr>
          <w:ilvl w:val="0"/>
          <w:numId w:val="1003"/>
        </w:numPr>
      </w:pPr>
      <w:r>
        <w:t xml:space="preserve">Python ≥ 3.10</w:t>
      </w:r>
    </w:p>
    <w:p>
      <w:pPr>
        <w:pStyle w:val="Compact"/>
        <w:numPr>
          <w:ilvl w:val="0"/>
          <w:numId w:val="1003"/>
        </w:numPr>
      </w:pPr>
      <w:r>
        <w:t xml:space="preserve">numpy, scipy, Flask (see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Running</w:t>
      </w:r>
      <w:r>
        <w:t xml:space="preserve"> </w:t>
      </w:r>
      <w:r>
        <w:rPr>
          <w:rStyle w:val="VerbatimChar"/>
        </w:rPr>
        <w:t xml:space="preserve">CrystalStacker.exe</w:t>
      </w:r>
      <w:r>
        <w:t xml:space="preserve"> </w:t>
      </w:r>
      <w:r>
        <w:t xml:space="preserve">needs neither Python nor these packages.</w:t>
      </w:r>
    </w:p>
    <w:bookmarkEnd w:id="34"/>
    <w:bookmarkStart w:id="35" w:name="tests"/>
    <w:p>
      <w:pPr>
        <w:pStyle w:val="2"/>
      </w:pPr>
      <w:r>
        <w:t xml:space="preserve">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crystalstacker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test_layer_stacking.py    </w:t>
      </w:r>
      <w:r>
        <w:rPr>
          <w:rStyle w:val="CommentTok"/>
        </w:rPr>
        <w:t xml:space="preserve"># 161 checks, engine + rules + CIF I/O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smoke_test_web.py         </w:t>
      </w:r>
      <w:r>
        <w:rPr>
          <w:rStyle w:val="CommentTok"/>
        </w:rPr>
        <w:t xml:space="preserve"># end-to-end test against the Flask test client</w:t>
      </w:r>
    </w:p>
    <w:bookmarkEnd w:id="35"/>
    <w:bookmarkStart w:id="37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MIT — see</w:t>
      </w:r>
      <w:r>
        <w:t xml:space="preserve"> </w:t>
      </w:r>
      <w:hyperlink r:id="rId36">
        <w:r>
          <w:rPr>
            <w:rStyle w:val="af"/>
          </w:rPr>
          <w:t xml:space="preserve">LICENSE</w:t>
        </w:r>
      </w:hyperlink>
      <w:r>
        <w:t xml:space="preserve">.</w:t>
      </w:r>
    </w:p>
    <w:bookmarkEnd w:id="37"/>
    <w:bookmarkStart w:id="38" w:name="citation"/>
    <w:p>
      <w:pPr>
        <w:pStyle w:val="2"/>
      </w:pPr>
      <w:r>
        <w:t xml:space="preserve">Citation</w:t>
      </w:r>
    </w:p>
    <w:p>
      <w:pPr>
        <w:pStyle w:val="FirstParagraph"/>
      </w:pPr>
      <w:r>
        <w:t xml:space="preserve">A manuscript describing the methodology is in preparation; citation details</w:t>
      </w:r>
      <w:r>
        <w:t xml:space="preserve"> </w:t>
      </w:r>
      <w:r>
        <w:t xml:space="preserve">will be added upon publication.</w:t>
      </w:r>
    </w:p>
    <w:p>
      <w:pPr>
        <w:pStyle w:val="a0"/>
      </w:pPr>
      <w:r>
        <w:t xml:space="preserve">Ma, B.; Yan, Q.; Zhou, W.; Wu, J.; Bao, L.; Lu, X.; Qiu, J.; Zhu, Y.; Wang, X.; Zhai, D.; Liu, C.; Zhang, S.; Deng, W.; Lu, X. Data-Driven Synthesis of Covalent Organic Frameworks via Machine Learning with Integrated Success–Failure Data. JACS Au 2026, 6 (7), 3939–3951. https://doi.org/10.1021/jacsau.6c00493</w:t>
      </w:r>
    </w:p>
    <w:bookmarkEnd w:id="38"/>
    <w:bookmarkEnd w:id="39"/>
    <w:sectPr w:rsidR="00F67D8F" w:rsidRPr="00F67D8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39889CB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3AA661A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75F8212A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5DD"/>
    <w:rsid w:val="001525DD"/>
    <w:rsid w:val="00F67D8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LICENSE" TargetMode="External" /><Relationship Type="http://schemas.openxmlformats.org/officeDocument/2006/relationships/hyperlink" Id="rId30" Target="docs/MANUAL.md" TargetMode="External" /><Relationship Type="http://schemas.openxmlformats.org/officeDocument/2006/relationships/hyperlink" Id="rId31" Target="docs/cases/" TargetMode="External" /><Relationship Type="http://schemas.openxmlformats.org/officeDocument/2006/relationships/hyperlink" Id="rId23" Target="http://127.0.0.1:5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LICENSE" TargetMode="External" /><Relationship Type="http://schemas.openxmlformats.org/officeDocument/2006/relationships/hyperlink" Id="rId30" Target="docs/MANUAL.md" TargetMode="External" /><Relationship Type="http://schemas.openxmlformats.org/officeDocument/2006/relationships/hyperlink" Id="rId31" Target="docs/cases/" TargetMode="External" /><Relationship Type="http://schemas.openxmlformats.org/officeDocument/2006/relationships/hyperlink" Id="rId23" Target="http://127.0.0.1:5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2026-10-15T05:03:14Z</dcterms:created>
  <dcterms:modified xsi:type="dcterms:W3CDTF">2026-10-15T05:03:14Z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